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842B6">
      <w:pPr>
        <w:rPr>
          <w:color w:val="auto"/>
          <w:sz w:val="36"/>
          <w:szCs w:val="36"/>
        </w:rPr>
      </w:pPr>
    </w:p>
    <w:p w14:paraId="2751158F">
      <w:pPr>
        <w:rPr>
          <w:color w:val="auto"/>
          <w:sz w:val="36"/>
          <w:szCs w:val="36"/>
        </w:rPr>
      </w:pPr>
    </w:p>
    <w:p w14:paraId="43AF1764">
      <w:pPr>
        <w:rPr>
          <w:color w:val="auto"/>
          <w:sz w:val="36"/>
          <w:szCs w:val="36"/>
        </w:rPr>
      </w:pPr>
    </w:p>
    <w:p w14:paraId="1282C409">
      <w:pPr>
        <w:rPr>
          <w:color w:val="auto"/>
          <w:sz w:val="36"/>
          <w:szCs w:val="36"/>
        </w:rPr>
      </w:pPr>
    </w:p>
    <w:p w14:paraId="5EA63015">
      <w:pPr>
        <w:rPr>
          <w:color w:val="auto"/>
          <w:sz w:val="36"/>
          <w:szCs w:val="36"/>
        </w:rPr>
      </w:pPr>
    </w:p>
    <w:p w14:paraId="3653FE2D">
      <w:pPr>
        <w:adjustRightInd w:val="0"/>
        <w:snapToGrid w:val="0"/>
        <w:jc w:val="center"/>
        <w:rPr>
          <w:bCs/>
          <w:color w:val="auto"/>
          <w:sz w:val="72"/>
          <w:szCs w:val="72"/>
        </w:rPr>
      </w:pPr>
      <w:r>
        <w:rPr>
          <w:bCs/>
          <w:color w:val="auto"/>
          <w:sz w:val="72"/>
          <w:szCs w:val="72"/>
        </w:rPr>
        <w:t>建设项目环境影响报告表</w:t>
      </w:r>
    </w:p>
    <w:p w14:paraId="1A7FDEF0">
      <w:pPr>
        <w:adjustRightInd w:val="0"/>
        <w:snapToGrid w:val="0"/>
        <w:spacing w:before="192" w:beforeLines="80"/>
        <w:jc w:val="center"/>
        <w:rPr>
          <w:rFonts w:hint="eastAsia" w:ascii="华文楷体" w:hAnsi="华文楷体" w:eastAsia="华文楷体" w:cs="华文楷体"/>
          <w:bCs/>
          <w:color w:val="auto"/>
          <w:sz w:val="48"/>
          <w:szCs w:val="48"/>
        </w:rPr>
      </w:pPr>
      <w:r>
        <w:rPr>
          <w:rFonts w:hint="eastAsia" w:ascii="华文楷体" w:hAnsi="华文楷体" w:eastAsia="华文楷体" w:cs="华文楷体"/>
          <w:bCs/>
          <w:color w:val="auto"/>
          <w:sz w:val="48"/>
          <w:szCs w:val="48"/>
        </w:rPr>
        <w:t>（生态影响类）</w:t>
      </w:r>
    </w:p>
    <w:p w14:paraId="2CC9E387">
      <w:pPr>
        <w:adjustRightInd w:val="0"/>
        <w:snapToGrid w:val="0"/>
        <w:spacing w:before="192" w:beforeLines="80"/>
        <w:jc w:val="center"/>
        <w:rPr>
          <w:rFonts w:hint="eastAsia" w:ascii="华文楷体" w:hAnsi="华文楷体" w:eastAsia="华文楷体" w:cs="华文楷体"/>
          <w:bCs/>
          <w:color w:val="auto"/>
          <w:sz w:val="28"/>
          <w:szCs w:val="28"/>
        </w:rPr>
      </w:pPr>
      <w:r>
        <w:rPr>
          <w:rFonts w:hint="eastAsia" w:ascii="华文楷体" w:hAnsi="华文楷体" w:eastAsia="华文楷体" w:cs="华文楷体"/>
          <w:bCs/>
          <w:color w:val="auto"/>
          <w:sz w:val="28"/>
          <w:szCs w:val="28"/>
        </w:rPr>
        <w:t>（附环境风险专项评价）</w:t>
      </w:r>
    </w:p>
    <w:p w14:paraId="104B1BC4">
      <w:pPr>
        <w:adjustRightInd w:val="0"/>
        <w:snapToGrid w:val="0"/>
        <w:spacing w:before="192" w:beforeLines="80"/>
        <w:jc w:val="center"/>
        <w:rPr>
          <w:rFonts w:hint="eastAsia" w:ascii="华文楷体" w:hAnsi="华文楷体" w:eastAsia="华文楷体" w:cs="华文楷体"/>
          <w:bCs/>
          <w:color w:val="auto"/>
          <w:sz w:val="48"/>
          <w:szCs w:val="48"/>
        </w:rPr>
      </w:pPr>
      <w:r>
        <w:rPr>
          <w:rFonts w:hint="eastAsia" w:ascii="华文楷体" w:hAnsi="华文楷体" w:eastAsia="华文楷体" w:cs="华文楷体"/>
          <w:bCs/>
          <w:color w:val="auto"/>
          <w:sz w:val="48"/>
          <w:szCs w:val="48"/>
        </w:rPr>
        <w:t>（</w:t>
      </w:r>
      <w:r>
        <w:rPr>
          <w:rFonts w:hint="eastAsia" w:ascii="华文楷体" w:hAnsi="华文楷体" w:eastAsia="华文楷体" w:cs="华文楷体"/>
          <w:bCs/>
          <w:color w:val="auto"/>
          <w:sz w:val="48"/>
          <w:szCs w:val="48"/>
          <w:lang w:val="en-US" w:eastAsia="zh-CN"/>
        </w:rPr>
        <w:t>公示稿</w:t>
      </w:r>
      <w:r>
        <w:rPr>
          <w:rFonts w:hint="eastAsia" w:ascii="华文楷体" w:hAnsi="华文楷体" w:eastAsia="华文楷体" w:cs="华文楷体"/>
          <w:bCs/>
          <w:color w:val="auto"/>
          <w:sz w:val="48"/>
          <w:szCs w:val="48"/>
        </w:rPr>
        <w:t>）</w:t>
      </w:r>
    </w:p>
    <w:p w14:paraId="65917BD3">
      <w:pPr>
        <w:ind w:firstLine="1040"/>
        <w:rPr>
          <w:color w:val="auto"/>
          <w:sz w:val="44"/>
          <w:szCs w:val="44"/>
        </w:rPr>
      </w:pPr>
    </w:p>
    <w:p w14:paraId="574EC2D7">
      <w:pPr>
        <w:ind w:firstLine="1040"/>
        <w:rPr>
          <w:color w:val="auto"/>
          <w:sz w:val="44"/>
          <w:szCs w:val="44"/>
        </w:rPr>
      </w:pPr>
    </w:p>
    <w:p w14:paraId="6E6DCEA6">
      <w:pPr>
        <w:ind w:firstLine="1040"/>
        <w:rPr>
          <w:color w:val="auto"/>
          <w:sz w:val="44"/>
          <w:szCs w:val="44"/>
        </w:rPr>
      </w:pPr>
    </w:p>
    <w:p w14:paraId="711CC9CC">
      <w:pPr>
        <w:adjustRightInd w:val="0"/>
        <w:snapToGrid w:val="0"/>
        <w:ind w:firstLine="600" w:firstLineChars="200"/>
        <w:rPr>
          <w:color w:val="auto"/>
          <w:sz w:val="30"/>
          <w:szCs w:val="30"/>
          <w:u w:val="single"/>
        </w:rPr>
      </w:pPr>
      <w:r>
        <w:rPr>
          <w:color w:val="auto"/>
          <w:sz w:val="30"/>
          <w:szCs w:val="30"/>
        </w:rPr>
        <w:t>项目名称：</w:t>
      </w:r>
      <w:r>
        <w:rPr>
          <w:rFonts w:hint="eastAsia"/>
          <w:color w:val="auto"/>
          <w:sz w:val="30"/>
          <w:szCs w:val="30"/>
          <w:u w:val="single"/>
        </w:rPr>
        <w:t>钦州泰兴石化管廊迁改工程</w:t>
      </w:r>
    </w:p>
    <w:p w14:paraId="0C9205D3">
      <w:pPr>
        <w:adjustRightInd w:val="0"/>
        <w:snapToGrid w:val="0"/>
        <w:ind w:firstLine="600" w:firstLineChars="200"/>
        <w:rPr>
          <w:color w:val="auto"/>
          <w:sz w:val="30"/>
          <w:szCs w:val="30"/>
        </w:rPr>
      </w:pPr>
      <w:r>
        <w:rPr>
          <w:color w:val="auto"/>
          <w:sz w:val="30"/>
          <w:szCs w:val="30"/>
        </w:rPr>
        <w:t>建设单位（盖章）：</w:t>
      </w:r>
      <w:r>
        <w:rPr>
          <w:rFonts w:hint="eastAsia"/>
          <w:color w:val="auto"/>
          <w:sz w:val="30"/>
          <w:szCs w:val="30"/>
          <w:u w:val="single"/>
        </w:rPr>
        <w:t>广西钦州临海建设投资有限公司</w:t>
      </w:r>
    </w:p>
    <w:p w14:paraId="1DFA8AC5">
      <w:pPr>
        <w:adjustRightInd w:val="0"/>
        <w:snapToGrid w:val="0"/>
        <w:ind w:firstLine="600" w:firstLineChars="200"/>
        <w:rPr>
          <w:color w:val="auto"/>
          <w:sz w:val="30"/>
          <w:szCs w:val="30"/>
        </w:rPr>
      </w:pPr>
      <w:r>
        <w:rPr>
          <w:color w:val="auto"/>
          <w:sz w:val="30"/>
          <w:szCs w:val="30"/>
        </w:rPr>
        <w:t>编制日期：</w:t>
      </w:r>
      <w:r>
        <w:rPr>
          <w:color w:val="auto"/>
          <w:sz w:val="30"/>
          <w:szCs w:val="30"/>
          <w:u w:val="single"/>
        </w:rPr>
        <w:t>二〇二</w:t>
      </w:r>
      <w:r>
        <w:rPr>
          <w:rFonts w:hint="eastAsia"/>
          <w:color w:val="auto"/>
          <w:sz w:val="30"/>
          <w:szCs w:val="30"/>
          <w:u w:val="single"/>
        </w:rPr>
        <w:t>五</w:t>
      </w:r>
      <w:r>
        <w:rPr>
          <w:color w:val="auto"/>
          <w:sz w:val="30"/>
          <w:szCs w:val="30"/>
          <w:u w:val="single"/>
        </w:rPr>
        <w:t>年</w:t>
      </w:r>
      <w:r>
        <w:rPr>
          <w:rFonts w:hint="eastAsia"/>
          <w:color w:val="auto"/>
          <w:sz w:val="30"/>
          <w:szCs w:val="30"/>
          <w:u w:val="single"/>
          <w:lang w:val="en-US" w:eastAsia="zh-CN"/>
        </w:rPr>
        <w:t>五</w:t>
      </w:r>
      <w:r>
        <w:rPr>
          <w:color w:val="auto"/>
          <w:sz w:val="30"/>
          <w:szCs w:val="30"/>
          <w:u w:val="single"/>
        </w:rPr>
        <w:t>月</w:t>
      </w:r>
    </w:p>
    <w:p w14:paraId="6A930283">
      <w:pPr>
        <w:adjustRightInd w:val="0"/>
        <w:snapToGrid w:val="0"/>
        <w:ind w:firstLine="1040"/>
        <w:rPr>
          <w:color w:val="auto"/>
          <w:sz w:val="36"/>
          <w:szCs w:val="36"/>
        </w:rPr>
      </w:pPr>
      <w:bookmarkStart w:id="0" w:name="_Hlk57884087"/>
    </w:p>
    <w:p w14:paraId="111EC807">
      <w:pPr>
        <w:adjustRightInd w:val="0"/>
        <w:snapToGrid w:val="0"/>
        <w:ind w:firstLine="1040"/>
        <w:rPr>
          <w:color w:val="auto"/>
          <w:sz w:val="36"/>
          <w:szCs w:val="36"/>
        </w:rPr>
      </w:pPr>
    </w:p>
    <w:p w14:paraId="42A17CAC">
      <w:pPr>
        <w:adjustRightInd w:val="0"/>
        <w:snapToGrid w:val="0"/>
        <w:ind w:firstLine="1040"/>
        <w:rPr>
          <w:color w:val="auto"/>
          <w:sz w:val="36"/>
          <w:szCs w:val="36"/>
        </w:rPr>
      </w:pPr>
    </w:p>
    <w:bookmarkEnd w:id="0"/>
    <w:p w14:paraId="1734E5C0">
      <w:pPr>
        <w:adjustRightInd w:val="0"/>
        <w:snapToGrid w:val="0"/>
        <w:jc w:val="center"/>
        <w:rPr>
          <w:color w:val="auto"/>
          <w:sz w:val="36"/>
          <w:szCs w:val="36"/>
        </w:rPr>
      </w:pPr>
      <w:r>
        <w:rPr>
          <w:color w:val="auto"/>
          <w:sz w:val="36"/>
          <w:szCs w:val="36"/>
        </w:rPr>
        <w:t>中华人民共和国生态环境部制</w:t>
      </w:r>
    </w:p>
    <w:p w14:paraId="1CDCB321">
      <w:pPr>
        <w:adjustRightInd w:val="0"/>
        <w:snapToGrid w:val="0"/>
        <w:ind w:firstLine="1040"/>
        <w:rPr>
          <w:color w:val="auto"/>
          <w:sz w:val="36"/>
          <w:szCs w:val="36"/>
        </w:rPr>
      </w:pPr>
      <w:r>
        <w:rPr>
          <w:color w:val="auto"/>
          <w:sz w:val="36"/>
          <w:szCs w:val="36"/>
        </w:rPr>
        <w:br w:type="page"/>
      </w:r>
    </w:p>
    <w:p w14:paraId="08912CEF">
      <w:pPr>
        <w:pStyle w:val="2"/>
        <w:jc w:val="center"/>
        <w:rPr>
          <w:rFonts w:ascii="Times New Roman" w:hAnsi="Times New Roman"/>
          <w:b/>
          <w:color w:val="auto"/>
        </w:rPr>
      </w:pPr>
      <w:r>
        <w:rPr>
          <w:rFonts w:ascii="Times New Roman" w:hAnsi="Times New Roman"/>
          <w:b/>
          <w:color w:val="auto"/>
        </w:rPr>
        <w:t>项目页前图</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416"/>
      </w:tblGrid>
      <w:tr w14:paraId="2A2A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14:paraId="2500F18C">
            <w:pPr>
              <w:pStyle w:val="2"/>
              <w:spacing w:line="240" w:lineRule="auto"/>
              <w:ind w:firstLine="0"/>
              <w:jc w:val="center"/>
              <w:rPr>
                <w:rFonts w:ascii="Times New Roman" w:hAnsi="Times New Roman"/>
                <w:b/>
                <w:color w:val="auto"/>
              </w:rPr>
            </w:pPr>
            <w:r>
              <w:rPr>
                <w:color w:val="auto"/>
              </w:rPr>
              <w:drawing>
                <wp:inline distT="0" distB="0" distL="114300" distR="114300">
                  <wp:extent cx="2807335" cy="2090420"/>
                  <wp:effectExtent l="0" t="0" r="1206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807335" cy="2090420"/>
                          </a:xfrm>
                          <a:prstGeom prst="rect">
                            <a:avLst/>
                          </a:prstGeom>
                          <a:noFill/>
                          <a:ln>
                            <a:noFill/>
                          </a:ln>
                        </pic:spPr>
                      </pic:pic>
                    </a:graphicData>
                  </a:graphic>
                </wp:inline>
              </w:drawing>
            </w:r>
          </w:p>
        </w:tc>
        <w:tc>
          <w:tcPr>
            <w:tcW w:w="4416" w:type="dxa"/>
            <w:vAlign w:val="center"/>
          </w:tcPr>
          <w:p w14:paraId="7E0A6F9E">
            <w:pPr>
              <w:pStyle w:val="2"/>
              <w:spacing w:line="240" w:lineRule="auto"/>
              <w:ind w:firstLine="0"/>
              <w:jc w:val="center"/>
              <w:rPr>
                <w:rFonts w:ascii="Times New Roman" w:hAnsi="Times New Roman"/>
                <w:b/>
                <w:color w:val="auto"/>
              </w:rPr>
            </w:pPr>
            <w:r>
              <w:rPr>
                <w:color w:val="auto"/>
              </w:rPr>
              <w:drawing>
                <wp:inline distT="0" distB="0" distL="114300" distR="114300">
                  <wp:extent cx="2660650" cy="1887855"/>
                  <wp:effectExtent l="0" t="0" r="6350" b="171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
                          <a:stretch>
                            <a:fillRect/>
                          </a:stretch>
                        </pic:blipFill>
                        <pic:spPr>
                          <a:xfrm>
                            <a:off x="0" y="0"/>
                            <a:ext cx="2660650" cy="1887855"/>
                          </a:xfrm>
                          <a:prstGeom prst="rect">
                            <a:avLst/>
                          </a:prstGeom>
                          <a:noFill/>
                          <a:ln>
                            <a:noFill/>
                          </a:ln>
                        </pic:spPr>
                      </pic:pic>
                    </a:graphicData>
                  </a:graphic>
                </wp:inline>
              </w:drawing>
            </w:r>
          </w:p>
        </w:tc>
      </w:tr>
      <w:tr w14:paraId="630C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644" w:type="dxa"/>
            <w:vAlign w:val="center"/>
          </w:tcPr>
          <w:p w14:paraId="01F02142">
            <w:pPr>
              <w:pStyle w:val="2"/>
              <w:keepNext w:val="0"/>
              <w:keepLines w:val="0"/>
              <w:pageBreakBefore w:val="0"/>
              <w:widowControl/>
              <w:kinsoku/>
              <w:wordWrap/>
              <w:overflowPunct/>
              <w:topLinePunct/>
              <w:autoSpaceDE/>
              <w:autoSpaceDN/>
              <w:bidi w:val="0"/>
              <w:adjustRightInd/>
              <w:snapToGrid/>
              <w:spacing w:after="0" w:line="240" w:lineRule="auto"/>
              <w:ind w:firstLine="0"/>
              <w:jc w:val="center"/>
              <w:textAlignment w:val="auto"/>
              <w:rPr>
                <w:rFonts w:ascii="Times New Roman" w:hAnsi="Times New Roman"/>
                <w:b/>
                <w:color w:val="auto"/>
              </w:rPr>
            </w:pPr>
            <w:r>
              <w:rPr>
                <w:rFonts w:hint="eastAsia" w:ascii="Times New Roman" w:hAnsi="Times New Roman"/>
                <w:b/>
                <w:color w:val="auto"/>
              </w:rPr>
              <w:t>现状管廊</w:t>
            </w:r>
          </w:p>
        </w:tc>
        <w:tc>
          <w:tcPr>
            <w:tcW w:w="4416" w:type="dxa"/>
            <w:vAlign w:val="center"/>
          </w:tcPr>
          <w:p w14:paraId="6B5B94CB">
            <w:pPr>
              <w:pStyle w:val="2"/>
              <w:keepNext w:val="0"/>
              <w:keepLines w:val="0"/>
              <w:pageBreakBefore w:val="0"/>
              <w:widowControl/>
              <w:kinsoku/>
              <w:wordWrap/>
              <w:overflowPunct/>
              <w:topLinePunct/>
              <w:autoSpaceDE/>
              <w:autoSpaceDN/>
              <w:bidi w:val="0"/>
              <w:adjustRightInd/>
              <w:snapToGrid/>
              <w:spacing w:after="0" w:line="240" w:lineRule="auto"/>
              <w:ind w:firstLine="0"/>
              <w:jc w:val="center"/>
              <w:textAlignment w:val="auto"/>
              <w:rPr>
                <w:rFonts w:ascii="Times New Roman" w:hAnsi="Times New Roman"/>
                <w:b/>
                <w:color w:val="auto"/>
              </w:rPr>
            </w:pPr>
            <w:r>
              <w:rPr>
                <w:rFonts w:hint="eastAsia" w:ascii="Times New Roman" w:hAnsi="Times New Roman"/>
                <w:b/>
                <w:color w:val="auto"/>
              </w:rPr>
              <w:t>现状火炬</w:t>
            </w:r>
          </w:p>
        </w:tc>
      </w:tr>
      <w:tr w14:paraId="774A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14:paraId="1F8BE469">
            <w:pPr>
              <w:pStyle w:val="2"/>
              <w:spacing w:line="240" w:lineRule="auto"/>
              <w:ind w:firstLine="0"/>
              <w:jc w:val="center"/>
              <w:rPr>
                <w:rFonts w:ascii="Times New Roman" w:hAnsi="Times New Roman"/>
                <w:b/>
                <w:color w:val="auto"/>
              </w:rPr>
            </w:pPr>
            <w:r>
              <w:rPr>
                <w:color w:val="auto"/>
              </w:rPr>
              <w:drawing>
                <wp:inline distT="0" distB="0" distL="114300" distR="114300">
                  <wp:extent cx="2809875" cy="2284095"/>
                  <wp:effectExtent l="0" t="0" r="952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809875" cy="2284095"/>
                          </a:xfrm>
                          <a:prstGeom prst="rect">
                            <a:avLst/>
                          </a:prstGeom>
                          <a:noFill/>
                          <a:ln>
                            <a:noFill/>
                          </a:ln>
                        </pic:spPr>
                      </pic:pic>
                    </a:graphicData>
                  </a:graphic>
                </wp:inline>
              </w:drawing>
            </w:r>
          </w:p>
        </w:tc>
        <w:tc>
          <w:tcPr>
            <w:tcW w:w="4416" w:type="dxa"/>
            <w:vAlign w:val="center"/>
          </w:tcPr>
          <w:p w14:paraId="1F87E106">
            <w:pPr>
              <w:pStyle w:val="2"/>
              <w:keepNext w:val="0"/>
              <w:keepLines w:val="0"/>
              <w:pageBreakBefore w:val="0"/>
              <w:widowControl/>
              <w:kinsoku/>
              <w:wordWrap/>
              <w:overflowPunct/>
              <w:topLinePunct/>
              <w:autoSpaceDE/>
              <w:autoSpaceDN/>
              <w:bidi w:val="0"/>
              <w:adjustRightInd/>
              <w:snapToGrid/>
              <w:spacing w:after="0" w:line="240" w:lineRule="auto"/>
              <w:ind w:firstLine="0"/>
              <w:jc w:val="center"/>
              <w:textAlignment w:val="auto"/>
              <w:rPr>
                <w:rFonts w:ascii="Times New Roman" w:hAnsi="Times New Roman"/>
                <w:b/>
                <w:color w:val="auto"/>
              </w:rPr>
            </w:pPr>
            <w:r>
              <w:rPr>
                <w:color w:val="auto"/>
              </w:rPr>
              <w:drawing>
                <wp:inline distT="0" distB="0" distL="114300" distR="114300">
                  <wp:extent cx="2789555" cy="2195830"/>
                  <wp:effectExtent l="0" t="0" r="10795" b="139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2789555" cy="2195830"/>
                          </a:xfrm>
                          <a:prstGeom prst="rect">
                            <a:avLst/>
                          </a:prstGeom>
                          <a:noFill/>
                          <a:ln>
                            <a:noFill/>
                          </a:ln>
                        </pic:spPr>
                      </pic:pic>
                    </a:graphicData>
                  </a:graphic>
                </wp:inline>
              </w:drawing>
            </w:r>
          </w:p>
        </w:tc>
      </w:tr>
      <w:tr w14:paraId="24F3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14:paraId="60631649">
            <w:pPr>
              <w:pStyle w:val="2"/>
              <w:keepNext w:val="0"/>
              <w:keepLines w:val="0"/>
              <w:pageBreakBefore w:val="0"/>
              <w:widowControl/>
              <w:kinsoku/>
              <w:wordWrap/>
              <w:overflowPunct/>
              <w:topLinePunct/>
              <w:autoSpaceDE/>
              <w:autoSpaceDN/>
              <w:bidi w:val="0"/>
              <w:adjustRightInd/>
              <w:snapToGrid/>
              <w:spacing w:after="0" w:line="240" w:lineRule="auto"/>
              <w:ind w:firstLine="0"/>
              <w:jc w:val="center"/>
              <w:textAlignment w:val="auto"/>
              <w:rPr>
                <w:rFonts w:ascii="Times New Roman" w:hAnsi="Times New Roman"/>
                <w:b/>
                <w:color w:val="auto"/>
              </w:rPr>
            </w:pPr>
            <w:r>
              <w:rPr>
                <w:rFonts w:hint="eastAsia" w:ascii="Times New Roman" w:hAnsi="Times New Roman"/>
                <w:b/>
                <w:color w:val="auto"/>
              </w:rPr>
              <w:t>泰兴石化界区围墙</w:t>
            </w:r>
          </w:p>
        </w:tc>
        <w:tc>
          <w:tcPr>
            <w:tcW w:w="4416" w:type="dxa"/>
            <w:vAlign w:val="center"/>
          </w:tcPr>
          <w:p w14:paraId="35F2CCB3">
            <w:pPr>
              <w:pStyle w:val="2"/>
              <w:keepNext w:val="0"/>
              <w:keepLines w:val="0"/>
              <w:pageBreakBefore w:val="0"/>
              <w:widowControl/>
              <w:kinsoku/>
              <w:wordWrap/>
              <w:overflowPunct/>
              <w:topLinePunct/>
              <w:autoSpaceDE/>
              <w:autoSpaceDN/>
              <w:bidi w:val="0"/>
              <w:adjustRightInd/>
              <w:snapToGrid/>
              <w:spacing w:after="0" w:line="240" w:lineRule="auto"/>
              <w:ind w:firstLine="0"/>
              <w:jc w:val="center"/>
              <w:textAlignment w:val="auto"/>
              <w:rPr>
                <w:rFonts w:ascii="Times New Roman" w:hAnsi="Times New Roman"/>
                <w:b/>
                <w:color w:val="auto"/>
              </w:rPr>
            </w:pPr>
            <w:r>
              <w:rPr>
                <w:rFonts w:hint="eastAsia" w:ascii="Times New Roman" w:hAnsi="Times New Roman"/>
                <w:b/>
                <w:color w:val="auto"/>
                <w:lang w:val="en-US" w:eastAsia="zh-CN"/>
              </w:rPr>
              <w:t>天恒用地范围现状</w:t>
            </w:r>
          </w:p>
        </w:tc>
      </w:tr>
      <w:tr w14:paraId="197A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6" w:hRule="atLeast"/>
        </w:trPr>
        <w:tc>
          <w:tcPr>
            <w:tcW w:w="4644" w:type="dxa"/>
            <w:vAlign w:val="center"/>
          </w:tcPr>
          <w:p w14:paraId="385F32EF">
            <w:pPr>
              <w:pStyle w:val="2"/>
              <w:spacing w:line="240" w:lineRule="auto"/>
              <w:ind w:firstLine="0"/>
              <w:jc w:val="center"/>
              <w:rPr>
                <w:rFonts w:ascii="Times New Roman" w:hAnsi="Times New Roman"/>
                <w:b/>
                <w:color w:val="auto"/>
              </w:rPr>
            </w:pPr>
            <w:r>
              <w:rPr>
                <w:color w:val="auto"/>
              </w:rPr>
              <w:drawing>
                <wp:inline distT="0" distB="0" distL="114300" distR="114300">
                  <wp:extent cx="2807970" cy="2526030"/>
                  <wp:effectExtent l="0" t="0" r="1143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2807970" cy="2526030"/>
                          </a:xfrm>
                          <a:prstGeom prst="rect">
                            <a:avLst/>
                          </a:prstGeom>
                          <a:noFill/>
                          <a:ln>
                            <a:noFill/>
                          </a:ln>
                        </pic:spPr>
                      </pic:pic>
                    </a:graphicData>
                  </a:graphic>
                </wp:inline>
              </w:drawing>
            </w:r>
          </w:p>
        </w:tc>
        <w:tc>
          <w:tcPr>
            <w:tcW w:w="4416" w:type="dxa"/>
            <w:vAlign w:val="center"/>
          </w:tcPr>
          <w:p w14:paraId="10478215">
            <w:pPr>
              <w:pStyle w:val="2"/>
              <w:spacing w:line="240" w:lineRule="auto"/>
              <w:ind w:firstLine="0"/>
              <w:jc w:val="center"/>
              <w:rPr>
                <w:rFonts w:ascii="Times New Roman" w:hAnsi="Times New Roman"/>
                <w:b/>
                <w:color w:val="auto"/>
              </w:rPr>
            </w:pPr>
            <w:r>
              <w:rPr>
                <w:color w:val="auto"/>
              </w:rPr>
              <w:drawing>
                <wp:inline distT="0" distB="0" distL="114300" distR="114300">
                  <wp:extent cx="2662555" cy="2484120"/>
                  <wp:effectExtent l="0" t="0" r="444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2662555" cy="2484120"/>
                          </a:xfrm>
                          <a:prstGeom prst="rect">
                            <a:avLst/>
                          </a:prstGeom>
                          <a:noFill/>
                          <a:ln>
                            <a:noFill/>
                          </a:ln>
                        </pic:spPr>
                      </pic:pic>
                    </a:graphicData>
                  </a:graphic>
                </wp:inline>
              </w:drawing>
            </w:r>
          </w:p>
        </w:tc>
      </w:tr>
      <w:tr w14:paraId="09AC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14:paraId="40CC6809">
            <w:pPr>
              <w:pStyle w:val="2"/>
              <w:keepNext w:val="0"/>
              <w:keepLines w:val="0"/>
              <w:pageBreakBefore w:val="0"/>
              <w:widowControl/>
              <w:kinsoku/>
              <w:wordWrap/>
              <w:overflowPunct/>
              <w:topLinePunct/>
              <w:autoSpaceDE/>
              <w:autoSpaceDN/>
              <w:bidi w:val="0"/>
              <w:adjustRightInd/>
              <w:snapToGrid/>
              <w:spacing w:after="0" w:line="240" w:lineRule="auto"/>
              <w:ind w:firstLine="0"/>
              <w:jc w:val="center"/>
              <w:textAlignment w:val="auto"/>
              <w:rPr>
                <w:rFonts w:ascii="Times New Roman" w:hAnsi="Times New Roman"/>
                <w:b/>
                <w:color w:val="auto"/>
              </w:rPr>
            </w:pPr>
            <w:r>
              <w:rPr>
                <w:rFonts w:hint="eastAsia" w:ascii="Times New Roman" w:hAnsi="Times New Roman"/>
                <w:b/>
                <w:color w:val="auto"/>
              </w:rPr>
              <w:t>管廊沿线植被</w:t>
            </w:r>
          </w:p>
        </w:tc>
        <w:tc>
          <w:tcPr>
            <w:tcW w:w="4416" w:type="dxa"/>
            <w:vAlign w:val="center"/>
          </w:tcPr>
          <w:p w14:paraId="2D238AC0">
            <w:pPr>
              <w:pStyle w:val="2"/>
              <w:keepNext w:val="0"/>
              <w:keepLines w:val="0"/>
              <w:pageBreakBefore w:val="0"/>
              <w:widowControl/>
              <w:kinsoku/>
              <w:wordWrap/>
              <w:overflowPunct/>
              <w:topLinePunct/>
              <w:autoSpaceDE/>
              <w:autoSpaceDN/>
              <w:bidi w:val="0"/>
              <w:adjustRightInd/>
              <w:snapToGrid/>
              <w:spacing w:after="0" w:line="240" w:lineRule="auto"/>
              <w:ind w:firstLine="0"/>
              <w:jc w:val="center"/>
              <w:textAlignment w:val="auto"/>
              <w:rPr>
                <w:rFonts w:hint="default" w:ascii="Times New Roman" w:hAnsi="Times New Roman" w:eastAsia="宋体"/>
                <w:b/>
                <w:color w:val="auto"/>
                <w:lang w:val="en-US" w:eastAsia="zh-CN"/>
              </w:rPr>
            </w:pPr>
            <w:r>
              <w:rPr>
                <w:rFonts w:hint="eastAsia" w:ascii="Times New Roman" w:hAnsi="Times New Roman"/>
                <w:b/>
                <w:color w:val="auto"/>
                <w:lang w:val="en-US" w:eastAsia="zh-CN"/>
              </w:rPr>
              <w:t>迁建</w:t>
            </w:r>
            <w:r>
              <w:rPr>
                <w:rFonts w:hint="eastAsia" w:ascii="Times New Roman" w:hAnsi="Times New Roman"/>
                <w:b/>
                <w:color w:val="auto"/>
              </w:rPr>
              <w:t>管廊走向</w:t>
            </w:r>
            <w:r>
              <w:rPr>
                <w:rFonts w:hint="eastAsia" w:ascii="Times New Roman" w:hAnsi="Times New Roman"/>
                <w:b/>
                <w:color w:val="auto"/>
                <w:lang w:val="en-US" w:eastAsia="zh-CN"/>
              </w:rPr>
              <w:t>和周边现有管廊</w:t>
            </w:r>
          </w:p>
        </w:tc>
      </w:tr>
    </w:tbl>
    <w:p w14:paraId="31E94177">
      <w:pPr>
        <w:pStyle w:val="2"/>
        <w:rPr>
          <w:rFonts w:ascii="Times New Roman" w:hAnsi="Times New Roman"/>
          <w:color w:val="auto"/>
        </w:rPr>
        <w:sectPr>
          <w:footerReference r:id="rId5" w:type="default"/>
          <w:footerReference r:id="rId6" w:type="even"/>
          <w:pgSz w:w="11906" w:h="16838"/>
          <w:pgMar w:top="1418" w:right="1418" w:bottom="1418" w:left="1418" w:header="851" w:footer="1077" w:gutter="0"/>
          <w:pgNumType w:start="1"/>
          <w:cols w:space="720" w:num="1"/>
          <w:titlePg/>
          <w:docGrid w:linePitch="312" w:charSpace="0"/>
        </w:sectPr>
      </w:pPr>
    </w:p>
    <w:sdt>
      <w:sdtPr>
        <w:rPr>
          <w:rFonts w:ascii="宋体" w:hAnsi="宋体"/>
          <w:color w:val="auto"/>
          <w:kern w:val="0"/>
          <w:sz w:val="30"/>
          <w:szCs w:val="30"/>
        </w:rPr>
        <w:id w:val="147472378"/>
        <w:docPartObj>
          <w:docPartGallery w:val="Table of Contents"/>
          <w:docPartUnique/>
        </w:docPartObj>
      </w:sdtPr>
      <w:sdtEndPr>
        <w:rPr>
          <w:rFonts w:ascii="宋体" w:hAnsi="宋体"/>
          <w:snapToGrid w:val="0"/>
          <w:color w:val="auto"/>
          <w:kern w:val="0"/>
          <w:sz w:val="24"/>
          <w:szCs w:val="30"/>
        </w:rPr>
      </w:sdtEndPr>
      <w:sdtContent>
        <w:p w14:paraId="19178142">
          <w:pPr>
            <w:spacing w:line="360" w:lineRule="auto"/>
            <w:jc w:val="center"/>
            <w:rPr>
              <w:color w:val="auto"/>
              <w:kern w:val="0"/>
              <w:sz w:val="30"/>
              <w:szCs w:val="30"/>
            </w:rPr>
          </w:pPr>
        </w:p>
        <w:p w14:paraId="21C923F2">
          <w:pPr>
            <w:spacing w:line="360" w:lineRule="auto"/>
            <w:jc w:val="center"/>
            <w:rPr>
              <w:b/>
              <w:color w:val="auto"/>
              <w:sz w:val="32"/>
              <w:szCs w:val="30"/>
            </w:rPr>
          </w:pPr>
          <w:r>
            <w:rPr>
              <w:b/>
              <w:color w:val="auto"/>
              <w:sz w:val="32"/>
              <w:szCs w:val="30"/>
            </w:rPr>
            <w:t>目录</w:t>
          </w:r>
        </w:p>
        <w:p w14:paraId="735C4CB7">
          <w:pPr>
            <w:pStyle w:val="16"/>
            <w:tabs>
              <w:tab w:val="right" w:leader="dot" w:pos="9060"/>
            </w:tabs>
            <w:spacing w:line="360" w:lineRule="auto"/>
            <w:rPr>
              <w:rFonts w:asciiTheme="minorHAnsi" w:hAnsiTheme="minorHAnsi" w:eastAsiaTheme="minorEastAsia" w:cstheme="minorBidi"/>
              <w:color w:val="auto"/>
              <w:sz w:val="24"/>
              <w:szCs w:val="22"/>
            </w:rPr>
          </w:pPr>
          <w:r>
            <w:rPr>
              <w:snapToGrid w:val="0"/>
              <w:color w:val="auto"/>
              <w:sz w:val="24"/>
            </w:rPr>
            <w:fldChar w:fldCharType="begin"/>
          </w:r>
          <w:r>
            <w:rPr>
              <w:snapToGrid w:val="0"/>
              <w:color w:val="auto"/>
              <w:sz w:val="24"/>
            </w:rPr>
            <w:instrText xml:space="preserve">TOC \o "1-1" \h \u </w:instrText>
          </w:r>
          <w:r>
            <w:rPr>
              <w:snapToGrid w:val="0"/>
              <w:color w:val="auto"/>
              <w:sz w:val="24"/>
            </w:rPr>
            <w:fldChar w:fldCharType="separate"/>
          </w:r>
          <w:r>
            <w:rPr>
              <w:color w:val="auto"/>
            </w:rPr>
            <w:fldChar w:fldCharType="begin"/>
          </w:r>
          <w:r>
            <w:rPr>
              <w:color w:val="auto"/>
            </w:rPr>
            <w:instrText xml:space="preserve"> HYPERLINK \l "_Toc152336001" </w:instrText>
          </w:r>
          <w:r>
            <w:rPr>
              <w:color w:val="auto"/>
            </w:rPr>
            <w:fldChar w:fldCharType="separate"/>
          </w:r>
          <w:r>
            <w:rPr>
              <w:rStyle w:val="26"/>
              <w:rFonts w:hint="eastAsia"/>
              <w:b/>
              <w:snapToGrid w:val="0"/>
              <w:color w:val="auto"/>
              <w:sz w:val="24"/>
            </w:rPr>
            <w:t>一、建设项目基本情况</w:t>
          </w:r>
          <w:r>
            <w:rPr>
              <w:color w:val="auto"/>
              <w:sz w:val="24"/>
            </w:rPr>
            <w:tab/>
          </w:r>
          <w:r>
            <w:rPr>
              <w:color w:val="auto"/>
              <w:sz w:val="24"/>
            </w:rPr>
            <w:fldChar w:fldCharType="begin"/>
          </w:r>
          <w:r>
            <w:rPr>
              <w:color w:val="auto"/>
              <w:sz w:val="24"/>
            </w:rPr>
            <w:instrText xml:space="preserve"> PAGEREF _Toc152336001 \h </w:instrText>
          </w:r>
          <w:r>
            <w:rPr>
              <w:color w:val="auto"/>
              <w:sz w:val="24"/>
            </w:rPr>
            <w:fldChar w:fldCharType="separate"/>
          </w:r>
          <w:r>
            <w:rPr>
              <w:color w:val="auto"/>
              <w:sz w:val="24"/>
            </w:rPr>
            <w:t>1</w:t>
          </w:r>
          <w:r>
            <w:rPr>
              <w:color w:val="auto"/>
              <w:sz w:val="24"/>
            </w:rPr>
            <w:fldChar w:fldCharType="end"/>
          </w:r>
          <w:r>
            <w:rPr>
              <w:color w:val="auto"/>
              <w:sz w:val="24"/>
            </w:rPr>
            <w:fldChar w:fldCharType="end"/>
          </w:r>
        </w:p>
        <w:p w14:paraId="7EBF9009">
          <w:pPr>
            <w:pStyle w:val="16"/>
            <w:tabs>
              <w:tab w:val="right" w:leader="dot" w:pos="9060"/>
            </w:tabs>
            <w:spacing w:line="360" w:lineRule="auto"/>
            <w:rPr>
              <w:rFonts w:asciiTheme="minorHAnsi" w:hAnsiTheme="minorHAnsi" w:eastAsiaTheme="minorEastAsia" w:cstheme="minorBidi"/>
              <w:color w:val="auto"/>
              <w:sz w:val="24"/>
              <w:szCs w:val="22"/>
            </w:rPr>
          </w:pPr>
          <w:r>
            <w:rPr>
              <w:color w:val="auto"/>
            </w:rPr>
            <w:fldChar w:fldCharType="begin"/>
          </w:r>
          <w:r>
            <w:rPr>
              <w:color w:val="auto"/>
            </w:rPr>
            <w:instrText xml:space="preserve"> HYPERLINK \l "_Toc152336002" </w:instrText>
          </w:r>
          <w:r>
            <w:rPr>
              <w:color w:val="auto"/>
            </w:rPr>
            <w:fldChar w:fldCharType="separate"/>
          </w:r>
          <w:r>
            <w:rPr>
              <w:rStyle w:val="26"/>
              <w:rFonts w:hint="eastAsia"/>
              <w:b/>
              <w:snapToGrid w:val="0"/>
              <w:color w:val="auto"/>
              <w:sz w:val="24"/>
            </w:rPr>
            <w:t>二、建设内容</w:t>
          </w:r>
          <w:r>
            <w:rPr>
              <w:color w:val="auto"/>
              <w:sz w:val="24"/>
            </w:rPr>
            <w:tab/>
          </w:r>
          <w:r>
            <w:rPr>
              <w:color w:val="auto"/>
              <w:sz w:val="24"/>
            </w:rPr>
            <w:fldChar w:fldCharType="begin"/>
          </w:r>
          <w:r>
            <w:rPr>
              <w:color w:val="auto"/>
              <w:sz w:val="24"/>
            </w:rPr>
            <w:instrText xml:space="preserve"> PAGEREF _Toc152336002 \h </w:instrText>
          </w:r>
          <w:r>
            <w:rPr>
              <w:color w:val="auto"/>
              <w:sz w:val="24"/>
            </w:rPr>
            <w:fldChar w:fldCharType="separate"/>
          </w:r>
          <w:r>
            <w:rPr>
              <w:color w:val="auto"/>
              <w:sz w:val="24"/>
            </w:rPr>
            <w:t>15</w:t>
          </w:r>
          <w:r>
            <w:rPr>
              <w:color w:val="auto"/>
              <w:sz w:val="24"/>
            </w:rPr>
            <w:fldChar w:fldCharType="end"/>
          </w:r>
          <w:r>
            <w:rPr>
              <w:color w:val="auto"/>
              <w:sz w:val="24"/>
            </w:rPr>
            <w:fldChar w:fldCharType="end"/>
          </w:r>
        </w:p>
        <w:p w14:paraId="1ACD7588">
          <w:pPr>
            <w:pStyle w:val="16"/>
            <w:tabs>
              <w:tab w:val="right" w:leader="dot" w:pos="9060"/>
            </w:tabs>
            <w:spacing w:line="360" w:lineRule="auto"/>
            <w:rPr>
              <w:rFonts w:asciiTheme="minorHAnsi" w:hAnsiTheme="minorHAnsi" w:eastAsiaTheme="minorEastAsia" w:cstheme="minorBidi"/>
              <w:color w:val="auto"/>
              <w:sz w:val="24"/>
              <w:szCs w:val="22"/>
            </w:rPr>
          </w:pPr>
          <w:r>
            <w:rPr>
              <w:color w:val="auto"/>
            </w:rPr>
            <w:fldChar w:fldCharType="begin"/>
          </w:r>
          <w:r>
            <w:rPr>
              <w:color w:val="auto"/>
            </w:rPr>
            <w:instrText xml:space="preserve"> HYPERLINK \l "_Toc152336003" </w:instrText>
          </w:r>
          <w:r>
            <w:rPr>
              <w:color w:val="auto"/>
            </w:rPr>
            <w:fldChar w:fldCharType="separate"/>
          </w:r>
          <w:r>
            <w:rPr>
              <w:rStyle w:val="26"/>
              <w:rFonts w:hint="eastAsia"/>
              <w:b/>
              <w:snapToGrid w:val="0"/>
              <w:color w:val="auto"/>
              <w:sz w:val="24"/>
            </w:rPr>
            <w:t>三、生态环境现状、环境保护目标及评价标准</w:t>
          </w:r>
          <w:r>
            <w:rPr>
              <w:color w:val="auto"/>
              <w:sz w:val="24"/>
            </w:rPr>
            <w:tab/>
          </w:r>
          <w:r>
            <w:rPr>
              <w:color w:val="auto"/>
              <w:sz w:val="24"/>
            </w:rPr>
            <w:fldChar w:fldCharType="begin"/>
          </w:r>
          <w:r>
            <w:rPr>
              <w:color w:val="auto"/>
              <w:sz w:val="24"/>
            </w:rPr>
            <w:instrText xml:space="preserve"> PAGEREF _Toc152336003 \h </w:instrText>
          </w:r>
          <w:r>
            <w:rPr>
              <w:color w:val="auto"/>
              <w:sz w:val="24"/>
            </w:rPr>
            <w:fldChar w:fldCharType="separate"/>
          </w:r>
          <w:r>
            <w:rPr>
              <w:color w:val="auto"/>
              <w:sz w:val="24"/>
            </w:rPr>
            <w:t>34</w:t>
          </w:r>
          <w:r>
            <w:rPr>
              <w:color w:val="auto"/>
              <w:sz w:val="24"/>
            </w:rPr>
            <w:fldChar w:fldCharType="end"/>
          </w:r>
          <w:r>
            <w:rPr>
              <w:color w:val="auto"/>
              <w:sz w:val="24"/>
            </w:rPr>
            <w:fldChar w:fldCharType="end"/>
          </w:r>
        </w:p>
        <w:p w14:paraId="7C45F328">
          <w:pPr>
            <w:pStyle w:val="16"/>
            <w:tabs>
              <w:tab w:val="right" w:leader="dot" w:pos="9060"/>
            </w:tabs>
            <w:spacing w:line="360" w:lineRule="auto"/>
            <w:rPr>
              <w:rFonts w:asciiTheme="minorHAnsi" w:hAnsiTheme="minorHAnsi" w:eastAsiaTheme="minorEastAsia" w:cstheme="minorBidi"/>
              <w:color w:val="auto"/>
              <w:sz w:val="24"/>
              <w:szCs w:val="22"/>
            </w:rPr>
          </w:pPr>
          <w:r>
            <w:rPr>
              <w:color w:val="auto"/>
            </w:rPr>
            <w:fldChar w:fldCharType="begin"/>
          </w:r>
          <w:r>
            <w:rPr>
              <w:color w:val="auto"/>
            </w:rPr>
            <w:instrText xml:space="preserve"> HYPERLINK \l "_Toc152336004" </w:instrText>
          </w:r>
          <w:r>
            <w:rPr>
              <w:color w:val="auto"/>
            </w:rPr>
            <w:fldChar w:fldCharType="separate"/>
          </w:r>
          <w:r>
            <w:rPr>
              <w:rStyle w:val="26"/>
              <w:rFonts w:hint="eastAsia"/>
              <w:b/>
              <w:snapToGrid w:val="0"/>
              <w:color w:val="auto"/>
              <w:sz w:val="24"/>
            </w:rPr>
            <w:t>四、生态环境影响分析</w:t>
          </w:r>
          <w:r>
            <w:rPr>
              <w:color w:val="auto"/>
              <w:sz w:val="24"/>
            </w:rPr>
            <w:tab/>
          </w:r>
          <w:r>
            <w:rPr>
              <w:color w:val="auto"/>
              <w:sz w:val="24"/>
            </w:rPr>
            <w:fldChar w:fldCharType="begin"/>
          </w:r>
          <w:r>
            <w:rPr>
              <w:color w:val="auto"/>
              <w:sz w:val="24"/>
            </w:rPr>
            <w:instrText xml:space="preserve"> PAGEREF _Toc152336004 \h </w:instrText>
          </w:r>
          <w:r>
            <w:rPr>
              <w:color w:val="auto"/>
              <w:sz w:val="24"/>
            </w:rPr>
            <w:fldChar w:fldCharType="separate"/>
          </w:r>
          <w:r>
            <w:rPr>
              <w:color w:val="auto"/>
              <w:sz w:val="24"/>
            </w:rPr>
            <w:t>45</w:t>
          </w:r>
          <w:r>
            <w:rPr>
              <w:color w:val="auto"/>
              <w:sz w:val="24"/>
            </w:rPr>
            <w:fldChar w:fldCharType="end"/>
          </w:r>
          <w:r>
            <w:rPr>
              <w:color w:val="auto"/>
              <w:sz w:val="24"/>
            </w:rPr>
            <w:fldChar w:fldCharType="end"/>
          </w:r>
        </w:p>
        <w:p w14:paraId="48B49576">
          <w:pPr>
            <w:pStyle w:val="16"/>
            <w:tabs>
              <w:tab w:val="right" w:leader="dot" w:pos="9060"/>
            </w:tabs>
            <w:spacing w:line="360" w:lineRule="auto"/>
            <w:rPr>
              <w:rFonts w:asciiTheme="minorHAnsi" w:hAnsiTheme="minorHAnsi" w:eastAsiaTheme="minorEastAsia" w:cstheme="minorBidi"/>
              <w:color w:val="auto"/>
              <w:sz w:val="24"/>
              <w:szCs w:val="22"/>
            </w:rPr>
          </w:pPr>
          <w:r>
            <w:rPr>
              <w:color w:val="auto"/>
            </w:rPr>
            <w:fldChar w:fldCharType="begin"/>
          </w:r>
          <w:r>
            <w:rPr>
              <w:color w:val="auto"/>
            </w:rPr>
            <w:instrText xml:space="preserve"> HYPERLINK \l "_Toc152336005" </w:instrText>
          </w:r>
          <w:r>
            <w:rPr>
              <w:color w:val="auto"/>
            </w:rPr>
            <w:fldChar w:fldCharType="separate"/>
          </w:r>
          <w:r>
            <w:rPr>
              <w:rStyle w:val="26"/>
              <w:rFonts w:hint="eastAsia"/>
              <w:b/>
              <w:snapToGrid w:val="0"/>
              <w:color w:val="auto"/>
              <w:sz w:val="24"/>
            </w:rPr>
            <w:t>五、主要生态环境保护措施</w:t>
          </w:r>
          <w:r>
            <w:rPr>
              <w:color w:val="auto"/>
              <w:sz w:val="24"/>
            </w:rPr>
            <w:tab/>
          </w:r>
          <w:r>
            <w:rPr>
              <w:color w:val="auto"/>
              <w:sz w:val="24"/>
            </w:rPr>
            <w:fldChar w:fldCharType="begin"/>
          </w:r>
          <w:r>
            <w:rPr>
              <w:color w:val="auto"/>
              <w:sz w:val="24"/>
            </w:rPr>
            <w:instrText xml:space="preserve"> PAGEREF _Toc152336005 \h </w:instrText>
          </w:r>
          <w:r>
            <w:rPr>
              <w:color w:val="auto"/>
              <w:sz w:val="24"/>
            </w:rPr>
            <w:fldChar w:fldCharType="separate"/>
          </w:r>
          <w:r>
            <w:rPr>
              <w:color w:val="auto"/>
              <w:sz w:val="24"/>
            </w:rPr>
            <w:t>58</w:t>
          </w:r>
          <w:r>
            <w:rPr>
              <w:color w:val="auto"/>
              <w:sz w:val="24"/>
            </w:rPr>
            <w:fldChar w:fldCharType="end"/>
          </w:r>
          <w:r>
            <w:rPr>
              <w:color w:val="auto"/>
              <w:sz w:val="24"/>
            </w:rPr>
            <w:fldChar w:fldCharType="end"/>
          </w:r>
        </w:p>
        <w:p w14:paraId="0FC62FB8">
          <w:pPr>
            <w:pStyle w:val="16"/>
            <w:tabs>
              <w:tab w:val="right" w:leader="dot" w:pos="9060"/>
            </w:tabs>
            <w:spacing w:line="360" w:lineRule="auto"/>
            <w:rPr>
              <w:rFonts w:asciiTheme="minorHAnsi" w:hAnsiTheme="minorHAnsi" w:eastAsiaTheme="minorEastAsia" w:cstheme="minorBidi"/>
              <w:color w:val="auto"/>
              <w:sz w:val="24"/>
              <w:szCs w:val="22"/>
            </w:rPr>
          </w:pPr>
          <w:r>
            <w:rPr>
              <w:color w:val="auto"/>
            </w:rPr>
            <w:fldChar w:fldCharType="begin"/>
          </w:r>
          <w:r>
            <w:rPr>
              <w:color w:val="auto"/>
            </w:rPr>
            <w:instrText xml:space="preserve"> HYPERLINK \l "_Toc152336006" </w:instrText>
          </w:r>
          <w:r>
            <w:rPr>
              <w:color w:val="auto"/>
            </w:rPr>
            <w:fldChar w:fldCharType="separate"/>
          </w:r>
          <w:r>
            <w:rPr>
              <w:rStyle w:val="26"/>
              <w:rFonts w:hint="eastAsia"/>
              <w:b/>
              <w:snapToGrid w:val="0"/>
              <w:color w:val="auto"/>
              <w:sz w:val="24"/>
            </w:rPr>
            <w:t>六、环境保护措施监督检查清单</w:t>
          </w:r>
          <w:r>
            <w:rPr>
              <w:color w:val="auto"/>
              <w:sz w:val="24"/>
            </w:rPr>
            <w:tab/>
          </w:r>
          <w:r>
            <w:rPr>
              <w:color w:val="auto"/>
              <w:sz w:val="24"/>
            </w:rPr>
            <w:fldChar w:fldCharType="begin"/>
          </w:r>
          <w:r>
            <w:rPr>
              <w:color w:val="auto"/>
              <w:sz w:val="24"/>
            </w:rPr>
            <w:instrText xml:space="preserve"> PAGEREF _Toc152336006 \h </w:instrText>
          </w:r>
          <w:r>
            <w:rPr>
              <w:color w:val="auto"/>
              <w:sz w:val="24"/>
            </w:rPr>
            <w:fldChar w:fldCharType="separate"/>
          </w:r>
          <w:r>
            <w:rPr>
              <w:color w:val="auto"/>
              <w:sz w:val="24"/>
            </w:rPr>
            <w:t>67</w:t>
          </w:r>
          <w:r>
            <w:rPr>
              <w:color w:val="auto"/>
              <w:sz w:val="24"/>
            </w:rPr>
            <w:fldChar w:fldCharType="end"/>
          </w:r>
          <w:r>
            <w:rPr>
              <w:color w:val="auto"/>
              <w:sz w:val="24"/>
            </w:rPr>
            <w:fldChar w:fldCharType="end"/>
          </w:r>
        </w:p>
        <w:p w14:paraId="58C5A068">
          <w:pPr>
            <w:pStyle w:val="16"/>
            <w:tabs>
              <w:tab w:val="right" w:leader="dot" w:pos="9060"/>
            </w:tabs>
            <w:spacing w:line="360" w:lineRule="auto"/>
            <w:rPr>
              <w:rFonts w:asciiTheme="minorHAnsi" w:hAnsiTheme="minorHAnsi" w:eastAsiaTheme="minorEastAsia" w:cstheme="minorBidi"/>
              <w:color w:val="auto"/>
              <w:szCs w:val="22"/>
            </w:rPr>
          </w:pPr>
          <w:r>
            <w:rPr>
              <w:color w:val="auto"/>
            </w:rPr>
            <w:fldChar w:fldCharType="begin"/>
          </w:r>
          <w:r>
            <w:rPr>
              <w:color w:val="auto"/>
            </w:rPr>
            <w:instrText xml:space="preserve"> HYPERLINK \l "_Toc152336007" </w:instrText>
          </w:r>
          <w:r>
            <w:rPr>
              <w:color w:val="auto"/>
            </w:rPr>
            <w:fldChar w:fldCharType="separate"/>
          </w:r>
          <w:r>
            <w:rPr>
              <w:rStyle w:val="26"/>
              <w:rFonts w:hint="eastAsia"/>
              <w:b/>
              <w:snapToGrid w:val="0"/>
              <w:color w:val="auto"/>
              <w:sz w:val="24"/>
            </w:rPr>
            <w:t>七、结论</w:t>
          </w:r>
          <w:r>
            <w:rPr>
              <w:color w:val="auto"/>
              <w:sz w:val="24"/>
            </w:rPr>
            <w:tab/>
          </w:r>
          <w:r>
            <w:rPr>
              <w:color w:val="auto"/>
              <w:sz w:val="24"/>
            </w:rPr>
            <w:fldChar w:fldCharType="begin"/>
          </w:r>
          <w:r>
            <w:rPr>
              <w:color w:val="auto"/>
              <w:sz w:val="24"/>
            </w:rPr>
            <w:instrText xml:space="preserve"> PAGEREF _Toc152336007 \h </w:instrText>
          </w:r>
          <w:r>
            <w:rPr>
              <w:color w:val="auto"/>
              <w:sz w:val="24"/>
            </w:rPr>
            <w:fldChar w:fldCharType="separate"/>
          </w:r>
          <w:r>
            <w:rPr>
              <w:color w:val="auto"/>
              <w:sz w:val="24"/>
            </w:rPr>
            <w:t>70</w:t>
          </w:r>
          <w:r>
            <w:rPr>
              <w:color w:val="auto"/>
              <w:sz w:val="24"/>
            </w:rPr>
            <w:fldChar w:fldCharType="end"/>
          </w:r>
          <w:r>
            <w:rPr>
              <w:color w:val="auto"/>
              <w:sz w:val="24"/>
            </w:rPr>
            <w:fldChar w:fldCharType="end"/>
          </w:r>
        </w:p>
        <w:p w14:paraId="7EFA5F64">
          <w:pPr>
            <w:pStyle w:val="17"/>
            <w:rPr>
              <w:rFonts w:ascii="Times New Roman" w:hAnsi="Times New Roman"/>
              <w:snapToGrid w:val="0"/>
              <w:color w:val="auto"/>
              <w:szCs w:val="24"/>
            </w:rPr>
          </w:pPr>
          <w:r>
            <w:rPr>
              <w:rFonts w:ascii="Times New Roman" w:hAnsi="Times New Roman"/>
              <w:snapToGrid w:val="0"/>
              <w:color w:val="auto"/>
              <w:szCs w:val="24"/>
            </w:rPr>
            <w:fldChar w:fldCharType="end"/>
          </w:r>
        </w:p>
      </w:sdtContent>
    </w:sdt>
    <w:p w14:paraId="0CE90C3B">
      <w:pPr>
        <w:pStyle w:val="51"/>
        <w:ind w:firstLine="0" w:firstLineChars="0"/>
        <w:rPr>
          <w:snapToGrid w:val="0"/>
          <w:color w:val="auto"/>
          <w:lang w:eastAsia="zh-CN"/>
        </w:rPr>
      </w:pPr>
      <w:r>
        <w:rPr>
          <w:b/>
          <w:snapToGrid w:val="0"/>
          <w:color w:val="auto"/>
          <w:lang w:eastAsia="zh-CN"/>
        </w:rPr>
        <w:t>附图</w:t>
      </w:r>
      <w:r>
        <w:rPr>
          <w:snapToGrid w:val="0"/>
          <w:color w:val="auto"/>
          <w:lang w:eastAsia="zh-CN"/>
        </w:rPr>
        <w:t>：</w:t>
      </w:r>
    </w:p>
    <w:p w14:paraId="15CCF02D">
      <w:pPr>
        <w:pStyle w:val="51"/>
        <w:ind w:firstLine="480"/>
        <w:rPr>
          <w:snapToGrid w:val="0"/>
          <w:color w:val="auto"/>
          <w:lang w:eastAsia="zh-CN"/>
        </w:rPr>
      </w:pPr>
      <w:r>
        <w:rPr>
          <w:snapToGrid w:val="0"/>
          <w:color w:val="auto"/>
          <w:lang w:eastAsia="zh-CN"/>
        </w:rPr>
        <w:t>附图1项目地理位置图</w:t>
      </w:r>
    </w:p>
    <w:p w14:paraId="5F0ED343">
      <w:pPr>
        <w:pStyle w:val="51"/>
        <w:ind w:firstLine="480"/>
        <w:rPr>
          <w:snapToGrid w:val="0"/>
          <w:color w:val="auto"/>
          <w:lang w:eastAsia="zh-CN"/>
        </w:rPr>
      </w:pPr>
      <w:r>
        <w:rPr>
          <w:snapToGrid w:val="0"/>
          <w:color w:val="auto"/>
          <w:lang w:eastAsia="zh-CN"/>
        </w:rPr>
        <w:t>附图2</w:t>
      </w:r>
      <w:r>
        <w:rPr>
          <w:rFonts w:hint="eastAsia"/>
          <w:snapToGrid w:val="0"/>
          <w:color w:val="auto"/>
          <w:lang w:eastAsia="zh-CN"/>
        </w:rPr>
        <w:t>项目管廊走向布置图</w:t>
      </w:r>
    </w:p>
    <w:p w14:paraId="4581477A">
      <w:pPr>
        <w:pStyle w:val="51"/>
        <w:ind w:firstLine="480"/>
        <w:rPr>
          <w:snapToGrid w:val="0"/>
          <w:color w:val="auto"/>
          <w:lang w:eastAsia="zh-CN"/>
        </w:rPr>
      </w:pPr>
      <w:r>
        <w:rPr>
          <w:snapToGrid w:val="0"/>
          <w:color w:val="auto"/>
          <w:lang w:eastAsia="zh-CN"/>
        </w:rPr>
        <w:t>附图3</w:t>
      </w:r>
      <w:r>
        <w:rPr>
          <w:rFonts w:hint="eastAsia"/>
          <w:snapToGrid w:val="0"/>
          <w:color w:val="auto"/>
          <w:lang w:eastAsia="zh-CN"/>
        </w:rPr>
        <w:t>项目管廊平面布置图</w:t>
      </w:r>
    </w:p>
    <w:p w14:paraId="03829F97">
      <w:pPr>
        <w:pStyle w:val="51"/>
        <w:ind w:firstLine="480"/>
        <w:rPr>
          <w:rFonts w:hint="default"/>
          <w:snapToGrid w:val="0"/>
          <w:color w:val="auto"/>
          <w:lang w:val="en-US" w:eastAsia="zh-CN"/>
        </w:rPr>
      </w:pPr>
      <w:r>
        <w:rPr>
          <w:snapToGrid w:val="0"/>
          <w:color w:val="auto"/>
          <w:lang w:eastAsia="zh-CN"/>
        </w:rPr>
        <w:t>附图4</w:t>
      </w:r>
      <w:r>
        <w:rPr>
          <w:rFonts w:hint="eastAsia"/>
          <w:snapToGrid w:val="0"/>
          <w:color w:val="auto"/>
          <w:lang w:eastAsia="zh-CN"/>
        </w:rPr>
        <w:t>项目</w:t>
      </w:r>
      <w:r>
        <w:rPr>
          <w:rFonts w:hint="eastAsia"/>
          <w:snapToGrid w:val="0"/>
          <w:color w:val="auto"/>
          <w:lang w:val="en-US" w:eastAsia="zh-CN"/>
        </w:rPr>
        <w:t>噪声评价范围</w:t>
      </w:r>
    </w:p>
    <w:p w14:paraId="37A1C404">
      <w:pPr>
        <w:pStyle w:val="51"/>
        <w:ind w:firstLine="480"/>
        <w:rPr>
          <w:rFonts w:hint="eastAsia"/>
          <w:snapToGrid w:val="0"/>
          <w:color w:val="auto"/>
          <w:lang w:eastAsia="zh-CN"/>
        </w:rPr>
      </w:pPr>
      <w:r>
        <w:rPr>
          <w:snapToGrid w:val="0"/>
          <w:color w:val="auto"/>
          <w:lang w:eastAsia="zh-CN"/>
        </w:rPr>
        <w:t>附图</w:t>
      </w:r>
      <w:r>
        <w:rPr>
          <w:rFonts w:hint="eastAsia"/>
          <w:snapToGrid w:val="0"/>
          <w:color w:val="auto"/>
          <w:lang w:val="en-US" w:eastAsia="zh-CN"/>
        </w:rPr>
        <w:t>5</w:t>
      </w:r>
      <w:r>
        <w:rPr>
          <w:rFonts w:hint="eastAsia"/>
          <w:snapToGrid w:val="0"/>
          <w:color w:val="auto"/>
          <w:lang w:eastAsia="zh-CN"/>
        </w:rPr>
        <w:t>项目与钦州石化产业园位置关系图</w:t>
      </w:r>
    </w:p>
    <w:p w14:paraId="67E85AE7">
      <w:pPr>
        <w:pStyle w:val="51"/>
        <w:ind w:firstLine="480"/>
        <w:rPr>
          <w:rFonts w:hint="eastAsia"/>
          <w:snapToGrid w:val="0"/>
          <w:color w:val="auto"/>
          <w:u w:val="single"/>
          <w:lang w:eastAsia="zh-CN"/>
        </w:rPr>
      </w:pPr>
      <w:r>
        <w:rPr>
          <w:snapToGrid w:val="0"/>
          <w:color w:val="auto"/>
          <w:u w:val="single"/>
          <w:lang w:eastAsia="zh-CN"/>
        </w:rPr>
        <w:t>附图</w:t>
      </w:r>
      <w:r>
        <w:rPr>
          <w:rFonts w:hint="eastAsia"/>
          <w:snapToGrid w:val="0"/>
          <w:color w:val="auto"/>
          <w:u w:val="single"/>
          <w:lang w:val="en-US" w:eastAsia="zh-CN"/>
        </w:rPr>
        <w:t>6</w:t>
      </w:r>
      <w:r>
        <w:rPr>
          <w:rFonts w:hint="eastAsia"/>
          <w:snapToGrid w:val="0"/>
          <w:color w:val="auto"/>
          <w:u w:val="single"/>
          <w:lang w:eastAsia="zh-CN"/>
        </w:rPr>
        <w:t>项目与</w:t>
      </w:r>
      <w:r>
        <w:rPr>
          <w:rFonts w:hint="default"/>
          <w:color w:val="auto"/>
          <w:sz w:val="24"/>
          <w:u w:val="single"/>
          <w:lang w:val="en-US" w:eastAsia="zh-CN"/>
        </w:rPr>
        <w:t>广西壮族自治区</w:t>
      </w:r>
      <w:r>
        <w:rPr>
          <w:rFonts w:hint="eastAsia"/>
          <w:color w:val="auto"/>
          <w:sz w:val="24"/>
          <w:u w:val="single"/>
          <w:lang w:val="en-US" w:eastAsia="zh-CN"/>
        </w:rPr>
        <w:t>重要生态功能区</w:t>
      </w:r>
      <w:r>
        <w:rPr>
          <w:rFonts w:hint="eastAsia"/>
          <w:snapToGrid w:val="0"/>
          <w:color w:val="auto"/>
          <w:u w:val="single"/>
          <w:lang w:eastAsia="zh-CN"/>
        </w:rPr>
        <w:t>关系图</w:t>
      </w:r>
    </w:p>
    <w:p w14:paraId="3E3650D3">
      <w:pPr>
        <w:pStyle w:val="51"/>
        <w:ind w:firstLine="480"/>
        <w:rPr>
          <w:rFonts w:hint="eastAsia"/>
          <w:snapToGrid w:val="0"/>
          <w:color w:val="auto"/>
          <w:u w:val="single"/>
          <w:lang w:eastAsia="zh-CN"/>
        </w:rPr>
      </w:pPr>
      <w:r>
        <w:rPr>
          <w:snapToGrid w:val="0"/>
          <w:color w:val="auto"/>
          <w:u w:val="single"/>
          <w:lang w:eastAsia="zh-CN"/>
        </w:rPr>
        <w:t>附图</w:t>
      </w:r>
      <w:r>
        <w:rPr>
          <w:rFonts w:hint="eastAsia"/>
          <w:snapToGrid w:val="0"/>
          <w:color w:val="auto"/>
          <w:u w:val="single"/>
          <w:lang w:val="en-US" w:eastAsia="zh-CN"/>
        </w:rPr>
        <w:t>7</w:t>
      </w:r>
      <w:r>
        <w:rPr>
          <w:rFonts w:hint="eastAsia"/>
          <w:snapToGrid w:val="0"/>
          <w:color w:val="auto"/>
          <w:u w:val="single"/>
          <w:lang w:eastAsia="zh-CN"/>
        </w:rPr>
        <w:t>项目与广西壮族自治区主体功能区关系图</w:t>
      </w:r>
    </w:p>
    <w:p w14:paraId="79D08BA9">
      <w:pPr>
        <w:pStyle w:val="51"/>
        <w:ind w:firstLine="480"/>
        <w:rPr>
          <w:rFonts w:hint="default"/>
          <w:snapToGrid w:val="0"/>
          <w:color w:val="auto"/>
          <w:u w:val="single"/>
          <w:lang w:val="en-US" w:eastAsia="zh-CN"/>
        </w:rPr>
      </w:pPr>
      <w:r>
        <w:rPr>
          <w:snapToGrid w:val="0"/>
          <w:color w:val="auto"/>
          <w:u w:val="single"/>
          <w:lang w:eastAsia="zh-CN"/>
        </w:rPr>
        <w:t>附图</w:t>
      </w:r>
      <w:r>
        <w:rPr>
          <w:rFonts w:hint="eastAsia"/>
          <w:snapToGrid w:val="0"/>
          <w:color w:val="auto"/>
          <w:u w:val="single"/>
          <w:lang w:val="en-US" w:eastAsia="zh-CN"/>
        </w:rPr>
        <w:t>8 项目与钦州市钦南区红树林资源规划布局关系图</w:t>
      </w:r>
    </w:p>
    <w:p w14:paraId="407D3C28">
      <w:pPr>
        <w:pStyle w:val="53"/>
        <w:ind w:firstLine="0" w:firstLineChars="0"/>
        <w:rPr>
          <w:b/>
          <w:snapToGrid w:val="0"/>
          <w:color w:val="auto"/>
        </w:rPr>
      </w:pPr>
      <w:r>
        <w:rPr>
          <w:b/>
          <w:snapToGrid w:val="0"/>
          <w:color w:val="auto"/>
        </w:rPr>
        <w:t>附件：</w:t>
      </w:r>
    </w:p>
    <w:p w14:paraId="329EB0BA">
      <w:pPr>
        <w:pStyle w:val="53"/>
        <w:ind w:firstLine="480"/>
        <w:rPr>
          <w:snapToGrid w:val="0"/>
          <w:color w:val="auto"/>
        </w:rPr>
      </w:pPr>
      <w:r>
        <w:rPr>
          <w:snapToGrid w:val="0"/>
          <w:color w:val="auto"/>
        </w:rPr>
        <w:t>附件1委托书</w:t>
      </w:r>
    </w:p>
    <w:p w14:paraId="6EB27863">
      <w:pPr>
        <w:pStyle w:val="53"/>
        <w:ind w:firstLine="480"/>
        <w:rPr>
          <w:snapToGrid w:val="0"/>
          <w:color w:val="auto"/>
        </w:rPr>
      </w:pPr>
      <w:r>
        <w:rPr>
          <w:snapToGrid w:val="0"/>
          <w:color w:val="auto"/>
        </w:rPr>
        <w:t>附件2</w:t>
      </w:r>
      <w:r>
        <w:rPr>
          <w:rFonts w:hint="eastAsia"/>
          <w:snapToGrid w:val="0"/>
          <w:color w:val="auto"/>
        </w:rPr>
        <w:t>关于钦州泰兴石化管廊迁改工程实施方案变更的批复</w:t>
      </w:r>
    </w:p>
    <w:p w14:paraId="4B31FB6D">
      <w:pPr>
        <w:pStyle w:val="53"/>
        <w:ind w:firstLine="480"/>
        <w:rPr>
          <w:snapToGrid w:val="0"/>
          <w:color w:val="auto"/>
        </w:rPr>
      </w:pPr>
      <w:r>
        <w:rPr>
          <w:snapToGrid w:val="0"/>
          <w:color w:val="auto"/>
        </w:rPr>
        <w:t>附件3</w:t>
      </w:r>
      <w:r>
        <w:rPr>
          <w:rFonts w:hint="eastAsia"/>
          <w:snapToGrid w:val="0"/>
          <w:color w:val="auto"/>
        </w:rPr>
        <w:t xml:space="preserve"> 广西钦州泰兴石油化工有限公司工业白油及溶剂油项目环境影响报告书的批复</w:t>
      </w:r>
    </w:p>
    <w:p w14:paraId="24B3CD55">
      <w:pPr>
        <w:pStyle w:val="53"/>
        <w:ind w:firstLine="480"/>
        <w:rPr>
          <w:snapToGrid w:val="0"/>
          <w:color w:val="auto"/>
        </w:rPr>
      </w:pPr>
      <w:r>
        <w:rPr>
          <w:snapToGrid w:val="0"/>
          <w:color w:val="auto"/>
        </w:rPr>
        <w:t>附件4</w:t>
      </w:r>
      <w:r>
        <w:rPr>
          <w:rFonts w:hint="eastAsia"/>
          <w:snapToGrid w:val="0"/>
          <w:color w:val="auto"/>
        </w:rPr>
        <w:t>广西钦州泰兴石油化工有限公司</w:t>
      </w:r>
      <w:r>
        <w:rPr>
          <w:rFonts w:hint="eastAsia"/>
          <w:snapToGrid w:val="0"/>
          <w:color w:val="auto"/>
          <w:lang w:eastAsia="zh-CN"/>
        </w:rPr>
        <w:t>工业制</w:t>
      </w:r>
      <w:r>
        <w:rPr>
          <w:rFonts w:hint="eastAsia"/>
          <w:snapToGrid w:val="0"/>
          <w:color w:val="auto"/>
        </w:rPr>
        <w:t>油及溶剂油配套工程项目环境影响报告书的批复</w:t>
      </w:r>
    </w:p>
    <w:p w14:paraId="57AC564B">
      <w:pPr>
        <w:pStyle w:val="53"/>
        <w:ind w:firstLine="480"/>
        <w:rPr>
          <w:snapToGrid w:val="0"/>
          <w:color w:val="auto"/>
        </w:rPr>
      </w:pPr>
      <w:r>
        <w:rPr>
          <w:snapToGrid w:val="0"/>
          <w:color w:val="auto"/>
        </w:rPr>
        <w:t>附件5</w:t>
      </w:r>
      <w:r>
        <w:rPr>
          <w:rFonts w:hint="eastAsia"/>
          <w:snapToGrid w:val="0"/>
          <w:color w:val="auto"/>
        </w:rPr>
        <w:t>广西钦州泰兴石油化工有限公司工业白油及溶剂油(一期)项目竣工环境保护验收意见</w:t>
      </w:r>
    </w:p>
    <w:p w14:paraId="44E5705E">
      <w:pPr>
        <w:pStyle w:val="53"/>
        <w:ind w:firstLine="480"/>
        <w:rPr>
          <w:rFonts w:hint="eastAsia"/>
          <w:snapToGrid w:val="0"/>
          <w:color w:val="auto"/>
        </w:rPr>
      </w:pPr>
      <w:r>
        <w:rPr>
          <w:rFonts w:hint="eastAsia"/>
          <w:snapToGrid w:val="0"/>
          <w:color w:val="auto"/>
        </w:rPr>
        <w:t>附件6 关于钦州泰兴石化管廊迁改工程项目研判初步结论</w:t>
      </w:r>
    </w:p>
    <w:p w14:paraId="57C72588">
      <w:pPr>
        <w:pStyle w:val="53"/>
        <w:ind w:firstLine="480"/>
        <w:rPr>
          <w:rFonts w:hint="eastAsia"/>
          <w:snapToGrid w:val="0"/>
          <w:color w:val="auto"/>
          <w:u w:val="single"/>
          <w:lang w:val="en-US" w:eastAsia="zh-CN"/>
        </w:rPr>
      </w:pPr>
      <w:r>
        <w:rPr>
          <w:rFonts w:hint="eastAsia"/>
          <w:snapToGrid w:val="0"/>
          <w:color w:val="auto"/>
          <w:u w:val="single"/>
        </w:rPr>
        <w:t>附件</w:t>
      </w:r>
      <w:r>
        <w:rPr>
          <w:rFonts w:hint="eastAsia"/>
          <w:snapToGrid w:val="0"/>
          <w:color w:val="auto"/>
          <w:u w:val="single"/>
          <w:lang w:val="en-US" w:eastAsia="zh-CN"/>
        </w:rPr>
        <w:t>7</w:t>
      </w:r>
      <w:r>
        <w:rPr>
          <w:rFonts w:hint="eastAsia"/>
          <w:snapToGrid w:val="0"/>
          <w:color w:val="auto"/>
          <w:u w:val="single"/>
        </w:rPr>
        <w:t xml:space="preserve"> 关于钦州泰兴石化管廊迁改工程</w:t>
      </w:r>
      <w:r>
        <w:rPr>
          <w:rFonts w:hint="eastAsia"/>
          <w:snapToGrid w:val="0"/>
          <w:color w:val="auto"/>
          <w:u w:val="single"/>
          <w:lang w:val="en-US" w:eastAsia="zh-CN"/>
        </w:rPr>
        <w:t>路由意见</w:t>
      </w:r>
    </w:p>
    <w:p w14:paraId="72F85833">
      <w:pPr>
        <w:pStyle w:val="53"/>
        <w:ind w:firstLine="480"/>
        <w:rPr>
          <w:rFonts w:hint="default"/>
          <w:snapToGrid w:val="0"/>
          <w:color w:val="auto"/>
          <w:u w:val="single"/>
          <w:lang w:val="en-US" w:eastAsia="zh-CN"/>
        </w:rPr>
      </w:pPr>
      <w:r>
        <w:rPr>
          <w:rFonts w:hint="eastAsia"/>
          <w:snapToGrid w:val="0"/>
          <w:color w:val="auto"/>
          <w:u w:val="single"/>
        </w:rPr>
        <w:t>附件</w:t>
      </w:r>
      <w:r>
        <w:rPr>
          <w:rFonts w:hint="eastAsia"/>
          <w:snapToGrid w:val="0"/>
          <w:color w:val="auto"/>
          <w:u w:val="single"/>
          <w:lang w:val="en-US" w:eastAsia="zh-CN"/>
        </w:rPr>
        <w:t>8</w:t>
      </w:r>
      <w:r>
        <w:rPr>
          <w:rFonts w:hint="eastAsia"/>
          <w:snapToGrid w:val="0"/>
          <w:color w:val="auto"/>
          <w:u w:val="single"/>
        </w:rPr>
        <w:t xml:space="preserve"> </w:t>
      </w:r>
      <w:r>
        <w:rPr>
          <w:rFonts w:hint="default"/>
          <w:snapToGrid w:val="0"/>
          <w:color w:val="auto"/>
          <w:u w:val="single"/>
          <w:lang w:val="en-US" w:eastAsia="zh-CN"/>
        </w:rPr>
        <w:t>《广西壮族自治区生态环境厅关于印发钦州石化产业园总体发展规划环境影响报告书审查意见的函》（桂环函〔2021〕388号）</w:t>
      </w:r>
    </w:p>
    <w:p w14:paraId="22041019">
      <w:pPr>
        <w:pStyle w:val="53"/>
        <w:ind w:firstLine="0" w:firstLineChars="0"/>
        <w:rPr>
          <w:b/>
          <w:snapToGrid w:val="0"/>
          <w:color w:val="auto"/>
        </w:rPr>
      </w:pPr>
      <w:r>
        <w:rPr>
          <w:b/>
          <w:snapToGrid w:val="0"/>
          <w:color w:val="auto"/>
        </w:rPr>
        <w:t>附</w:t>
      </w:r>
      <w:r>
        <w:rPr>
          <w:rFonts w:hint="eastAsia"/>
          <w:b/>
          <w:snapToGrid w:val="0"/>
          <w:color w:val="auto"/>
          <w:lang w:val="en-US" w:eastAsia="zh-CN"/>
        </w:rPr>
        <w:t>表</w:t>
      </w:r>
      <w:r>
        <w:rPr>
          <w:b/>
          <w:snapToGrid w:val="0"/>
          <w:color w:val="auto"/>
        </w:rPr>
        <w:t>：</w:t>
      </w:r>
    </w:p>
    <w:p w14:paraId="7993EA81">
      <w:pPr>
        <w:pStyle w:val="53"/>
        <w:ind w:firstLine="480"/>
        <w:rPr>
          <w:rFonts w:hint="eastAsia"/>
          <w:snapToGrid w:val="0"/>
          <w:color w:val="auto"/>
          <w:u w:val="single"/>
        </w:rPr>
      </w:pPr>
      <w:r>
        <w:rPr>
          <w:rFonts w:hint="eastAsia"/>
          <w:snapToGrid w:val="0"/>
          <w:color w:val="auto"/>
          <w:u w:val="single"/>
        </w:rPr>
        <w:t>附</w:t>
      </w:r>
      <w:r>
        <w:rPr>
          <w:rFonts w:hint="eastAsia"/>
          <w:snapToGrid w:val="0"/>
          <w:color w:val="auto"/>
          <w:u w:val="single"/>
          <w:lang w:val="en-US" w:eastAsia="zh-CN"/>
        </w:rPr>
        <w:t>表1</w:t>
      </w:r>
      <w:r>
        <w:rPr>
          <w:rFonts w:hint="eastAsia"/>
          <w:snapToGrid w:val="0"/>
          <w:color w:val="auto"/>
          <w:u w:val="single"/>
        </w:rPr>
        <w:t xml:space="preserve"> 建设项目环境风险简单分析内容表</w:t>
      </w:r>
    </w:p>
    <w:p w14:paraId="0652D67E">
      <w:pPr>
        <w:pStyle w:val="53"/>
        <w:ind w:firstLine="480"/>
        <w:rPr>
          <w:rFonts w:hint="eastAsia"/>
          <w:snapToGrid w:val="0"/>
          <w:color w:val="auto"/>
          <w:u w:val="single"/>
        </w:rPr>
      </w:pPr>
      <w:r>
        <w:rPr>
          <w:rFonts w:hint="eastAsia"/>
          <w:snapToGrid w:val="0"/>
          <w:color w:val="auto"/>
          <w:u w:val="single"/>
        </w:rPr>
        <w:t>附</w:t>
      </w:r>
      <w:r>
        <w:rPr>
          <w:rFonts w:hint="eastAsia"/>
          <w:snapToGrid w:val="0"/>
          <w:color w:val="auto"/>
          <w:u w:val="single"/>
          <w:lang w:val="en-US" w:eastAsia="zh-CN"/>
        </w:rPr>
        <w:t>表2</w:t>
      </w:r>
      <w:r>
        <w:rPr>
          <w:rFonts w:hint="eastAsia"/>
          <w:snapToGrid w:val="0"/>
          <w:color w:val="auto"/>
          <w:u w:val="single"/>
        </w:rPr>
        <w:t xml:space="preserve"> 项目环境风险评价自查表</w:t>
      </w:r>
    </w:p>
    <w:p w14:paraId="74131116">
      <w:pPr>
        <w:pStyle w:val="53"/>
        <w:ind w:firstLine="480"/>
        <w:rPr>
          <w:rFonts w:hint="default"/>
          <w:snapToGrid w:val="0"/>
          <w:color w:val="auto"/>
          <w:u w:val="single"/>
          <w:lang w:val="en-US" w:eastAsia="zh-CN"/>
        </w:rPr>
      </w:pPr>
    </w:p>
    <w:p w14:paraId="0FB04E94">
      <w:pPr>
        <w:pStyle w:val="53"/>
        <w:ind w:firstLine="480"/>
        <w:rPr>
          <w:rFonts w:hint="eastAsia"/>
          <w:snapToGrid w:val="0"/>
          <w:color w:val="auto"/>
        </w:rPr>
      </w:pPr>
    </w:p>
    <w:p w14:paraId="66166B4D">
      <w:pPr>
        <w:pStyle w:val="29"/>
        <w:snapToGrid w:val="0"/>
        <w:spacing w:line="360" w:lineRule="auto"/>
        <w:ind w:firstLine="480" w:firstLineChars="200"/>
        <w:rPr>
          <w:snapToGrid w:val="0"/>
          <w:color w:val="auto"/>
          <w:szCs w:val="30"/>
        </w:rPr>
      </w:pPr>
    </w:p>
    <w:p w14:paraId="4E66993D">
      <w:pPr>
        <w:pStyle w:val="29"/>
        <w:snapToGrid w:val="0"/>
        <w:spacing w:line="360" w:lineRule="auto"/>
        <w:ind w:firstLine="480" w:firstLineChars="200"/>
        <w:rPr>
          <w:snapToGrid w:val="0"/>
          <w:color w:val="auto"/>
          <w:szCs w:val="30"/>
        </w:rPr>
        <w:sectPr>
          <w:footerReference r:id="rId7" w:type="default"/>
          <w:pgSz w:w="11906" w:h="16838"/>
          <w:pgMar w:top="1418" w:right="1418" w:bottom="1418" w:left="1418" w:header="851" w:footer="1077" w:gutter="0"/>
          <w:cols w:space="720" w:num="1"/>
          <w:docGrid w:linePitch="312" w:charSpace="0"/>
        </w:sectPr>
      </w:pPr>
    </w:p>
    <w:p w14:paraId="135C6421">
      <w:pPr>
        <w:pStyle w:val="17"/>
        <w:spacing w:before="0" w:beforeAutospacing="0" w:after="0" w:afterAutospacing="0" w:line="360" w:lineRule="auto"/>
        <w:jc w:val="center"/>
        <w:outlineLvl w:val="0"/>
        <w:rPr>
          <w:rFonts w:ascii="Times New Roman" w:hAnsi="Times New Roman"/>
          <w:b/>
          <w:snapToGrid w:val="0"/>
          <w:color w:val="auto"/>
          <w:sz w:val="30"/>
          <w:szCs w:val="30"/>
        </w:rPr>
      </w:pPr>
      <w:bookmarkStart w:id="1" w:name="_Toc152336001"/>
      <w:r>
        <w:rPr>
          <w:rFonts w:ascii="Times New Roman" w:hAnsi="Times New Roman"/>
          <w:b/>
          <w:snapToGrid w:val="0"/>
          <w:color w:val="auto"/>
          <w:sz w:val="30"/>
          <w:szCs w:val="30"/>
        </w:rPr>
        <w:t>一、建设项目基本情况</w:t>
      </w:r>
      <w:bookmarkEnd w:id="1"/>
    </w:p>
    <w:tbl>
      <w:tblPr>
        <w:tblStyle w:val="22"/>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8"/>
        <w:gridCol w:w="2390"/>
        <w:gridCol w:w="1551"/>
        <w:gridCol w:w="752"/>
        <w:gridCol w:w="2730"/>
      </w:tblGrid>
      <w:tr w14:paraId="6393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8" w:type="dxa"/>
            <w:tcMar>
              <w:top w:w="16" w:type="dxa"/>
              <w:left w:w="16" w:type="dxa"/>
              <w:right w:w="16" w:type="dxa"/>
            </w:tcMar>
            <w:vAlign w:val="center"/>
          </w:tcPr>
          <w:p w14:paraId="3A3CCC3C">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建设项目名称</w:t>
            </w:r>
          </w:p>
        </w:tc>
        <w:tc>
          <w:tcPr>
            <w:tcW w:w="7423" w:type="dxa"/>
            <w:gridSpan w:val="4"/>
            <w:vAlign w:val="center"/>
          </w:tcPr>
          <w:p w14:paraId="2D9B3DFA">
            <w:pPr>
              <w:keepNext w:val="0"/>
              <w:keepLines w:val="0"/>
              <w:pageBreakBefore w:val="0"/>
              <w:kinsoku/>
              <w:wordWrap/>
              <w:overflowPunct/>
              <w:bidi w:val="0"/>
              <w:adjustRightInd w:val="0"/>
              <w:snapToGrid w:val="0"/>
              <w:spacing w:after="0"/>
              <w:jc w:val="center"/>
              <w:textAlignment w:val="auto"/>
              <w:rPr>
                <w:color w:val="auto"/>
                <w:sz w:val="24"/>
              </w:rPr>
            </w:pPr>
            <w:r>
              <w:rPr>
                <w:rFonts w:hint="eastAsia"/>
                <w:color w:val="auto"/>
                <w:sz w:val="24"/>
              </w:rPr>
              <w:t>钦州泰兴石化管廊迁改工程</w:t>
            </w:r>
          </w:p>
        </w:tc>
      </w:tr>
      <w:tr w14:paraId="66DE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8" w:type="dxa"/>
            <w:tcMar>
              <w:top w:w="16" w:type="dxa"/>
              <w:left w:w="16" w:type="dxa"/>
              <w:right w:w="16" w:type="dxa"/>
            </w:tcMar>
            <w:vAlign w:val="center"/>
          </w:tcPr>
          <w:p w14:paraId="0E915020">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项目代码</w:t>
            </w:r>
          </w:p>
        </w:tc>
        <w:tc>
          <w:tcPr>
            <w:tcW w:w="7423" w:type="dxa"/>
            <w:gridSpan w:val="4"/>
            <w:vAlign w:val="center"/>
          </w:tcPr>
          <w:p w14:paraId="2EA1BCD9">
            <w:pPr>
              <w:keepNext w:val="0"/>
              <w:keepLines w:val="0"/>
              <w:pageBreakBefore w:val="0"/>
              <w:kinsoku/>
              <w:wordWrap/>
              <w:overflowPunct/>
              <w:bidi w:val="0"/>
              <w:adjustRightInd w:val="0"/>
              <w:snapToGrid w:val="0"/>
              <w:spacing w:after="0"/>
              <w:jc w:val="center"/>
              <w:textAlignment w:val="auto"/>
              <w:rPr>
                <w:color w:val="auto"/>
                <w:sz w:val="24"/>
              </w:rPr>
            </w:pPr>
            <w:bookmarkStart w:id="2" w:name="OLE_LINK2"/>
            <w:r>
              <w:rPr>
                <w:rFonts w:hint="eastAsia"/>
                <w:color w:val="auto"/>
                <w:sz w:val="24"/>
              </w:rPr>
              <w:t>2407-450704</w:t>
            </w:r>
            <w:r>
              <w:rPr>
                <w:color w:val="auto"/>
                <w:sz w:val="24"/>
              </w:rPr>
              <w:t>-04-0</w:t>
            </w:r>
            <w:r>
              <w:rPr>
                <w:rFonts w:hint="eastAsia"/>
                <w:color w:val="auto"/>
                <w:sz w:val="24"/>
              </w:rPr>
              <w:t>1</w:t>
            </w:r>
            <w:r>
              <w:rPr>
                <w:color w:val="auto"/>
                <w:sz w:val="24"/>
              </w:rPr>
              <w:t>-</w:t>
            </w:r>
            <w:r>
              <w:rPr>
                <w:rFonts w:hint="eastAsia"/>
                <w:color w:val="auto"/>
                <w:sz w:val="24"/>
              </w:rPr>
              <w:t>334693</w:t>
            </w:r>
            <w:bookmarkEnd w:id="2"/>
          </w:p>
        </w:tc>
      </w:tr>
      <w:tr w14:paraId="7F60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8" w:type="dxa"/>
            <w:tcMar>
              <w:top w:w="16" w:type="dxa"/>
              <w:left w:w="16" w:type="dxa"/>
              <w:right w:w="16" w:type="dxa"/>
            </w:tcMar>
            <w:vAlign w:val="center"/>
          </w:tcPr>
          <w:p w14:paraId="2B4FDE90">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建设单位联系人</w:t>
            </w:r>
          </w:p>
        </w:tc>
        <w:tc>
          <w:tcPr>
            <w:tcW w:w="2390" w:type="dxa"/>
            <w:vAlign w:val="center"/>
          </w:tcPr>
          <w:p w14:paraId="0FFD4D52">
            <w:pPr>
              <w:keepNext w:val="0"/>
              <w:keepLines w:val="0"/>
              <w:pageBreakBefore w:val="0"/>
              <w:kinsoku/>
              <w:wordWrap/>
              <w:overflowPunct/>
              <w:bidi w:val="0"/>
              <w:adjustRightInd w:val="0"/>
              <w:snapToGrid w:val="0"/>
              <w:spacing w:after="0"/>
              <w:jc w:val="center"/>
              <w:textAlignment w:val="auto"/>
              <w:rPr>
                <w:color w:val="auto"/>
                <w:sz w:val="24"/>
              </w:rPr>
            </w:pPr>
          </w:p>
        </w:tc>
        <w:tc>
          <w:tcPr>
            <w:tcW w:w="1551" w:type="dxa"/>
            <w:vAlign w:val="center"/>
          </w:tcPr>
          <w:p w14:paraId="50315CC5">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联系方式</w:t>
            </w:r>
          </w:p>
        </w:tc>
        <w:tc>
          <w:tcPr>
            <w:tcW w:w="3482" w:type="dxa"/>
            <w:gridSpan w:val="2"/>
            <w:vAlign w:val="center"/>
          </w:tcPr>
          <w:p w14:paraId="0B16E3BA">
            <w:pPr>
              <w:keepNext w:val="0"/>
              <w:keepLines w:val="0"/>
              <w:pageBreakBefore w:val="0"/>
              <w:kinsoku/>
              <w:wordWrap/>
              <w:overflowPunct/>
              <w:bidi w:val="0"/>
              <w:adjustRightInd w:val="0"/>
              <w:snapToGrid w:val="0"/>
              <w:spacing w:after="0"/>
              <w:jc w:val="center"/>
              <w:textAlignment w:val="auto"/>
              <w:rPr>
                <w:color w:val="auto"/>
                <w:sz w:val="24"/>
              </w:rPr>
            </w:pPr>
          </w:p>
        </w:tc>
      </w:tr>
      <w:tr w14:paraId="45C6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8" w:type="dxa"/>
            <w:tcMar>
              <w:top w:w="16" w:type="dxa"/>
              <w:left w:w="16" w:type="dxa"/>
              <w:right w:w="16" w:type="dxa"/>
            </w:tcMar>
            <w:vAlign w:val="center"/>
          </w:tcPr>
          <w:p w14:paraId="7789477E">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建设地点</w:t>
            </w:r>
          </w:p>
        </w:tc>
        <w:tc>
          <w:tcPr>
            <w:tcW w:w="7423" w:type="dxa"/>
            <w:gridSpan w:val="4"/>
            <w:vAlign w:val="center"/>
          </w:tcPr>
          <w:p w14:paraId="34BB7A0A">
            <w:pPr>
              <w:keepNext w:val="0"/>
              <w:keepLines w:val="0"/>
              <w:pageBreakBefore w:val="0"/>
              <w:kinsoku/>
              <w:wordWrap/>
              <w:overflowPunct/>
              <w:bidi w:val="0"/>
              <w:adjustRightInd w:val="0"/>
              <w:snapToGrid w:val="0"/>
              <w:spacing w:after="0"/>
              <w:jc w:val="center"/>
              <w:textAlignment w:val="auto"/>
              <w:rPr>
                <w:color w:val="auto"/>
                <w:sz w:val="24"/>
              </w:rPr>
            </w:pPr>
            <w:r>
              <w:rPr>
                <w:rFonts w:hint="eastAsia"/>
                <w:color w:val="auto"/>
                <w:sz w:val="24"/>
              </w:rPr>
              <w:t>广西钦州市钦州港区</w:t>
            </w:r>
            <w:bookmarkStart w:id="3" w:name="OLE_LINK6"/>
            <w:r>
              <w:rPr>
                <w:rFonts w:hint="eastAsia"/>
                <w:color w:val="auto"/>
                <w:sz w:val="24"/>
              </w:rPr>
              <w:t>广西钦州泰兴石油化工有限公司西面空地</w:t>
            </w:r>
            <w:bookmarkEnd w:id="3"/>
          </w:p>
        </w:tc>
      </w:tr>
      <w:tr w14:paraId="4A5A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8" w:type="dxa"/>
            <w:tcMar>
              <w:top w:w="16" w:type="dxa"/>
              <w:left w:w="16" w:type="dxa"/>
              <w:right w:w="16" w:type="dxa"/>
            </w:tcMar>
            <w:vAlign w:val="center"/>
          </w:tcPr>
          <w:p w14:paraId="52D952A7">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地理坐标</w:t>
            </w:r>
          </w:p>
        </w:tc>
        <w:tc>
          <w:tcPr>
            <w:tcW w:w="7423" w:type="dxa"/>
            <w:gridSpan w:val="4"/>
            <w:vAlign w:val="center"/>
          </w:tcPr>
          <w:p w14:paraId="5840AF3A">
            <w:pPr>
              <w:keepNext w:val="0"/>
              <w:keepLines w:val="0"/>
              <w:pageBreakBefore w:val="0"/>
              <w:kinsoku/>
              <w:wordWrap/>
              <w:overflowPunct/>
              <w:bidi w:val="0"/>
              <w:adjustRightInd w:val="0"/>
              <w:snapToGrid w:val="0"/>
              <w:spacing w:after="0"/>
              <w:jc w:val="center"/>
              <w:textAlignment w:val="auto"/>
              <w:rPr>
                <w:color w:val="auto"/>
                <w:sz w:val="24"/>
              </w:rPr>
            </w:pPr>
            <w:r>
              <w:rPr>
                <w:rFonts w:hint="eastAsia"/>
                <w:color w:val="auto"/>
                <w:sz w:val="24"/>
              </w:rPr>
              <w:t>起点坐标为：108</w:t>
            </w:r>
            <w:bookmarkStart w:id="4" w:name="OLE_LINK7"/>
            <w:r>
              <w:rPr>
                <w:rFonts w:hint="eastAsia"/>
                <w:color w:val="auto"/>
                <w:sz w:val="24"/>
              </w:rPr>
              <w:t>.610343527</w:t>
            </w:r>
            <w:bookmarkEnd w:id="4"/>
            <w:r>
              <w:rPr>
                <w:rFonts w:hint="eastAsia"/>
                <w:color w:val="auto"/>
                <w:sz w:val="24"/>
              </w:rPr>
              <w:t>°E，21</w:t>
            </w:r>
            <w:bookmarkStart w:id="5" w:name="OLE_LINK8"/>
            <w:r>
              <w:rPr>
                <w:rFonts w:hint="eastAsia"/>
                <w:color w:val="auto"/>
                <w:sz w:val="24"/>
              </w:rPr>
              <w:t>.7373769</w:t>
            </w:r>
            <w:bookmarkEnd w:id="5"/>
            <w:r>
              <w:rPr>
                <w:rFonts w:hint="eastAsia"/>
                <w:color w:val="auto"/>
                <w:sz w:val="24"/>
              </w:rPr>
              <w:t>°N，终点坐标为：108</w:t>
            </w:r>
            <w:bookmarkStart w:id="6" w:name="OLE_LINK9"/>
            <w:r>
              <w:rPr>
                <w:rFonts w:hint="eastAsia"/>
                <w:color w:val="auto"/>
                <w:sz w:val="24"/>
              </w:rPr>
              <w:t>.609644811</w:t>
            </w:r>
            <w:bookmarkEnd w:id="6"/>
            <w:r>
              <w:rPr>
                <w:rFonts w:hint="eastAsia"/>
                <w:color w:val="auto"/>
                <w:sz w:val="24"/>
              </w:rPr>
              <w:t>°E，21</w:t>
            </w:r>
            <w:bookmarkStart w:id="7" w:name="OLE_LINK10"/>
            <w:r>
              <w:rPr>
                <w:rFonts w:hint="eastAsia"/>
                <w:color w:val="auto"/>
                <w:sz w:val="24"/>
              </w:rPr>
              <w:t>.7377135</w:t>
            </w:r>
            <w:bookmarkEnd w:id="7"/>
            <w:r>
              <w:rPr>
                <w:rFonts w:hint="eastAsia"/>
                <w:color w:val="auto"/>
                <w:sz w:val="24"/>
              </w:rPr>
              <w:t>°N</w:t>
            </w:r>
          </w:p>
        </w:tc>
      </w:tr>
      <w:tr w14:paraId="143D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68" w:type="dxa"/>
            <w:tcMar>
              <w:top w:w="16" w:type="dxa"/>
              <w:left w:w="16" w:type="dxa"/>
              <w:right w:w="16" w:type="dxa"/>
            </w:tcMar>
            <w:vAlign w:val="center"/>
          </w:tcPr>
          <w:p w14:paraId="0CE0886A">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建设项目</w:t>
            </w:r>
          </w:p>
          <w:p w14:paraId="2F670E18">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行业类别</w:t>
            </w:r>
          </w:p>
        </w:tc>
        <w:tc>
          <w:tcPr>
            <w:tcW w:w="2390" w:type="dxa"/>
            <w:vAlign w:val="center"/>
          </w:tcPr>
          <w:p w14:paraId="70476DD4">
            <w:pPr>
              <w:keepNext w:val="0"/>
              <w:keepLines w:val="0"/>
              <w:pageBreakBefore w:val="0"/>
              <w:kinsoku/>
              <w:wordWrap/>
              <w:overflowPunct/>
              <w:bidi w:val="0"/>
              <w:adjustRightInd w:val="0"/>
              <w:snapToGrid w:val="0"/>
              <w:spacing w:after="0"/>
              <w:jc w:val="center"/>
              <w:textAlignment w:val="auto"/>
              <w:rPr>
                <w:color w:val="auto"/>
                <w:sz w:val="24"/>
              </w:rPr>
            </w:pPr>
            <w:r>
              <w:rPr>
                <w:rFonts w:hint="eastAsia"/>
                <w:color w:val="auto"/>
                <w:sz w:val="24"/>
              </w:rPr>
              <w:t>五十二、交通运输业、管道运输业147 原油、成品油、天然气管线（不含城市天然气管线；不含城镇燃气管线；不含企业厂区内管道）</w:t>
            </w:r>
          </w:p>
        </w:tc>
        <w:tc>
          <w:tcPr>
            <w:tcW w:w="2303" w:type="dxa"/>
            <w:gridSpan w:val="2"/>
            <w:vAlign w:val="center"/>
          </w:tcPr>
          <w:p w14:paraId="1A1A273B">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用地（用海）面积（m</w:t>
            </w:r>
            <w:r>
              <w:rPr>
                <w:color w:val="auto"/>
                <w:sz w:val="24"/>
                <w:vertAlign w:val="superscript"/>
              </w:rPr>
              <w:t>2</w:t>
            </w:r>
            <w:r>
              <w:rPr>
                <w:color w:val="auto"/>
                <w:sz w:val="24"/>
              </w:rPr>
              <w:t>）</w:t>
            </w:r>
          </w:p>
          <w:p w14:paraId="04722E24">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/长度（km）</w:t>
            </w:r>
          </w:p>
        </w:tc>
        <w:tc>
          <w:tcPr>
            <w:tcW w:w="2730" w:type="dxa"/>
            <w:vAlign w:val="center"/>
          </w:tcPr>
          <w:p w14:paraId="109CCBDF">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694.75m</w:t>
            </w:r>
            <w:r>
              <w:rPr>
                <w:color w:val="auto"/>
                <w:sz w:val="24"/>
                <w:vertAlign w:val="superscript"/>
              </w:rPr>
              <w:t>2</w:t>
            </w:r>
            <w:r>
              <w:rPr>
                <w:color w:val="auto"/>
                <w:sz w:val="24"/>
              </w:rPr>
              <w:t>/0.198</w:t>
            </w:r>
            <w:r>
              <w:rPr>
                <w:rFonts w:hint="eastAsia"/>
                <w:color w:val="auto"/>
                <w:sz w:val="24"/>
              </w:rPr>
              <w:t>km</w:t>
            </w:r>
          </w:p>
        </w:tc>
      </w:tr>
      <w:tr w14:paraId="09C1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68" w:type="dxa"/>
            <w:tcMar>
              <w:top w:w="16" w:type="dxa"/>
              <w:left w:w="16" w:type="dxa"/>
              <w:right w:w="16" w:type="dxa"/>
            </w:tcMar>
            <w:vAlign w:val="center"/>
          </w:tcPr>
          <w:p w14:paraId="128877CB">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建设性质</w:t>
            </w:r>
          </w:p>
        </w:tc>
        <w:tc>
          <w:tcPr>
            <w:tcW w:w="2390" w:type="dxa"/>
            <w:vAlign w:val="center"/>
          </w:tcPr>
          <w:p w14:paraId="5850AE86">
            <w:pPr>
              <w:keepNext w:val="0"/>
              <w:keepLines w:val="0"/>
              <w:pageBreakBefore w:val="0"/>
              <w:kinsoku/>
              <w:wordWrap/>
              <w:overflowPunct/>
              <w:bidi w:val="0"/>
              <w:adjustRightInd w:val="0"/>
              <w:snapToGrid w:val="0"/>
              <w:spacing w:after="0"/>
              <w:textAlignment w:val="auto"/>
              <w:rPr>
                <w:color w:val="auto"/>
                <w:sz w:val="24"/>
              </w:rPr>
            </w:pPr>
            <w:r>
              <w:rPr>
                <w:rFonts w:hint="eastAsia" w:ascii="MS Mincho" w:hAnsi="MS Mincho" w:eastAsia="MS Mincho" w:cs="MS Mincho"/>
                <w:color w:val="auto"/>
                <w:sz w:val="24"/>
              </w:rPr>
              <w:t>☑</w:t>
            </w:r>
            <w:r>
              <w:rPr>
                <w:color w:val="auto"/>
                <w:sz w:val="24"/>
              </w:rPr>
              <w:t>新建（迁建）</w:t>
            </w:r>
          </w:p>
          <w:p w14:paraId="68875A8B">
            <w:pPr>
              <w:keepNext w:val="0"/>
              <w:keepLines w:val="0"/>
              <w:pageBreakBefore w:val="0"/>
              <w:kinsoku/>
              <w:wordWrap/>
              <w:overflowPunct/>
              <w:bidi w:val="0"/>
              <w:adjustRightInd w:val="0"/>
              <w:snapToGrid w:val="0"/>
              <w:spacing w:after="0"/>
              <w:textAlignment w:val="auto"/>
              <w:rPr>
                <w:color w:val="auto"/>
                <w:sz w:val="24"/>
              </w:rPr>
            </w:pPr>
            <w:r>
              <w:rPr>
                <w:color w:val="auto"/>
                <w:sz w:val="24"/>
              </w:rPr>
              <w:t>□改建</w:t>
            </w:r>
          </w:p>
          <w:p w14:paraId="34F1AE76">
            <w:pPr>
              <w:keepNext w:val="0"/>
              <w:keepLines w:val="0"/>
              <w:pageBreakBefore w:val="0"/>
              <w:kinsoku/>
              <w:wordWrap/>
              <w:overflowPunct/>
              <w:bidi w:val="0"/>
              <w:adjustRightInd w:val="0"/>
              <w:snapToGrid w:val="0"/>
              <w:spacing w:after="0"/>
              <w:textAlignment w:val="auto"/>
              <w:rPr>
                <w:color w:val="auto"/>
                <w:sz w:val="24"/>
              </w:rPr>
            </w:pPr>
            <w:r>
              <w:rPr>
                <w:color w:val="auto"/>
                <w:sz w:val="24"/>
              </w:rPr>
              <w:t>□扩建</w:t>
            </w:r>
          </w:p>
          <w:p w14:paraId="1CFB43CF">
            <w:pPr>
              <w:keepNext w:val="0"/>
              <w:keepLines w:val="0"/>
              <w:pageBreakBefore w:val="0"/>
              <w:kinsoku/>
              <w:wordWrap/>
              <w:overflowPunct/>
              <w:bidi w:val="0"/>
              <w:adjustRightInd w:val="0"/>
              <w:snapToGrid w:val="0"/>
              <w:spacing w:after="0"/>
              <w:textAlignment w:val="auto"/>
              <w:rPr>
                <w:color w:val="auto"/>
                <w:sz w:val="24"/>
              </w:rPr>
            </w:pPr>
            <w:r>
              <w:rPr>
                <w:color w:val="auto"/>
                <w:sz w:val="24"/>
              </w:rPr>
              <w:t>□技术改造</w:t>
            </w:r>
          </w:p>
        </w:tc>
        <w:tc>
          <w:tcPr>
            <w:tcW w:w="2303" w:type="dxa"/>
            <w:gridSpan w:val="2"/>
            <w:vAlign w:val="center"/>
          </w:tcPr>
          <w:p w14:paraId="11FCDE25">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建设项目</w:t>
            </w:r>
          </w:p>
          <w:p w14:paraId="6493D6A7">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申报情形</w:t>
            </w:r>
          </w:p>
        </w:tc>
        <w:tc>
          <w:tcPr>
            <w:tcW w:w="2730" w:type="dxa"/>
            <w:vAlign w:val="center"/>
          </w:tcPr>
          <w:p w14:paraId="2C4B7946">
            <w:pPr>
              <w:keepNext w:val="0"/>
              <w:keepLines w:val="0"/>
              <w:pageBreakBefore w:val="0"/>
              <w:kinsoku/>
              <w:wordWrap/>
              <w:overflowPunct/>
              <w:bidi w:val="0"/>
              <w:adjustRightInd w:val="0"/>
              <w:snapToGrid w:val="0"/>
              <w:spacing w:after="0"/>
              <w:textAlignment w:val="auto"/>
              <w:rPr>
                <w:color w:val="auto"/>
                <w:sz w:val="24"/>
              </w:rPr>
            </w:pPr>
            <w:r>
              <w:rPr>
                <w:rFonts w:hint="eastAsia" w:ascii="MS Mincho" w:hAnsi="MS Mincho" w:eastAsia="MS Mincho" w:cs="MS Mincho"/>
                <w:color w:val="auto"/>
                <w:sz w:val="24"/>
              </w:rPr>
              <w:t>☑</w:t>
            </w:r>
            <w:r>
              <w:rPr>
                <w:color w:val="auto"/>
                <w:sz w:val="24"/>
              </w:rPr>
              <w:t>首次申报项目</w:t>
            </w:r>
          </w:p>
          <w:p w14:paraId="5907169C">
            <w:pPr>
              <w:keepNext w:val="0"/>
              <w:keepLines w:val="0"/>
              <w:pageBreakBefore w:val="0"/>
              <w:kinsoku/>
              <w:wordWrap/>
              <w:overflowPunct/>
              <w:bidi w:val="0"/>
              <w:adjustRightInd w:val="0"/>
              <w:snapToGrid w:val="0"/>
              <w:spacing w:after="0"/>
              <w:textAlignment w:val="auto"/>
              <w:rPr>
                <w:color w:val="auto"/>
                <w:sz w:val="24"/>
              </w:rPr>
            </w:pPr>
            <w:r>
              <w:rPr>
                <w:color w:val="auto"/>
                <w:sz w:val="24"/>
              </w:rPr>
              <w:t>□不予批准后再次申报项目</w:t>
            </w:r>
          </w:p>
          <w:p w14:paraId="73592FF2">
            <w:pPr>
              <w:keepNext w:val="0"/>
              <w:keepLines w:val="0"/>
              <w:pageBreakBefore w:val="0"/>
              <w:kinsoku/>
              <w:wordWrap/>
              <w:overflowPunct/>
              <w:bidi w:val="0"/>
              <w:adjustRightInd w:val="0"/>
              <w:snapToGrid w:val="0"/>
              <w:spacing w:after="0"/>
              <w:textAlignment w:val="auto"/>
              <w:rPr>
                <w:color w:val="auto"/>
                <w:sz w:val="24"/>
              </w:rPr>
            </w:pPr>
            <w:r>
              <w:rPr>
                <w:color w:val="auto"/>
                <w:sz w:val="24"/>
              </w:rPr>
              <w:t>□超五年重新审核项目</w:t>
            </w:r>
          </w:p>
          <w:p w14:paraId="6FEAC0E4">
            <w:pPr>
              <w:keepNext w:val="0"/>
              <w:keepLines w:val="0"/>
              <w:pageBreakBefore w:val="0"/>
              <w:kinsoku/>
              <w:wordWrap/>
              <w:overflowPunct/>
              <w:bidi w:val="0"/>
              <w:adjustRightInd w:val="0"/>
              <w:snapToGrid w:val="0"/>
              <w:spacing w:after="0"/>
              <w:textAlignment w:val="auto"/>
              <w:rPr>
                <w:color w:val="auto"/>
                <w:sz w:val="24"/>
              </w:rPr>
            </w:pPr>
            <w:r>
              <w:rPr>
                <w:color w:val="auto"/>
                <w:sz w:val="24"/>
              </w:rPr>
              <w:t>□重大变动重新报批项目</w:t>
            </w:r>
          </w:p>
        </w:tc>
      </w:tr>
      <w:tr w14:paraId="4BAA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68" w:type="dxa"/>
            <w:tcMar>
              <w:top w:w="16" w:type="dxa"/>
              <w:left w:w="16" w:type="dxa"/>
              <w:right w:w="16" w:type="dxa"/>
            </w:tcMar>
            <w:vAlign w:val="center"/>
          </w:tcPr>
          <w:p w14:paraId="05EB4871">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项目审批（核准/备案）部门（选填）</w:t>
            </w:r>
          </w:p>
        </w:tc>
        <w:tc>
          <w:tcPr>
            <w:tcW w:w="2390" w:type="dxa"/>
            <w:vAlign w:val="center"/>
          </w:tcPr>
          <w:p w14:paraId="7B352B48">
            <w:pPr>
              <w:keepNext w:val="0"/>
              <w:keepLines w:val="0"/>
              <w:pageBreakBefore w:val="0"/>
              <w:kinsoku/>
              <w:wordWrap/>
              <w:overflowPunct/>
              <w:bidi w:val="0"/>
              <w:adjustRightInd w:val="0"/>
              <w:snapToGrid w:val="0"/>
              <w:spacing w:after="0"/>
              <w:jc w:val="center"/>
              <w:textAlignment w:val="auto"/>
              <w:rPr>
                <w:color w:val="auto"/>
                <w:sz w:val="24"/>
              </w:rPr>
            </w:pPr>
            <w:r>
              <w:rPr>
                <w:rFonts w:hint="eastAsia"/>
                <w:color w:val="auto"/>
                <w:sz w:val="24"/>
              </w:rPr>
              <w:t>中国（广西）自由贸易试验区钦州港片区行政审批局</w:t>
            </w:r>
          </w:p>
        </w:tc>
        <w:tc>
          <w:tcPr>
            <w:tcW w:w="2303" w:type="dxa"/>
            <w:gridSpan w:val="2"/>
            <w:vAlign w:val="center"/>
          </w:tcPr>
          <w:p w14:paraId="0C69D3F8">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项目审批（核准/备案）文号（选填）</w:t>
            </w:r>
          </w:p>
        </w:tc>
        <w:tc>
          <w:tcPr>
            <w:tcW w:w="2730" w:type="dxa"/>
            <w:vAlign w:val="center"/>
          </w:tcPr>
          <w:p w14:paraId="13AF09C0">
            <w:pPr>
              <w:keepNext w:val="0"/>
              <w:keepLines w:val="0"/>
              <w:pageBreakBefore w:val="0"/>
              <w:kinsoku/>
              <w:wordWrap/>
              <w:overflowPunct/>
              <w:bidi w:val="0"/>
              <w:adjustRightInd w:val="0"/>
              <w:snapToGrid w:val="0"/>
              <w:spacing w:after="0"/>
              <w:jc w:val="center"/>
              <w:textAlignment w:val="auto"/>
              <w:rPr>
                <w:color w:val="auto"/>
                <w:sz w:val="24"/>
              </w:rPr>
            </w:pPr>
            <w:r>
              <w:rPr>
                <w:rFonts w:hint="eastAsia"/>
                <w:color w:val="auto"/>
                <w:sz w:val="24"/>
              </w:rPr>
              <w:t>自贸钦审批实</w:t>
            </w:r>
            <w:r>
              <w:rPr>
                <w:rFonts w:hint="eastAsia"/>
                <w:color w:val="auto"/>
                <w:kern w:val="0"/>
                <w:sz w:val="24"/>
              </w:rPr>
              <w:t>〔2025〕1号</w:t>
            </w:r>
          </w:p>
        </w:tc>
      </w:tr>
      <w:tr w14:paraId="228B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8" w:type="dxa"/>
            <w:tcMar>
              <w:top w:w="16" w:type="dxa"/>
              <w:left w:w="16" w:type="dxa"/>
              <w:right w:w="16" w:type="dxa"/>
            </w:tcMar>
            <w:vAlign w:val="center"/>
          </w:tcPr>
          <w:p w14:paraId="15A4DB3C">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总投资（万元）</w:t>
            </w:r>
          </w:p>
        </w:tc>
        <w:tc>
          <w:tcPr>
            <w:tcW w:w="2390" w:type="dxa"/>
            <w:vAlign w:val="center"/>
          </w:tcPr>
          <w:p w14:paraId="58497F46">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317.70</w:t>
            </w:r>
          </w:p>
        </w:tc>
        <w:tc>
          <w:tcPr>
            <w:tcW w:w="2303" w:type="dxa"/>
            <w:gridSpan w:val="2"/>
            <w:tcMar>
              <w:top w:w="16" w:type="dxa"/>
              <w:left w:w="16" w:type="dxa"/>
              <w:right w:w="16" w:type="dxa"/>
            </w:tcMar>
            <w:vAlign w:val="center"/>
          </w:tcPr>
          <w:p w14:paraId="639CE3ED">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环保投资（万元）</w:t>
            </w:r>
          </w:p>
        </w:tc>
        <w:tc>
          <w:tcPr>
            <w:tcW w:w="2730" w:type="dxa"/>
            <w:vAlign w:val="center"/>
          </w:tcPr>
          <w:p w14:paraId="1BC537E6">
            <w:pPr>
              <w:keepNext w:val="0"/>
              <w:keepLines w:val="0"/>
              <w:pageBreakBefore w:val="0"/>
              <w:kinsoku/>
              <w:wordWrap/>
              <w:overflowPunct/>
              <w:bidi w:val="0"/>
              <w:adjustRightInd w:val="0"/>
              <w:snapToGrid w:val="0"/>
              <w:spacing w:after="0"/>
              <w:jc w:val="center"/>
              <w:textAlignment w:val="auto"/>
              <w:rPr>
                <w:rFonts w:hint="default" w:eastAsia="宋体"/>
                <w:color w:val="auto"/>
                <w:sz w:val="24"/>
                <w:lang w:val="en-US" w:eastAsia="zh-CN"/>
              </w:rPr>
            </w:pPr>
            <w:r>
              <w:rPr>
                <w:rFonts w:hint="eastAsia"/>
                <w:color w:val="auto"/>
                <w:sz w:val="24"/>
                <w:lang w:val="en-US" w:eastAsia="zh-CN"/>
              </w:rPr>
              <w:t>11</w:t>
            </w:r>
          </w:p>
        </w:tc>
      </w:tr>
      <w:tr w14:paraId="6346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8" w:type="dxa"/>
            <w:tcMar>
              <w:top w:w="16" w:type="dxa"/>
              <w:left w:w="16" w:type="dxa"/>
              <w:right w:w="16" w:type="dxa"/>
            </w:tcMar>
            <w:vAlign w:val="center"/>
          </w:tcPr>
          <w:p w14:paraId="6B2AD005">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环保投资占比（%）</w:t>
            </w:r>
          </w:p>
        </w:tc>
        <w:tc>
          <w:tcPr>
            <w:tcW w:w="2390" w:type="dxa"/>
            <w:vAlign w:val="center"/>
          </w:tcPr>
          <w:p w14:paraId="04CA52A9">
            <w:pPr>
              <w:keepNext w:val="0"/>
              <w:keepLines w:val="0"/>
              <w:pageBreakBefore w:val="0"/>
              <w:kinsoku/>
              <w:wordWrap/>
              <w:overflowPunct/>
              <w:bidi w:val="0"/>
              <w:adjustRightInd w:val="0"/>
              <w:snapToGrid w:val="0"/>
              <w:spacing w:after="0"/>
              <w:jc w:val="center"/>
              <w:textAlignment w:val="auto"/>
              <w:rPr>
                <w:rFonts w:hint="default" w:eastAsia="宋体"/>
                <w:color w:val="auto"/>
                <w:sz w:val="24"/>
                <w:lang w:val="en-US" w:eastAsia="zh-CN"/>
              </w:rPr>
            </w:pPr>
            <w:r>
              <w:rPr>
                <w:rFonts w:hint="eastAsia"/>
                <w:color w:val="auto"/>
                <w:sz w:val="24"/>
                <w:lang w:val="en-US" w:eastAsia="zh-CN"/>
              </w:rPr>
              <w:t>3.4</w:t>
            </w:r>
          </w:p>
        </w:tc>
        <w:tc>
          <w:tcPr>
            <w:tcW w:w="2303" w:type="dxa"/>
            <w:gridSpan w:val="2"/>
            <w:tcMar>
              <w:top w:w="16" w:type="dxa"/>
              <w:left w:w="16" w:type="dxa"/>
              <w:right w:w="16" w:type="dxa"/>
            </w:tcMar>
            <w:vAlign w:val="center"/>
          </w:tcPr>
          <w:p w14:paraId="18E9A257">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施工工期</w:t>
            </w:r>
          </w:p>
        </w:tc>
        <w:tc>
          <w:tcPr>
            <w:tcW w:w="2730" w:type="dxa"/>
            <w:vAlign w:val="center"/>
          </w:tcPr>
          <w:p w14:paraId="6939E758">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6</w:t>
            </w:r>
            <w:r>
              <w:rPr>
                <w:rFonts w:hint="eastAsia"/>
                <w:color w:val="auto"/>
                <w:sz w:val="24"/>
              </w:rPr>
              <w:t>个月</w:t>
            </w:r>
          </w:p>
        </w:tc>
      </w:tr>
      <w:tr w14:paraId="7B3E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6" w:hRule="atLeast"/>
          <w:jc w:val="center"/>
        </w:trPr>
        <w:tc>
          <w:tcPr>
            <w:tcW w:w="1668" w:type="dxa"/>
            <w:tcMar>
              <w:top w:w="16" w:type="dxa"/>
              <w:left w:w="16" w:type="dxa"/>
              <w:right w:w="16" w:type="dxa"/>
            </w:tcMar>
            <w:vAlign w:val="center"/>
          </w:tcPr>
          <w:p w14:paraId="765308DD">
            <w:pPr>
              <w:keepNext w:val="0"/>
              <w:keepLines w:val="0"/>
              <w:pageBreakBefore w:val="0"/>
              <w:kinsoku/>
              <w:wordWrap/>
              <w:overflowPunct/>
              <w:bidi w:val="0"/>
              <w:adjustRightInd w:val="0"/>
              <w:snapToGrid w:val="0"/>
              <w:spacing w:after="0"/>
              <w:jc w:val="center"/>
              <w:textAlignment w:val="auto"/>
              <w:rPr>
                <w:color w:val="auto"/>
                <w:sz w:val="24"/>
              </w:rPr>
            </w:pPr>
            <w:r>
              <w:rPr>
                <w:color w:val="auto"/>
                <w:sz w:val="24"/>
              </w:rPr>
              <w:t>是否开工建设</w:t>
            </w:r>
          </w:p>
        </w:tc>
        <w:tc>
          <w:tcPr>
            <w:tcW w:w="7423" w:type="dxa"/>
            <w:gridSpan w:val="4"/>
            <w:vAlign w:val="center"/>
          </w:tcPr>
          <w:p w14:paraId="55C76EFC">
            <w:pPr>
              <w:keepNext w:val="0"/>
              <w:keepLines w:val="0"/>
              <w:pageBreakBefore w:val="0"/>
              <w:kinsoku/>
              <w:wordWrap/>
              <w:overflowPunct/>
              <w:bidi w:val="0"/>
              <w:adjustRightInd w:val="0"/>
              <w:snapToGrid w:val="0"/>
              <w:spacing w:after="0"/>
              <w:ind w:firstLine="480" w:firstLineChars="200"/>
              <w:textAlignment w:val="auto"/>
              <w:rPr>
                <w:color w:val="auto"/>
                <w:sz w:val="24"/>
              </w:rPr>
            </w:pPr>
            <w:r>
              <w:rPr>
                <w:rFonts w:hint="eastAsia" w:ascii="MS Mincho" w:hAnsi="MS Mincho" w:eastAsia="宋体" w:cs="MS Mincho"/>
                <w:color w:val="auto"/>
                <w:sz w:val="24"/>
                <w:lang w:eastAsia="zh-CN"/>
              </w:rPr>
              <w:t>□</w:t>
            </w:r>
            <w:r>
              <w:rPr>
                <w:color w:val="auto"/>
                <w:sz w:val="24"/>
              </w:rPr>
              <w:t>否</w:t>
            </w:r>
          </w:p>
          <w:p w14:paraId="68AE019D">
            <w:pPr>
              <w:keepNext w:val="0"/>
              <w:keepLines w:val="0"/>
              <w:pageBreakBefore w:val="0"/>
              <w:kinsoku/>
              <w:wordWrap/>
              <w:overflowPunct/>
              <w:bidi w:val="0"/>
              <w:adjustRightInd w:val="0"/>
              <w:snapToGrid w:val="0"/>
              <w:spacing w:after="0"/>
              <w:ind w:firstLine="480" w:firstLineChars="200"/>
              <w:textAlignment w:val="auto"/>
              <w:rPr>
                <w:rFonts w:hint="default" w:eastAsia="宋体"/>
                <w:color w:val="auto"/>
                <w:sz w:val="24"/>
                <w:lang w:val="en-US" w:eastAsia="zh-CN"/>
              </w:rPr>
            </w:pPr>
            <w:r>
              <w:rPr>
                <w:color w:val="auto"/>
                <w:sz w:val="24"/>
              </w:rPr>
              <w:sym w:font="Wingdings 2" w:char="0052"/>
            </w:r>
            <w:r>
              <w:rPr>
                <w:color w:val="auto"/>
                <w:sz w:val="24"/>
              </w:rPr>
              <w:t>是：</w:t>
            </w:r>
            <w:r>
              <w:rPr>
                <w:rFonts w:hint="eastAsia"/>
                <w:color w:val="auto"/>
                <w:sz w:val="24"/>
                <w:szCs w:val="24"/>
                <w:lang w:val="en-US" w:eastAsia="zh-CN"/>
              </w:rPr>
              <w:t>目前已开展管廊基础开挖、浇筑混凝土的施工作业。</w:t>
            </w:r>
          </w:p>
        </w:tc>
      </w:tr>
      <w:tr w14:paraId="1291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668" w:type="dxa"/>
            <w:vAlign w:val="center"/>
          </w:tcPr>
          <w:p w14:paraId="50936CF9">
            <w:pPr>
              <w:keepNext w:val="0"/>
              <w:keepLines w:val="0"/>
              <w:pageBreakBefore w:val="0"/>
              <w:kinsoku/>
              <w:wordWrap/>
              <w:overflowPunct/>
              <w:autoSpaceDE w:val="0"/>
              <w:autoSpaceDN w:val="0"/>
              <w:bidi w:val="0"/>
              <w:adjustRightInd w:val="0"/>
              <w:snapToGrid w:val="0"/>
              <w:spacing w:after="0"/>
              <w:jc w:val="center"/>
              <w:textAlignment w:val="auto"/>
              <w:rPr>
                <w:color w:val="auto"/>
                <w:kern w:val="0"/>
                <w:sz w:val="24"/>
                <w:szCs w:val="21"/>
              </w:rPr>
            </w:pPr>
            <w:r>
              <w:rPr>
                <w:color w:val="auto"/>
                <w:kern w:val="0"/>
                <w:sz w:val="24"/>
                <w:szCs w:val="21"/>
              </w:rPr>
              <w:t>专项评价设置情况</w:t>
            </w:r>
          </w:p>
        </w:tc>
        <w:tc>
          <w:tcPr>
            <w:tcW w:w="7423" w:type="dxa"/>
            <w:gridSpan w:val="4"/>
            <w:vAlign w:val="center"/>
          </w:tcPr>
          <w:p w14:paraId="5E3D482C">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jc w:val="left"/>
              <w:textAlignment w:val="auto"/>
              <w:rPr>
                <w:color w:val="auto"/>
                <w:kern w:val="0"/>
                <w:szCs w:val="21"/>
              </w:rPr>
            </w:pPr>
            <w:r>
              <w:rPr>
                <w:rFonts w:hint="eastAsia"/>
                <w:color w:val="auto"/>
                <w:kern w:val="0"/>
                <w:sz w:val="24"/>
              </w:rPr>
              <w:t>根据《建设项目环境影响报告表编制技术指南（生态影响类）（试行）</w:t>
            </w:r>
            <w:bookmarkStart w:id="57" w:name="_GoBack"/>
            <w:bookmarkEnd w:id="57"/>
            <w:r>
              <w:rPr>
                <w:rFonts w:hint="eastAsia"/>
                <w:color w:val="auto"/>
                <w:kern w:val="0"/>
                <w:sz w:val="24"/>
              </w:rPr>
              <w:t>》中的表1专项评价设置原则表，原油、成品油、天然气管线（不含城镇天然气管线、企业厂区内管线）、危险化学品输送管线（不含企业厂区内管线）应开展环境风险专项评价工作。本项目属于燃料气输送管道迁改项目，应开展环境风险专项评价工作。</w:t>
            </w:r>
          </w:p>
        </w:tc>
      </w:tr>
      <w:tr w14:paraId="3155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68" w:type="dxa"/>
            <w:vAlign w:val="center"/>
          </w:tcPr>
          <w:p w14:paraId="337A82DB">
            <w:pPr>
              <w:keepNext w:val="0"/>
              <w:keepLines w:val="0"/>
              <w:pageBreakBefore w:val="0"/>
              <w:kinsoku/>
              <w:wordWrap/>
              <w:overflowPunct/>
              <w:autoSpaceDE w:val="0"/>
              <w:autoSpaceDN w:val="0"/>
              <w:bidi w:val="0"/>
              <w:adjustRightInd w:val="0"/>
              <w:snapToGrid w:val="0"/>
              <w:spacing w:after="0"/>
              <w:jc w:val="center"/>
              <w:textAlignment w:val="auto"/>
              <w:rPr>
                <w:color w:val="auto"/>
                <w:kern w:val="0"/>
                <w:sz w:val="24"/>
                <w:szCs w:val="21"/>
              </w:rPr>
            </w:pPr>
            <w:r>
              <w:rPr>
                <w:color w:val="auto"/>
                <w:sz w:val="24"/>
                <w:szCs w:val="21"/>
              </w:rPr>
              <w:t>规划情况</w:t>
            </w:r>
          </w:p>
        </w:tc>
        <w:tc>
          <w:tcPr>
            <w:tcW w:w="7423" w:type="dxa"/>
            <w:gridSpan w:val="4"/>
            <w:vAlign w:val="center"/>
          </w:tcPr>
          <w:p w14:paraId="5E8722A4">
            <w:pPr>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jc w:val="left"/>
              <w:textAlignment w:val="auto"/>
              <w:rPr>
                <w:color w:val="auto"/>
                <w:kern w:val="0"/>
                <w:sz w:val="24"/>
              </w:rPr>
            </w:pPr>
            <w:r>
              <w:rPr>
                <w:rFonts w:hint="eastAsia"/>
                <w:color w:val="auto"/>
                <w:kern w:val="0"/>
                <w:sz w:val="24"/>
              </w:rPr>
              <w:t>规划名称：《</w:t>
            </w:r>
            <w:bookmarkStart w:id="8" w:name="OLE_LINK4"/>
            <w:r>
              <w:rPr>
                <w:rFonts w:hint="eastAsia"/>
                <w:color w:val="auto"/>
                <w:kern w:val="0"/>
                <w:sz w:val="24"/>
              </w:rPr>
              <w:t>广西钦州石化产业园</w:t>
            </w:r>
            <w:bookmarkEnd w:id="8"/>
            <w:r>
              <w:rPr>
                <w:rFonts w:hint="eastAsia"/>
                <w:color w:val="auto"/>
                <w:kern w:val="0"/>
                <w:sz w:val="24"/>
              </w:rPr>
              <w:t>总体发展规划》（2020—2035）</w:t>
            </w:r>
          </w:p>
          <w:p w14:paraId="0EDDD3F0">
            <w:pPr>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jc w:val="left"/>
              <w:textAlignment w:val="auto"/>
              <w:rPr>
                <w:color w:val="auto"/>
                <w:kern w:val="0"/>
                <w:sz w:val="24"/>
              </w:rPr>
            </w:pPr>
            <w:r>
              <w:rPr>
                <w:rFonts w:hint="eastAsia"/>
                <w:color w:val="auto"/>
                <w:kern w:val="0"/>
                <w:sz w:val="24"/>
              </w:rPr>
              <w:t>审批机关：广西壮族自治区人民政府</w:t>
            </w:r>
          </w:p>
          <w:p w14:paraId="0CAA6ECE">
            <w:pPr>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jc w:val="left"/>
              <w:textAlignment w:val="auto"/>
              <w:rPr>
                <w:color w:val="auto"/>
                <w:sz w:val="24"/>
              </w:rPr>
            </w:pPr>
            <w:r>
              <w:rPr>
                <w:rFonts w:hint="eastAsia"/>
                <w:color w:val="auto"/>
                <w:kern w:val="0"/>
                <w:sz w:val="24"/>
              </w:rPr>
              <w:t>审批文件名称及文号：广西壮族自治区人民政府关于广西钦州石化产业园总体发展规划（2020—2035年）的批复（桂政函〔2021〕153号）</w:t>
            </w:r>
          </w:p>
        </w:tc>
      </w:tr>
      <w:tr w14:paraId="31A3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668" w:type="dxa"/>
            <w:vAlign w:val="center"/>
          </w:tcPr>
          <w:p w14:paraId="4178D9F6">
            <w:pPr>
              <w:keepNext w:val="0"/>
              <w:keepLines w:val="0"/>
              <w:pageBreakBefore w:val="0"/>
              <w:kinsoku/>
              <w:wordWrap/>
              <w:overflowPunct/>
              <w:bidi w:val="0"/>
              <w:adjustRightInd w:val="0"/>
              <w:snapToGrid w:val="0"/>
              <w:spacing w:after="0"/>
              <w:jc w:val="center"/>
              <w:textAlignment w:val="auto"/>
              <w:rPr>
                <w:color w:val="auto"/>
                <w:kern w:val="0"/>
                <w:sz w:val="24"/>
                <w:szCs w:val="21"/>
              </w:rPr>
            </w:pPr>
            <w:r>
              <w:rPr>
                <w:color w:val="auto"/>
                <w:sz w:val="24"/>
                <w:szCs w:val="21"/>
              </w:rPr>
              <w:t>规划环境影响评价情况</w:t>
            </w:r>
          </w:p>
        </w:tc>
        <w:tc>
          <w:tcPr>
            <w:tcW w:w="7423" w:type="dxa"/>
            <w:gridSpan w:val="4"/>
            <w:vAlign w:val="center"/>
          </w:tcPr>
          <w:p w14:paraId="754D0A46">
            <w:pPr>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jc w:val="left"/>
              <w:textAlignment w:val="auto"/>
              <w:rPr>
                <w:rFonts w:hint="eastAsia"/>
                <w:color w:val="auto"/>
                <w:kern w:val="0"/>
                <w:sz w:val="24"/>
              </w:rPr>
            </w:pPr>
            <w:r>
              <w:rPr>
                <w:rFonts w:hint="eastAsia"/>
                <w:color w:val="auto"/>
                <w:kern w:val="0"/>
                <w:sz w:val="24"/>
              </w:rPr>
              <w:t>规划环评名称：《广西钦州石化产业园总体发展规划（2020-2035）环境影响报告书》</w:t>
            </w:r>
          </w:p>
          <w:p w14:paraId="6E87097C">
            <w:pPr>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jc w:val="left"/>
              <w:textAlignment w:val="auto"/>
              <w:rPr>
                <w:rFonts w:hint="eastAsia"/>
                <w:color w:val="auto"/>
                <w:kern w:val="0"/>
                <w:sz w:val="24"/>
              </w:rPr>
            </w:pPr>
            <w:r>
              <w:rPr>
                <w:rFonts w:hint="eastAsia"/>
                <w:color w:val="auto"/>
                <w:kern w:val="0"/>
                <w:sz w:val="24"/>
              </w:rPr>
              <w:t>审批机关：广西壮族自治区生态环境厅</w:t>
            </w:r>
          </w:p>
          <w:p w14:paraId="42EBE161">
            <w:pPr>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jc w:val="left"/>
              <w:textAlignment w:val="auto"/>
              <w:rPr>
                <w:rFonts w:hint="eastAsia"/>
                <w:color w:val="auto"/>
                <w:kern w:val="0"/>
                <w:sz w:val="24"/>
              </w:rPr>
            </w:pPr>
            <w:r>
              <w:rPr>
                <w:rFonts w:hint="eastAsia"/>
                <w:color w:val="auto"/>
                <w:kern w:val="0"/>
                <w:sz w:val="24"/>
              </w:rPr>
              <w:t>审批文件名称及文号：《广西壮族自治区生态环境厅关于印发钦州石化产业园总体发展规划环境影响报告书审查意见的函》（桂环函〔2021〕388号）</w:t>
            </w:r>
          </w:p>
        </w:tc>
      </w:tr>
      <w:tr w14:paraId="123A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668" w:type="dxa"/>
            <w:vAlign w:val="center"/>
          </w:tcPr>
          <w:p w14:paraId="1E32FB4B">
            <w:pPr>
              <w:keepNext w:val="0"/>
              <w:keepLines w:val="0"/>
              <w:pageBreakBefore w:val="0"/>
              <w:kinsoku/>
              <w:wordWrap/>
              <w:overflowPunct/>
              <w:autoSpaceDE w:val="0"/>
              <w:autoSpaceDN w:val="0"/>
              <w:bidi w:val="0"/>
              <w:adjustRightInd w:val="0"/>
              <w:snapToGrid w:val="0"/>
              <w:spacing w:after="0"/>
              <w:jc w:val="center"/>
              <w:textAlignment w:val="auto"/>
              <w:rPr>
                <w:color w:val="auto"/>
                <w:szCs w:val="21"/>
              </w:rPr>
            </w:pPr>
            <w:r>
              <w:rPr>
                <w:color w:val="auto"/>
                <w:kern w:val="0"/>
                <w:sz w:val="24"/>
                <w:szCs w:val="21"/>
              </w:rPr>
              <w:t>规划及规划环境影响评价符合性分析</w:t>
            </w:r>
          </w:p>
        </w:tc>
        <w:tc>
          <w:tcPr>
            <w:tcW w:w="7423" w:type="dxa"/>
            <w:gridSpan w:val="4"/>
            <w:vAlign w:val="center"/>
          </w:tcPr>
          <w:p w14:paraId="06D4350D">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562" w:firstLineChars="200"/>
              <w:textAlignment w:val="auto"/>
              <w:rPr>
                <w:b/>
                <w:color w:val="auto"/>
                <w:kern w:val="0"/>
                <w:sz w:val="28"/>
                <w:szCs w:val="28"/>
              </w:rPr>
            </w:pPr>
            <w:r>
              <w:rPr>
                <w:b/>
                <w:color w:val="auto"/>
                <w:kern w:val="0"/>
                <w:sz w:val="28"/>
                <w:szCs w:val="28"/>
              </w:rPr>
              <w:t>1.1与</w:t>
            </w:r>
            <w:r>
              <w:rPr>
                <w:rFonts w:hint="eastAsia"/>
                <w:b/>
                <w:color w:val="auto"/>
                <w:kern w:val="0"/>
                <w:sz w:val="28"/>
                <w:szCs w:val="28"/>
              </w:rPr>
              <w:t>《广西钦州石化产业园总体发展规划》（2020—2035）符合性分析</w:t>
            </w:r>
            <w:r>
              <w:rPr>
                <w:b/>
                <w:color w:val="auto"/>
                <w:kern w:val="0"/>
                <w:sz w:val="28"/>
                <w:szCs w:val="28"/>
              </w:rPr>
              <w:t>相符性分析</w:t>
            </w:r>
          </w:p>
          <w:p w14:paraId="5C857E44">
            <w:pPr>
              <w:keepNext w:val="0"/>
              <w:keepLines w:val="0"/>
              <w:pageBreakBefore w:val="0"/>
              <w:widowControl w:val="0"/>
              <w:kinsoku/>
              <w:wordWrap/>
              <w:overflowPunct/>
              <w:topLinePunct w:val="0"/>
              <w:bidi w:val="0"/>
              <w:spacing w:after="0" w:line="360" w:lineRule="auto"/>
              <w:ind w:firstLine="480" w:firstLineChars="200"/>
              <w:textAlignment w:val="auto"/>
              <w:rPr>
                <w:color w:val="auto"/>
                <w:sz w:val="24"/>
              </w:rPr>
            </w:pPr>
            <w:r>
              <w:rPr>
                <w:rFonts w:hint="eastAsia"/>
                <w:color w:val="auto"/>
                <w:sz w:val="24"/>
              </w:rPr>
              <w:t>《广西钦州石化产业园总体发展规划（2020-2035）》于2021年12月已获得广西壮族自治区人民政府正式批复。根据空间结构规划，钦州石化产业园总体上规划为“一园、两轴、三片、十区、多点”的空间结构。“十区”即广西石化炼化一体化项目区、华谊化工新材料一体化项目区、芳烃及下游深加工产业区、特种聚氨酯与高端材料产业区、金谷现有项目区、金谷预留发展区、鹿耳新能源与特种功能材料产业区、三墩炼化一体化项目区、三墩芳烃及下游深加工区以及三墩化工新材料及精细化工项目区，各片区内部以用地有效集聚为原则，保持内部小组团的完整，利于开发的弹性和可持续性。</w:t>
            </w:r>
          </w:p>
          <w:p w14:paraId="3E0D8094">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textAlignment w:val="auto"/>
              <w:rPr>
                <w:color w:val="auto"/>
                <w:kern w:val="0"/>
                <w:sz w:val="24"/>
              </w:rPr>
            </w:pPr>
            <w:r>
              <w:rPr>
                <w:rFonts w:hint="eastAsia"/>
                <w:color w:val="auto"/>
                <w:sz w:val="24"/>
              </w:rPr>
              <w:t>项目用地位于广西钦州市钦州港区广西钦州泰兴石油化工有限公司西面空地，本项目属于广西钦州泰兴石油化工有限公司的</w:t>
            </w:r>
            <w:r>
              <w:rPr>
                <w:rFonts w:hint="eastAsia"/>
                <w:color w:val="auto"/>
                <w:sz w:val="24"/>
                <w:szCs w:val="24"/>
              </w:rPr>
              <w:t>基础配套设施管廊迁改工程</w:t>
            </w:r>
            <w:r>
              <w:rPr>
                <w:rFonts w:hint="eastAsia"/>
                <w:color w:val="auto"/>
                <w:sz w:val="24"/>
              </w:rPr>
              <w:t>，符合石化产业园的规划目标。</w:t>
            </w:r>
          </w:p>
          <w:p w14:paraId="14511346">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562" w:firstLineChars="200"/>
              <w:textAlignment w:val="auto"/>
              <w:rPr>
                <w:b/>
                <w:color w:val="auto"/>
                <w:kern w:val="0"/>
                <w:sz w:val="28"/>
                <w:szCs w:val="28"/>
              </w:rPr>
            </w:pPr>
            <w:r>
              <w:rPr>
                <w:b/>
                <w:color w:val="auto"/>
                <w:kern w:val="0"/>
                <w:sz w:val="28"/>
                <w:szCs w:val="28"/>
              </w:rPr>
              <w:t>1.2与</w:t>
            </w:r>
            <w:r>
              <w:rPr>
                <w:rFonts w:hint="eastAsia"/>
                <w:b/>
                <w:color w:val="auto"/>
                <w:kern w:val="0"/>
                <w:sz w:val="28"/>
                <w:szCs w:val="28"/>
              </w:rPr>
              <w:t>《广西钦州石化产业园总体发展规划（2020-2035）环境影响报告书》</w:t>
            </w:r>
            <w:r>
              <w:rPr>
                <w:b/>
                <w:color w:val="auto"/>
                <w:kern w:val="0"/>
                <w:sz w:val="28"/>
                <w:szCs w:val="28"/>
              </w:rPr>
              <w:t>相符性分析</w:t>
            </w:r>
          </w:p>
          <w:p w14:paraId="3A9A3EAC">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textAlignment w:val="auto"/>
              <w:rPr>
                <w:color w:val="auto"/>
                <w:sz w:val="24"/>
              </w:rPr>
            </w:pPr>
            <w:r>
              <w:rPr>
                <w:rFonts w:hint="eastAsia"/>
                <w:color w:val="auto"/>
                <w:sz w:val="24"/>
              </w:rPr>
              <w:t>根据《广西钦州石化产业园总体发展规划（2020-2035）环境影响报告书》及其审查意见，钦州石化产业园区项目环境准入条件要求及符合性分析如下表所示。</w:t>
            </w:r>
          </w:p>
          <w:p w14:paraId="44812214">
            <w:pPr>
              <w:pStyle w:val="2"/>
              <w:keepNext w:val="0"/>
              <w:keepLines w:val="0"/>
              <w:pageBreakBefore w:val="0"/>
              <w:numPr>
                <w:ilvl w:val="0"/>
                <w:numId w:val="4"/>
              </w:numPr>
              <w:kinsoku/>
              <w:wordWrap/>
              <w:overflowPunct/>
              <w:bidi w:val="0"/>
              <w:spacing w:after="0"/>
              <w:jc w:val="center"/>
              <w:textAlignment w:val="auto"/>
              <w:rPr>
                <w:b/>
                <w:color w:val="auto"/>
                <w:sz w:val="21"/>
                <w:szCs w:val="21"/>
              </w:rPr>
            </w:pPr>
            <w:r>
              <w:rPr>
                <w:rFonts w:hint="eastAsia"/>
                <w:b/>
                <w:color w:val="auto"/>
                <w:sz w:val="21"/>
                <w:szCs w:val="21"/>
              </w:rPr>
              <w:t>与规划环评报告书及审查意见相关内容的符合性分析</w:t>
            </w:r>
          </w:p>
          <w:tbl>
            <w:tblPr>
              <w:tblStyle w:val="22"/>
              <w:tblW w:w="71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46"/>
              <w:gridCol w:w="3174"/>
              <w:gridCol w:w="2247"/>
              <w:gridCol w:w="492"/>
            </w:tblGrid>
            <w:tr w14:paraId="5C68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58" w:type="dxa"/>
                  <w:gridSpan w:val="3"/>
                  <w:tcBorders>
                    <w:top w:val="single" w:color="auto" w:sz="4" w:space="0"/>
                    <w:left w:val="single" w:color="auto" w:sz="4" w:space="0"/>
                    <w:bottom w:val="single" w:color="auto" w:sz="4" w:space="0"/>
                    <w:right w:val="single" w:color="auto" w:sz="4" w:space="0"/>
                  </w:tcBorders>
                  <w:vAlign w:val="center"/>
                </w:tcPr>
                <w:p w14:paraId="3A4D6BF1">
                  <w:pPr>
                    <w:pStyle w:val="50"/>
                    <w:keepNext w:val="0"/>
                    <w:keepLines w:val="0"/>
                    <w:pageBreakBefore w:val="0"/>
                    <w:kinsoku/>
                    <w:wordWrap/>
                    <w:overflowPunct/>
                    <w:bidi w:val="0"/>
                    <w:spacing w:after="0"/>
                    <w:jc w:val="center"/>
                    <w:textAlignment w:val="auto"/>
                    <w:rPr>
                      <w:b/>
                      <w:bCs/>
                      <w:color w:val="auto"/>
                      <w:szCs w:val="21"/>
                    </w:rPr>
                  </w:pPr>
                  <w:r>
                    <w:rPr>
                      <w:b/>
                      <w:bCs/>
                      <w:color w:val="auto"/>
                    </w:rPr>
                    <w:t>内容摘录</w:t>
                  </w:r>
                </w:p>
              </w:tc>
              <w:tc>
                <w:tcPr>
                  <w:tcW w:w="2247" w:type="dxa"/>
                  <w:tcBorders>
                    <w:top w:val="single" w:color="auto" w:sz="4" w:space="0"/>
                    <w:left w:val="nil"/>
                    <w:bottom w:val="single" w:color="auto" w:sz="4" w:space="0"/>
                    <w:right w:val="single" w:color="auto" w:sz="4" w:space="0"/>
                  </w:tcBorders>
                  <w:vAlign w:val="center"/>
                </w:tcPr>
                <w:p w14:paraId="71659CD4">
                  <w:pPr>
                    <w:pStyle w:val="50"/>
                    <w:keepNext w:val="0"/>
                    <w:keepLines w:val="0"/>
                    <w:pageBreakBefore w:val="0"/>
                    <w:kinsoku/>
                    <w:wordWrap/>
                    <w:overflowPunct/>
                    <w:bidi w:val="0"/>
                    <w:spacing w:after="0"/>
                    <w:jc w:val="center"/>
                    <w:textAlignment w:val="auto"/>
                    <w:rPr>
                      <w:b/>
                      <w:bCs/>
                      <w:color w:val="auto"/>
                    </w:rPr>
                  </w:pPr>
                  <w:r>
                    <w:rPr>
                      <w:b/>
                      <w:bCs/>
                      <w:color w:val="auto"/>
                    </w:rPr>
                    <w:t>本项目情况</w:t>
                  </w:r>
                </w:p>
              </w:tc>
              <w:tc>
                <w:tcPr>
                  <w:tcW w:w="492" w:type="dxa"/>
                  <w:tcBorders>
                    <w:top w:val="single" w:color="auto" w:sz="4" w:space="0"/>
                    <w:left w:val="nil"/>
                    <w:bottom w:val="single" w:color="auto" w:sz="4" w:space="0"/>
                    <w:right w:val="single" w:color="auto" w:sz="4" w:space="0"/>
                  </w:tcBorders>
                  <w:vAlign w:val="center"/>
                </w:tcPr>
                <w:p w14:paraId="3CAEC0CD">
                  <w:pPr>
                    <w:pStyle w:val="50"/>
                    <w:keepNext w:val="0"/>
                    <w:keepLines w:val="0"/>
                    <w:pageBreakBefore w:val="0"/>
                    <w:kinsoku/>
                    <w:wordWrap/>
                    <w:overflowPunct/>
                    <w:bidi w:val="0"/>
                    <w:spacing w:after="0"/>
                    <w:textAlignment w:val="auto"/>
                    <w:rPr>
                      <w:b/>
                      <w:bCs/>
                      <w:color w:val="auto"/>
                    </w:rPr>
                  </w:pPr>
                  <w:r>
                    <w:rPr>
                      <w:b/>
                      <w:bCs/>
                      <w:color w:val="auto"/>
                    </w:rPr>
                    <w:t>判断结果</w:t>
                  </w:r>
                </w:p>
              </w:tc>
            </w:tr>
            <w:tr w14:paraId="345E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restart"/>
                  <w:tcBorders>
                    <w:top w:val="nil"/>
                    <w:left w:val="single" w:color="auto" w:sz="4" w:space="0"/>
                    <w:bottom w:val="single" w:color="auto" w:sz="4" w:space="0"/>
                    <w:right w:val="single" w:color="auto" w:sz="4" w:space="0"/>
                  </w:tcBorders>
                  <w:vAlign w:val="center"/>
                </w:tcPr>
                <w:p w14:paraId="1913CFFE">
                  <w:pPr>
                    <w:pStyle w:val="50"/>
                    <w:keepNext w:val="0"/>
                    <w:keepLines w:val="0"/>
                    <w:pageBreakBefore w:val="0"/>
                    <w:kinsoku/>
                    <w:wordWrap/>
                    <w:overflowPunct/>
                    <w:bidi w:val="0"/>
                    <w:spacing w:after="0"/>
                    <w:textAlignment w:val="auto"/>
                    <w:rPr>
                      <w:color w:val="auto"/>
                    </w:rPr>
                  </w:pPr>
                  <w:r>
                    <w:rPr>
                      <w:color w:val="auto"/>
                    </w:rPr>
                    <w:t>入园项目生态环境准入要求</w:t>
                  </w:r>
                </w:p>
              </w:tc>
              <w:tc>
                <w:tcPr>
                  <w:tcW w:w="4020" w:type="dxa"/>
                  <w:gridSpan w:val="2"/>
                  <w:tcBorders>
                    <w:top w:val="single" w:color="auto" w:sz="4" w:space="0"/>
                    <w:left w:val="nil"/>
                    <w:bottom w:val="single" w:color="auto" w:sz="4" w:space="0"/>
                    <w:right w:val="single" w:color="auto" w:sz="4" w:space="0"/>
                  </w:tcBorders>
                  <w:vAlign w:val="center"/>
                </w:tcPr>
                <w:p w14:paraId="7B8EAD64">
                  <w:pPr>
                    <w:pStyle w:val="50"/>
                    <w:keepNext w:val="0"/>
                    <w:keepLines w:val="0"/>
                    <w:pageBreakBefore w:val="0"/>
                    <w:kinsoku/>
                    <w:wordWrap/>
                    <w:overflowPunct/>
                    <w:bidi w:val="0"/>
                    <w:spacing w:after="0"/>
                    <w:textAlignment w:val="auto"/>
                    <w:rPr>
                      <w:color w:val="auto"/>
                    </w:rPr>
                  </w:pPr>
                  <w:r>
                    <w:rPr>
                      <w:color w:val="auto"/>
                    </w:rPr>
                    <w:t>（一）建设项目应为石化产业园区产业链范围内的项目，选址应符合石化产业园的功能分区。</w:t>
                  </w:r>
                </w:p>
              </w:tc>
              <w:tc>
                <w:tcPr>
                  <w:tcW w:w="2247" w:type="dxa"/>
                  <w:tcBorders>
                    <w:top w:val="single" w:color="auto" w:sz="4" w:space="0"/>
                    <w:left w:val="nil"/>
                    <w:bottom w:val="single" w:color="auto" w:sz="4" w:space="0"/>
                    <w:right w:val="single" w:color="auto" w:sz="4" w:space="0"/>
                  </w:tcBorders>
                  <w:vAlign w:val="center"/>
                </w:tcPr>
                <w:p w14:paraId="632169D7">
                  <w:pPr>
                    <w:pStyle w:val="50"/>
                    <w:keepNext w:val="0"/>
                    <w:keepLines w:val="0"/>
                    <w:pageBreakBefore w:val="0"/>
                    <w:kinsoku/>
                    <w:wordWrap/>
                    <w:overflowPunct/>
                    <w:bidi w:val="0"/>
                    <w:spacing w:after="0"/>
                    <w:textAlignment w:val="auto"/>
                    <w:rPr>
                      <w:color w:val="auto"/>
                    </w:rPr>
                  </w:pPr>
                  <w:r>
                    <w:rPr>
                      <w:color w:val="auto"/>
                    </w:rPr>
                    <w:t>本项目选址位于广西钦州石化产业园，</w:t>
                  </w:r>
                  <w:r>
                    <w:rPr>
                      <w:rFonts w:hint="eastAsia"/>
                      <w:color w:val="auto"/>
                    </w:rPr>
                    <w:t>属于广西钦州泰兴石油化工有限公司的基础配套工程</w:t>
                  </w:r>
                  <w:r>
                    <w:rPr>
                      <w:rFonts w:ascii="宋体" w:hAnsi="宋体"/>
                      <w:color w:val="auto"/>
                    </w:rPr>
                    <w:t>，与规划产业相符。</w:t>
                  </w:r>
                </w:p>
              </w:tc>
              <w:tc>
                <w:tcPr>
                  <w:tcW w:w="492" w:type="dxa"/>
                  <w:tcBorders>
                    <w:top w:val="single" w:color="auto" w:sz="4" w:space="0"/>
                    <w:left w:val="nil"/>
                    <w:bottom w:val="single" w:color="auto" w:sz="4" w:space="0"/>
                    <w:right w:val="single" w:color="auto" w:sz="4" w:space="0"/>
                  </w:tcBorders>
                  <w:vAlign w:val="center"/>
                </w:tcPr>
                <w:p w14:paraId="0D512537">
                  <w:pPr>
                    <w:pStyle w:val="50"/>
                    <w:keepNext w:val="0"/>
                    <w:keepLines w:val="0"/>
                    <w:pageBreakBefore w:val="0"/>
                    <w:kinsoku/>
                    <w:wordWrap/>
                    <w:overflowPunct/>
                    <w:bidi w:val="0"/>
                    <w:spacing w:after="0"/>
                    <w:textAlignment w:val="auto"/>
                    <w:rPr>
                      <w:color w:val="auto"/>
                    </w:rPr>
                  </w:pPr>
                  <w:r>
                    <w:rPr>
                      <w:color w:val="auto"/>
                    </w:rPr>
                    <w:t>相符</w:t>
                  </w:r>
                </w:p>
              </w:tc>
            </w:tr>
            <w:tr w14:paraId="3B27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continue"/>
                  <w:tcBorders>
                    <w:top w:val="nil"/>
                    <w:left w:val="single" w:color="auto" w:sz="4" w:space="0"/>
                    <w:bottom w:val="single" w:color="auto" w:sz="4" w:space="0"/>
                    <w:right w:val="single" w:color="auto" w:sz="4" w:space="0"/>
                  </w:tcBorders>
                  <w:vAlign w:val="center"/>
                </w:tcPr>
                <w:p w14:paraId="4434F845">
                  <w:pPr>
                    <w:keepNext w:val="0"/>
                    <w:keepLines w:val="0"/>
                    <w:pageBreakBefore w:val="0"/>
                    <w:widowControl/>
                    <w:kinsoku/>
                    <w:wordWrap/>
                    <w:overflowPunct/>
                    <w:bidi w:val="0"/>
                    <w:spacing w:after="0"/>
                    <w:jc w:val="left"/>
                    <w:textAlignment w:val="auto"/>
                    <w:rPr>
                      <w:rFonts w:cs="宋体"/>
                      <w:color w:val="auto"/>
                      <w:szCs w:val="21"/>
                    </w:rPr>
                  </w:pPr>
                </w:p>
              </w:tc>
              <w:tc>
                <w:tcPr>
                  <w:tcW w:w="846" w:type="dxa"/>
                  <w:tcBorders>
                    <w:top w:val="nil"/>
                    <w:left w:val="nil"/>
                    <w:bottom w:val="single" w:color="auto" w:sz="4" w:space="0"/>
                    <w:right w:val="single" w:color="auto" w:sz="4" w:space="0"/>
                  </w:tcBorders>
                  <w:vAlign w:val="center"/>
                </w:tcPr>
                <w:p w14:paraId="64AAFA3C">
                  <w:pPr>
                    <w:pStyle w:val="50"/>
                    <w:keepNext w:val="0"/>
                    <w:keepLines w:val="0"/>
                    <w:pageBreakBefore w:val="0"/>
                    <w:kinsoku/>
                    <w:wordWrap/>
                    <w:overflowPunct/>
                    <w:bidi w:val="0"/>
                    <w:spacing w:after="0"/>
                    <w:textAlignment w:val="auto"/>
                    <w:rPr>
                      <w:color w:val="auto"/>
                    </w:rPr>
                  </w:pPr>
                  <w:r>
                    <w:rPr>
                      <w:color w:val="auto"/>
                    </w:rPr>
                    <w:t>（二）建设项目污染防治和环境影响方面的准入要求。</w:t>
                  </w:r>
                </w:p>
              </w:tc>
              <w:tc>
                <w:tcPr>
                  <w:tcW w:w="3174" w:type="dxa"/>
                  <w:tcBorders>
                    <w:top w:val="single" w:color="auto" w:sz="4" w:space="0"/>
                    <w:left w:val="nil"/>
                    <w:bottom w:val="single" w:color="auto" w:sz="4" w:space="0"/>
                    <w:right w:val="single" w:color="auto" w:sz="4" w:space="0"/>
                  </w:tcBorders>
                  <w:vAlign w:val="center"/>
                </w:tcPr>
                <w:p w14:paraId="60DAB441">
                  <w:pPr>
                    <w:pStyle w:val="50"/>
                    <w:keepNext w:val="0"/>
                    <w:keepLines w:val="0"/>
                    <w:pageBreakBefore w:val="0"/>
                    <w:kinsoku/>
                    <w:wordWrap/>
                    <w:overflowPunct/>
                    <w:bidi w:val="0"/>
                    <w:spacing w:after="0"/>
                    <w:textAlignment w:val="auto"/>
                    <w:rPr>
                      <w:color w:val="auto"/>
                    </w:rPr>
                  </w:pPr>
                  <w:r>
                    <w:rPr>
                      <w:color w:val="auto"/>
                    </w:rPr>
                    <w:t>（1</w:t>
                  </w:r>
                  <w:r>
                    <w:rPr>
                      <w:rFonts w:ascii="宋体" w:hAnsi="宋体"/>
                      <w:color w:val="auto"/>
                    </w:rPr>
                    <w:t>）引进的项目必须符合国家的产业政策，积极引进国家鼓励类项目，不得引进限制类和淘汰类项目；禁止建设不符合国家产业政策和准入条件、布局不合理、环境容量不足的项目（含新建、改建、扩建、异地搬迁、技术改造项目），严格控制可能对环境产生影响的项目的建设，限制发展、淘汰技术落后、高能耗、高污染的项目。</w:t>
                  </w:r>
                </w:p>
              </w:tc>
              <w:tc>
                <w:tcPr>
                  <w:tcW w:w="2247" w:type="dxa"/>
                  <w:tcBorders>
                    <w:top w:val="single" w:color="auto" w:sz="4" w:space="0"/>
                    <w:left w:val="nil"/>
                    <w:bottom w:val="single" w:color="auto" w:sz="4" w:space="0"/>
                    <w:right w:val="single" w:color="auto" w:sz="4" w:space="0"/>
                  </w:tcBorders>
                  <w:vAlign w:val="center"/>
                </w:tcPr>
                <w:p w14:paraId="78D75CF1">
                  <w:pPr>
                    <w:pStyle w:val="50"/>
                    <w:keepNext w:val="0"/>
                    <w:keepLines w:val="0"/>
                    <w:pageBreakBefore w:val="0"/>
                    <w:kinsoku/>
                    <w:wordWrap/>
                    <w:overflowPunct/>
                    <w:bidi w:val="0"/>
                    <w:spacing w:after="0"/>
                    <w:textAlignment w:val="auto"/>
                    <w:rPr>
                      <w:color w:val="auto"/>
                    </w:rPr>
                  </w:pPr>
                  <w:r>
                    <w:rPr>
                      <w:color w:val="auto"/>
                    </w:rPr>
                    <w:t>项目</w:t>
                  </w:r>
                  <w:r>
                    <w:rPr>
                      <w:rFonts w:hint="eastAsia"/>
                      <w:color w:val="auto"/>
                    </w:rPr>
                    <w:t>为基础配套设施管廊迁改工程</w:t>
                  </w:r>
                  <w:r>
                    <w:rPr>
                      <w:color w:val="auto"/>
                    </w:rPr>
                    <w:t>，不属于《产业结构调整指导目录（2024</w:t>
                  </w:r>
                  <w:r>
                    <w:rPr>
                      <w:rFonts w:ascii="宋体" w:hAnsi="宋体"/>
                      <w:color w:val="auto"/>
                    </w:rPr>
                    <w:t>年本）》中的限制类和淘汰类项目同时项目也不在《广西壮族自治区人民政府办公厅关于印发北钦防一体化产业协同发展限制布局清单（工业类</w:t>
                  </w:r>
                  <w:r>
                    <w:rPr>
                      <w:color w:val="auto"/>
                    </w:rPr>
                    <w:t>2021</w:t>
                  </w:r>
                  <w:r>
                    <w:rPr>
                      <w:rFonts w:ascii="宋体" w:hAnsi="宋体"/>
                      <w:color w:val="auto"/>
                    </w:rPr>
                    <w:t>年版）的通知》（桂政办函〔</w:t>
                  </w:r>
                  <w:r>
                    <w:rPr>
                      <w:color w:val="auto"/>
                    </w:rPr>
                    <w:t>2021</w:t>
                  </w:r>
                  <w:r>
                    <w:rPr>
                      <w:rFonts w:ascii="宋体" w:hAnsi="宋体"/>
                      <w:color w:val="auto"/>
                    </w:rPr>
                    <w:t>〕</w:t>
                  </w:r>
                  <w:r>
                    <w:rPr>
                      <w:color w:val="auto"/>
                    </w:rPr>
                    <w:t>4</w:t>
                  </w:r>
                  <w:r>
                    <w:rPr>
                      <w:rFonts w:ascii="宋体" w:hAnsi="宋体"/>
                      <w:color w:val="auto"/>
                    </w:rPr>
                    <w:t>号）中的限制布局产业清单内。</w:t>
                  </w:r>
                </w:p>
              </w:tc>
              <w:tc>
                <w:tcPr>
                  <w:tcW w:w="492" w:type="dxa"/>
                  <w:tcBorders>
                    <w:top w:val="single" w:color="auto" w:sz="4" w:space="0"/>
                    <w:left w:val="nil"/>
                    <w:bottom w:val="single" w:color="auto" w:sz="4" w:space="0"/>
                    <w:right w:val="single" w:color="auto" w:sz="4" w:space="0"/>
                  </w:tcBorders>
                  <w:vAlign w:val="center"/>
                </w:tcPr>
                <w:p w14:paraId="35E599AF">
                  <w:pPr>
                    <w:pStyle w:val="50"/>
                    <w:keepNext w:val="0"/>
                    <w:keepLines w:val="0"/>
                    <w:pageBreakBefore w:val="0"/>
                    <w:kinsoku/>
                    <w:wordWrap/>
                    <w:overflowPunct/>
                    <w:bidi w:val="0"/>
                    <w:spacing w:after="0"/>
                    <w:textAlignment w:val="auto"/>
                    <w:rPr>
                      <w:color w:val="auto"/>
                    </w:rPr>
                  </w:pPr>
                  <w:r>
                    <w:rPr>
                      <w:color w:val="auto"/>
                    </w:rPr>
                    <w:t>相符</w:t>
                  </w:r>
                </w:p>
              </w:tc>
            </w:tr>
            <w:tr w14:paraId="3F3C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continue"/>
                  <w:tcBorders>
                    <w:top w:val="nil"/>
                    <w:left w:val="single" w:color="auto" w:sz="4" w:space="0"/>
                    <w:bottom w:val="single" w:color="auto" w:sz="4" w:space="0"/>
                    <w:right w:val="single" w:color="auto" w:sz="4" w:space="0"/>
                  </w:tcBorders>
                  <w:vAlign w:val="center"/>
                </w:tcPr>
                <w:p w14:paraId="1F0DDCCA">
                  <w:pPr>
                    <w:keepNext w:val="0"/>
                    <w:keepLines w:val="0"/>
                    <w:pageBreakBefore w:val="0"/>
                    <w:widowControl/>
                    <w:kinsoku/>
                    <w:wordWrap/>
                    <w:overflowPunct/>
                    <w:bidi w:val="0"/>
                    <w:spacing w:after="0"/>
                    <w:jc w:val="left"/>
                    <w:textAlignment w:val="auto"/>
                    <w:rPr>
                      <w:rFonts w:cs="宋体"/>
                      <w:color w:val="auto"/>
                      <w:szCs w:val="21"/>
                    </w:rPr>
                  </w:pPr>
                </w:p>
              </w:tc>
              <w:tc>
                <w:tcPr>
                  <w:tcW w:w="846" w:type="dxa"/>
                  <w:vMerge w:val="restart"/>
                  <w:tcBorders>
                    <w:top w:val="nil"/>
                    <w:left w:val="nil"/>
                    <w:bottom w:val="single" w:color="auto" w:sz="4" w:space="0"/>
                    <w:right w:val="single" w:color="auto" w:sz="4" w:space="0"/>
                  </w:tcBorders>
                  <w:vAlign w:val="center"/>
                </w:tcPr>
                <w:p w14:paraId="65553EE3">
                  <w:pPr>
                    <w:pStyle w:val="50"/>
                    <w:keepNext w:val="0"/>
                    <w:keepLines w:val="0"/>
                    <w:pageBreakBefore w:val="0"/>
                    <w:kinsoku/>
                    <w:wordWrap/>
                    <w:overflowPunct/>
                    <w:bidi w:val="0"/>
                    <w:spacing w:after="0"/>
                    <w:textAlignment w:val="auto"/>
                    <w:rPr>
                      <w:color w:val="auto"/>
                    </w:rPr>
                  </w:pPr>
                  <w:r>
                    <w:rPr>
                      <w:color w:val="auto"/>
                    </w:rPr>
                    <w:t>（三）挥发性有机物的治理应纳入企业的环保措施。</w:t>
                  </w:r>
                </w:p>
              </w:tc>
              <w:tc>
                <w:tcPr>
                  <w:tcW w:w="3174" w:type="dxa"/>
                  <w:tcBorders>
                    <w:top w:val="single" w:color="auto" w:sz="4" w:space="0"/>
                    <w:left w:val="nil"/>
                    <w:bottom w:val="single" w:color="auto" w:sz="4" w:space="0"/>
                    <w:right w:val="single" w:color="auto" w:sz="4" w:space="0"/>
                  </w:tcBorders>
                  <w:vAlign w:val="center"/>
                </w:tcPr>
                <w:p w14:paraId="23485ECE">
                  <w:pPr>
                    <w:pStyle w:val="50"/>
                    <w:keepNext w:val="0"/>
                    <w:keepLines w:val="0"/>
                    <w:pageBreakBefore w:val="0"/>
                    <w:kinsoku/>
                    <w:wordWrap/>
                    <w:overflowPunct/>
                    <w:bidi w:val="0"/>
                    <w:spacing w:after="0"/>
                    <w:textAlignment w:val="auto"/>
                    <w:rPr>
                      <w:color w:val="auto"/>
                    </w:rPr>
                  </w:pPr>
                  <w:r>
                    <w:rPr>
                      <w:color w:val="auto"/>
                    </w:rPr>
                    <w:t>（1</w:t>
                  </w:r>
                  <w:r>
                    <w:rPr>
                      <w:rFonts w:ascii="宋体" w:hAnsi="宋体"/>
                      <w:color w:val="auto"/>
                    </w:rPr>
                    <w:t>）在石油炼制和石油化工行业，鼓励采用先进的清洁生产技术，提高原油的转化和利用效率。对于设备与管线组件、工艺排气、废气燃烧塔（火炬）、废水处理等过程产生的含</w:t>
                  </w:r>
                  <w:r>
                    <w:rPr>
                      <w:color w:val="auto"/>
                    </w:rPr>
                    <w:t>VOCs</w:t>
                  </w:r>
                  <w:r>
                    <w:rPr>
                      <w:rFonts w:ascii="宋体" w:hAnsi="宋体"/>
                      <w:color w:val="auto"/>
                    </w:rPr>
                    <w:t>废气污染防治技术措施包括：</w:t>
                  </w:r>
                  <w:r>
                    <w:rPr>
                      <w:rFonts w:hint="eastAsia" w:ascii="宋体" w:hAnsi="宋体"/>
                      <w:color w:val="auto"/>
                    </w:rPr>
                    <w:t>①</w:t>
                  </w:r>
                  <w:r>
                    <w:rPr>
                      <w:color w:val="auto"/>
                    </w:rPr>
                    <w:t>对泵、压缩机、阀门、法兰等易发生泄漏的设备与管线组件，制定泄漏检测与修复（LDAR</w:t>
                  </w:r>
                  <w:r>
                    <w:rPr>
                      <w:rFonts w:ascii="宋体" w:hAnsi="宋体"/>
                      <w:color w:val="auto"/>
                    </w:rPr>
                    <w:t>）计划，定期检测、及时修复，防止或减少跑、冒、滴、漏现象；</w:t>
                  </w:r>
                  <w:r>
                    <w:rPr>
                      <w:rFonts w:hint="eastAsia" w:ascii="宋体" w:hAnsi="宋体"/>
                      <w:color w:val="auto"/>
                    </w:rPr>
                    <w:t>②</w:t>
                  </w:r>
                  <w:r>
                    <w:rPr>
                      <w:color w:val="auto"/>
                    </w:rPr>
                    <w:t>对生产装置排放的含VOCs</w:t>
                  </w:r>
                  <w:r>
                    <w:rPr>
                      <w:rFonts w:ascii="宋体" w:hAnsi="宋体"/>
                      <w:color w:val="auto"/>
                    </w:rPr>
                    <w:t>工艺排气宜优先回收利用，不能（或不能完全）回收利用的经处理后达标排放；应急情况下的泄放气可导入燃烧塔（火炬），经过充分燃烧后排放；</w:t>
                  </w:r>
                  <w:r>
                    <w:rPr>
                      <w:rFonts w:hint="eastAsia" w:ascii="宋体" w:hAnsi="宋体"/>
                      <w:color w:val="auto"/>
                    </w:rPr>
                    <w:t>③</w:t>
                  </w:r>
                  <w:r>
                    <w:rPr>
                      <w:color w:val="auto"/>
                    </w:rPr>
                    <w:t>废水收集和处理过程产生的含VOCs</w:t>
                  </w:r>
                  <w:r>
                    <w:rPr>
                      <w:rFonts w:ascii="宋体" w:hAnsi="宋体"/>
                      <w:color w:val="auto"/>
                    </w:rPr>
                    <w:t>废气经收集处理后达标排放。</w:t>
                  </w:r>
                </w:p>
              </w:tc>
              <w:tc>
                <w:tcPr>
                  <w:tcW w:w="2247" w:type="dxa"/>
                  <w:tcBorders>
                    <w:top w:val="single" w:color="auto" w:sz="4" w:space="0"/>
                    <w:left w:val="nil"/>
                    <w:bottom w:val="single" w:color="auto" w:sz="4" w:space="0"/>
                    <w:right w:val="single" w:color="auto" w:sz="4" w:space="0"/>
                  </w:tcBorders>
                  <w:vAlign w:val="center"/>
                </w:tcPr>
                <w:p w14:paraId="5C0F7327">
                  <w:pPr>
                    <w:pStyle w:val="50"/>
                    <w:keepNext w:val="0"/>
                    <w:keepLines w:val="0"/>
                    <w:pageBreakBefore w:val="0"/>
                    <w:kinsoku/>
                    <w:wordWrap/>
                    <w:overflowPunct/>
                    <w:bidi w:val="0"/>
                    <w:spacing w:after="0"/>
                    <w:textAlignment w:val="auto"/>
                    <w:rPr>
                      <w:color w:val="auto"/>
                    </w:rPr>
                  </w:pPr>
                  <w:r>
                    <w:rPr>
                      <w:rFonts w:hint="eastAsia"/>
                      <w:color w:val="auto"/>
                    </w:rPr>
                    <w:t>项目为基础配套设施管廊迁改工程，</w:t>
                  </w:r>
                  <w:r>
                    <w:rPr>
                      <w:color w:val="auto"/>
                    </w:rPr>
                    <w:t>本项目对</w:t>
                  </w:r>
                  <w:r>
                    <w:rPr>
                      <w:rFonts w:hint="eastAsia"/>
                      <w:color w:val="auto"/>
                    </w:rPr>
                    <w:t>火炬气、燃料气、</w:t>
                  </w:r>
                  <w:r>
                    <w:rPr>
                      <w:rFonts w:hint="eastAsia"/>
                      <w:color w:val="auto"/>
                      <w:lang w:eastAsia="zh-CN"/>
                    </w:rPr>
                    <w:t>凝缩油（属烃类冷凝液）</w:t>
                  </w:r>
                  <w:r>
                    <w:rPr>
                      <w:rFonts w:hint="eastAsia"/>
                      <w:color w:val="auto"/>
                    </w:rPr>
                    <w:t>等输送管道</w:t>
                  </w:r>
                  <w:r>
                    <w:rPr>
                      <w:rFonts w:ascii="宋体" w:hAnsi="宋体"/>
                      <w:color w:val="auto"/>
                    </w:rPr>
                    <w:t>，定期检测、及时修复，防止或减少跑、冒、滴、漏现象</w:t>
                  </w:r>
                  <w:r>
                    <w:rPr>
                      <w:rFonts w:hint="eastAsia"/>
                      <w:color w:val="auto"/>
                    </w:rPr>
                    <w:t>。</w:t>
                  </w:r>
                </w:p>
              </w:tc>
              <w:tc>
                <w:tcPr>
                  <w:tcW w:w="492" w:type="dxa"/>
                  <w:tcBorders>
                    <w:top w:val="single" w:color="auto" w:sz="4" w:space="0"/>
                    <w:left w:val="nil"/>
                    <w:bottom w:val="single" w:color="auto" w:sz="4" w:space="0"/>
                    <w:right w:val="single" w:color="auto" w:sz="4" w:space="0"/>
                  </w:tcBorders>
                  <w:vAlign w:val="center"/>
                </w:tcPr>
                <w:p w14:paraId="7C257295">
                  <w:pPr>
                    <w:pStyle w:val="50"/>
                    <w:keepNext w:val="0"/>
                    <w:keepLines w:val="0"/>
                    <w:pageBreakBefore w:val="0"/>
                    <w:kinsoku/>
                    <w:wordWrap/>
                    <w:overflowPunct/>
                    <w:bidi w:val="0"/>
                    <w:spacing w:after="0"/>
                    <w:textAlignment w:val="auto"/>
                    <w:rPr>
                      <w:color w:val="auto"/>
                    </w:rPr>
                  </w:pPr>
                  <w:r>
                    <w:rPr>
                      <w:color w:val="auto"/>
                    </w:rPr>
                    <w:t>相符</w:t>
                  </w:r>
                </w:p>
              </w:tc>
            </w:tr>
            <w:tr w14:paraId="673B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continue"/>
                  <w:tcBorders>
                    <w:top w:val="nil"/>
                    <w:left w:val="single" w:color="auto" w:sz="4" w:space="0"/>
                    <w:bottom w:val="single" w:color="auto" w:sz="4" w:space="0"/>
                    <w:right w:val="single" w:color="auto" w:sz="4" w:space="0"/>
                  </w:tcBorders>
                  <w:vAlign w:val="center"/>
                </w:tcPr>
                <w:p w14:paraId="5550E370">
                  <w:pPr>
                    <w:keepNext w:val="0"/>
                    <w:keepLines w:val="0"/>
                    <w:pageBreakBefore w:val="0"/>
                    <w:widowControl/>
                    <w:kinsoku/>
                    <w:wordWrap/>
                    <w:overflowPunct/>
                    <w:bidi w:val="0"/>
                    <w:spacing w:after="0"/>
                    <w:jc w:val="left"/>
                    <w:textAlignment w:val="auto"/>
                    <w:rPr>
                      <w:rFonts w:cs="宋体"/>
                      <w:color w:val="auto"/>
                      <w:szCs w:val="21"/>
                    </w:rPr>
                  </w:pPr>
                </w:p>
              </w:tc>
              <w:tc>
                <w:tcPr>
                  <w:tcW w:w="846" w:type="dxa"/>
                  <w:vMerge w:val="continue"/>
                  <w:tcBorders>
                    <w:top w:val="nil"/>
                    <w:left w:val="nil"/>
                    <w:bottom w:val="single" w:color="auto" w:sz="4" w:space="0"/>
                    <w:right w:val="single" w:color="auto" w:sz="4" w:space="0"/>
                  </w:tcBorders>
                  <w:vAlign w:val="center"/>
                </w:tcPr>
                <w:p w14:paraId="443A8E5E">
                  <w:pPr>
                    <w:keepNext w:val="0"/>
                    <w:keepLines w:val="0"/>
                    <w:pageBreakBefore w:val="0"/>
                    <w:widowControl/>
                    <w:kinsoku/>
                    <w:wordWrap/>
                    <w:overflowPunct/>
                    <w:bidi w:val="0"/>
                    <w:spacing w:after="0"/>
                    <w:jc w:val="left"/>
                    <w:textAlignment w:val="auto"/>
                    <w:rPr>
                      <w:rFonts w:cs="宋体"/>
                      <w:color w:val="auto"/>
                      <w:szCs w:val="21"/>
                    </w:rPr>
                  </w:pPr>
                </w:p>
              </w:tc>
              <w:tc>
                <w:tcPr>
                  <w:tcW w:w="3174" w:type="dxa"/>
                  <w:tcBorders>
                    <w:top w:val="single" w:color="auto" w:sz="4" w:space="0"/>
                    <w:left w:val="nil"/>
                    <w:bottom w:val="single" w:color="auto" w:sz="4" w:space="0"/>
                    <w:right w:val="single" w:color="auto" w:sz="4" w:space="0"/>
                  </w:tcBorders>
                  <w:vAlign w:val="center"/>
                </w:tcPr>
                <w:p w14:paraId="79B03DF0">
                  <w:pPr>
                    <w:pStyle w:val="50"/>
                    <w:keepNext w:val="0"/>
                    <w:keepLines w:val="0"/>
                    <w:pageBreakBefore w:val="0"/>
                    <w:kinsoku/>
                    <w:wordWrap/>
                    <w:overflowPunct/>
                    <w:bidi w:val="0"/>
                    <w:spacing w:after="0"/>
                    <w:textAlignment w:val="auto"/>
                    <w:rPr>
                      <w:color w:val="auto"/>
                    </w:rPr>
                  </w:pPr>
                  <w:r>
                    <w:rPr>
                      <w:color w:val="auto"/>
                    </w:rPr>
                    <w:t>（2</w:t>
                  </w:r>
                  <w:r>
                    <w:rPr>
                      <w:rFonts w:ascii="宋体" w:hAnsi="宋体"/>
                      <w:color w:val="auto"/>
                    </w:rPr>
                    <w:t>）在油类（燃油、溶剂）的储存、运输过程中的</w:t>
                  </w:r>
                  <w:r>
                    <w:rPr>
                      <w:color w:val="auto"/>
                    </w:rPr>
                    <w:t>VOCs</w:t>
                  </w:r>
                  <w:r>
                    <w:rPr>
                      <w:rFonts w:ascii="宋体" w:hAnsi="宋体"/>
                      <w:color w:val="auto"/>
                    </w:rPr>
                    <w:t>污染防治技术措施包括：</w:t>
                  </w:r>
                  <w:r>
                    <w:rPr>
                      <w:rFonts w:hint="eastAsia" w:ascii="宋体" w:hAnsi="宋体"/>
                      <w:color w:val="auto"/>
                    </w:rPr>
                    <w:t>①</w:t>
                  </w:r>
                  <w:r>
                    <w:rPr>
                      <w:color w:val="auto"/>
                    </w:rPr>
                    <w:t>储油库、加油站和油罐车宜配备相应的油气收集系统，储油库、加油站宜配备相应的油气回收系统；</w:t>
                  </w:r>
                  <w:r>
                    <w:rPr>
                      <w:rFonts w:hint="eastAsia" w:ascii="宋体" w:hAnsi="宋体"/>
                      <w:color w:val="auto"/>
                    </w:rPr>
                    <w:t>②</w:t>
                  </w:r>
                  <w:r>
                    <w:rPr>
                      <w:color w:val="auto"/>
                    </w:rPr>
                    <w:t>油类（燃油、溶剂等）储罐宜采用高效密封的内（外）浮顶罐，当采用固定顶罐时，通过密闭排气系统将含VOCs</w:t>
                  </w:r>
                  <w:r>
                    <w:rPr>
                      <w:rFonts w:ascii="宋体" w:hAnsi="宋体"/>
                      <w:color w:val="auto"/>
                    </w:rPr>
                    <w:t>气体输送至回收设备；</w:t>
                  </w:r>
                  <w:r>
                    <w:rPr>
                      <w:rFonts w:hint="eastAsia" w:ascii="宋体" w:hAnsi="宋体"/>
                      <w:color w:val="auto"/>
                    </w:rPr>
                    <w:t>③</w:t>
                  </w:r>
                  <w:r>
                    <w:rPr>
                      <w:color w:val="auto"/>
                    </w:rPr>
                    <w:t>油类（燃油、溶剂等）运载工具（汽车油罐车、铁路油槽车、油轮等）在装载过程中排放的VOCs</w:t>
                  </w:r>
                  <w:r>
                    <w:rPr>
                      <w:rFonts w:ascii="宋体" w:hAnsi="宋体"/>
                      <w:color w:val="auto"/>
                    </w:rPr>
                    <w:t>密闭收集输送至回收设备，也可返回储罐或送入气体管网。</w:t>
                  </w:r>
                </w:p>
              </w:tc>
              <w:tc>
                <w:tcPr>
                  <w:tcW w:w="2247" w:type="dxa"/>
                  <w:tcBorders>
                    <w:top w:val="single" w:color="auto" w:sz="4" w:space="0"/>
                    <w:left w:val="nil"/>
                    <w:bottom w:val="single" w:color="auto" w:sz="4" w:space="0"/>
                    <w:right w:val="single" w:color="auto" w:sz="4" w:space="0"/>
                  </w:tcBorders>
                  <w:vAlign w:val="center"/>
                </w:tcPr>
                <w:p w14:paraId="7C0DD13D">
                  <w:pPr>
                    <w:pStyle w:val="50"/>
                    <w:keepNext w:val="0"/>
                    <w:keepLines w:val="0"/>
                    <w:pageBreakBefore w:val="0"/>
                    <w:kinsoku/>
                    <w:wordWrap/>
                    <w:overflowPunct/>
                    <w:bidi w:val="0"/>
                    <w:spacing w:after="0"/>
                    <w:textAlignment w:val="auto"/>
                    <w:rPr>
                      <w:color w:val="auto"/>
                    </w:rPr>
                  </w:pPr>
                  <w:r>
                    <w:rPr>
                      <w:rFonts w:hint="eastAsia"/>
                      <w:color w:val="auto"/>
                    </w:rPr>
                    <w:t>项目为基础配套设施管廊迁改工程，</w:t>
                  </w:r>
                  <w:r>
                    <w:rPr>
                      <w:color w:val="auto"/>
                    </w:rPr>
                    <w:t>本项目对</w:t>
                  </w:r>
                  <w:r>
                    <w:rPr>
                      <w:rFonts w:hint="eastAsia"/>
                      <w:color w:val="auto"/>
                    </w:rPr>
                    <w:t>火炬气、燃料气、</w:t>
                  </w:r>
                  <w:r>
                    <w:rPr>
                      <w:rFonts w:hint="eastAsia"/>
                      <w:color w:val="auto"/>
                      <w:lang w:eastAsia="zh-CN"/>
                    </w:rPr>
                    <w:t>凝缩油（属烃类冷凝液）</w:t>
                  </w:r>
                  <w:r>
                    <w:rPr>
                      <w:rFonts w:hint="eastAsia"/>
                      <w:color w:val="auto"/>
                    </w:rPr>
                    <w:t>等输送管道，输送过程密闭，基本无</w:t>
                  </w:r>
                  <w:r>
                    <w:rPr>
                      <w:color w:val="auto"/>
                    </w:rPr>
                    <w:t>VOCs</w:t>
                  </w:r>
                  <w:r>
                    <w:rPr>
                      <w:rFonts w:hint="eastAsia"/>
                      <w:color w:val="auto"/>
                    </w:rPr>
                    <w:t>排放。</w:t>
                  </w:r>
                </w:p>
              </w:tc>
              <w:tc>
                <w:tcPr>
                  <w:tcW w:w="492" w:type="dxa"/>
                  <w:tcBorders>
                    <w:top w:val="single" w:color="auto" w:sz="4" w:space="0"/>
                    <w:left w:val="nil"/>
                    <w:bottom w:val="single" w:color="auto" w:sz="4" w:space="0"/>
                    <w:right w:val="single" w:color="auto" w:sz="4" w:space="0"/>
                  </w:tcBorders>
                  <w:vAlign w:val="center"/>
                </w:tcPr>
                <w:p w14:paraId="6629F0EA">
                  <w:pPr>
                    <w:pStyle w:val="50"/>
                    <w:keepNext w:val="0"/>
                    <w:keepLines w:val="0"/>
                    <w:pageBreakBefore w:val="0"/>
                    <w:kinsoku/>
                    <w:wordWrap/>
                    <w:overflowPunct/>
                    <w:bidi w:val="0"/>
                    <w:spacing w:after="0"/>
                    <w:textAlignment w:val="auto"/>
                    <w:rPr>
                      <w:color w:val="auto"/>
                    </w:rPr>
                  </w:pPr>
                  <w:r>
                    <w:rPr>
                      <w:color w:val="auto"/>
                    </w:rPr>
                    <w:t>相符</w:t>
                  </w:r>
                </w:p>
              </w:tc>
            </w:tr>
            <w:tr w14:paraId="4F56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continue"/>
                  <w:tcBorders>
                    <w:top w:val="nil"/>
                    <w:left w:val="single" w:color="auto" w:sz="4" w:space="0"/>
                    <w:bottom w:val="single" w:color="auto" w:sz="4" w:space="0"/>
                    <w:right w:val="single" w:color="auto" w:sz="4" w:space="0"/>
                  </w:tcBorders>
                  <w:vAlign w:val="center"/>
                </w:tcPr>
                <w:p w14:paraId="29C93ACD">
                  <w:pPr>
                    <w:keepNext w:val="0"/>
                    <w:keepLines w:val="0"/>
                    <w:pageBreakBefore w:val="0"/>
                    <w:widowControl/>
                    <w:kinsoku/>
                    <w:wordWrap/>
                    <w:overflowPunct/>
                    <w:bidi w:val="0"/>
                    <w:spacing w:after="0"/>
                    <w:jc w:val="left"/>
                    <w:textAlignment w:val="auto"/>
                    <w:rPr>
                      <w:rFonts w:cs="宋体"/>
                      <w:color w:val="auto"/>
                      <w:szCs w:val="21"/>
                    </w:rPr>
                  </w:pPr>
                </w:p>
              </w:tc>
              <w:tc>
                <w:tcPr>
                  <w:tcW w:w="846" w:type="dxa"/>
                  <w:vMerge w:val="restart"/>
                  <w:tcBorders>
                    <w:top w:val="nil"/>
                    <w:left w:val="nil"/>
                    <w:bottom w:val="single" w:color="auto" w:sz="4" w:space="0"/>
                    <w:right w:val="single" w:color="auto" w:sz="4" w:space="0"/>
                  </w:tcBorders>
                  <w:vAlign w:val="center"/>
                </w:tcPr>
                <w:p w14:paraId="0C546BD5">
                  <w:pPr>
                    <w:pStyle w:val="50"/>
                    <w:keepNext w:val="0"/>
                    <w:keepLines w:val="0"/>
                    <w:pageBreakBefore w:val="0"/>
                    <w:kinsoku/>
                    <w:wordWrap/>
                    <w:overflowPunct/>
                    <w:bidi w:val="0"/>
                    <w:spacing w:after="0"/>
                    <w:textAlignment w:val="auto"/>
                    <w:rPr>
                      <w:color w:val="auto"/>
                    </w:rPr>
                  </w:pPr>
                  <w:r>
                    <w:rPr>
                      <w:color w:val="auto"/>
                    </w:rPr>
                    <w:t>（四）其他方面的准入条件。</w:t>
                  </w:r>
                </w:p>
              </w:tc>
              <w:tc>
                <w:tcPr>
                  <w:tcW w:w="3174" w:type="dxa"/>
                  <w:tcBorders>
                    <w:top w:val="single" w:color="auto" w:sz="4" w:space="0"/>
                    <w:left w:val="nil"/>
                    <w:bottom w:val="single" w:color="auto" w:sz="4" w:space="0"/>
                    <w:right w:val="single" w:color="auto" w:sz="4" w:space="0"/>
                  </w:tcBorders>
                  <w:vAlign w:val="center"/>
                </w:tcPr>
                <w:p w14:paraId="672FA11D">
                  <w:pPr>
                    <w:pStyle w:val="50"/>
                    <w:keepNext w:val="0"/>
                    <w:keepLines w:val="0"/>
                    <w:pageBreakBefore w:val="0"/>
                    <w:kinsoku/>
                    <w:wordWrap/>
                    <w:overflowPunct/>
                    <w:bidi w:val="0"/>
                    <w:spacing w:after="0"/>
                    <w:textAlignment w:val="auto"/>
                    <w:rPr>
                      <w:color w:val="auto"/>
                    </w:rPr>
                  </w:pPr>
                  <w:r>
                    <w:rPr>
                      <w:color w:val="auto"/>
                    </w:rPr>
                    <w:t>（1</w:t>
                  </w:r>
                  <w:r>
                    <w:rPr>
                      <w:rFonts w:ascii="宋体" w:hAnsi="宋体"/>
                      <w:color w:val="auto"/>
                    </w:rPr>
                    <w:t>）按照《钦州港临海工业园区发展环境影响报告书》（北海市碧蓝海洋环境保护服务有限公司，</w:t>
                  </w:r>
                  <w:r>
                    <w:rPr>
                      <w:color w:val="auto"/>
                    </w:rPr>
                    <w:t>2014</w:t>
                  </w:r>
                  <w:r>
                    <w:rPr>
                      <w:rFonts w:ascii="宋体" w:hAnsi="宋体"/>
                      <w:color w:val="auto"/>
                    </w:rPr>
                    <w:t>年</w:t>
                  </w:r>
                  <w:r>
                    <w:rPr>
                      <w:color w:val="auto"/>
                    </w:rPr>
                    <w:t>10</w:t>
                  </w:r>
                  <w:r>
                    <w:rPr>
                      <w:rFonts w:ascii="宋体" w:hAnsi="宋体"/>
                      <w:color w:val="auto"/>
                    </w:rPr>
                    <w:t>月）的要求，要适当提高企业进入园区的门槛。进入园区的项目不仅要达到经济规模，采用工艺技术符合国家要求，而且还要求原料和产品对环境的友好性。入区必须进行环境影响评价和安全评价，并要求企业建立起切实可行的环境管理制度和清洁生产机制。入驻企业须强制通过</w:t>
                  </w:r>
                  <w:r>
                    <w:rPr>
                      <w:rFonts w:hint="eastAsia" w:ascii="宋体" w:hAnsi="宋体"/>
                      <w:color w:val="auto"/>
                      <w:lang w:eastAsia="zh-CN"/>
                    </w:rPr>
                    <w:t>清洁生产审核</w:t>
                  </w:r>
                  <w:r>
                    <w:rPr>
                      <w:rFonts w:ascii="宋体" w:hAnsi="宋体"/>
                      <w:color w:val="auto"/>
                    </w:rPr>
                    <w:t>，必要的话入驻企业</w:t>
                  </w:r>
                  <w:r>
                    <w:rPr>
                      <w:color w:val="auto"/>
                    </w:rPr>
                    <w:t>“</w:t>
                  </w:r>
                  <w:r>
                    <w:rPr>
                      <w:rFonts w:ascii="宋体" w:hAnsi="宋体"/>
                      <w:color w:val="auto"/>
                    </w:rPr>
                    <w:t>三废</w:t>
                  </w:r>
                  <w:r>
                    <w:rPr>
                      <w:color w:val="auto"/>
                    </w:rPr>
                    <w:t>”</w:t>
                  </w:r>
                  <w:r>
                    <w:rPr>
                      <w:rFonts w:ascii="宋体" w:hAnsi="宋体"/>
                      <w:color w:val="auto"/>
                    </w:rPr>
                    <w:t>排放标准可参照国外先进水平严格要求。入驻企业投资强度应达到</w:t>
                  </w:r>
                  <w:r>
                    <w:rPr>
                      <w:color w:val="auto"/>
                    </w:rPr>
                    <w:t>7000</w:t>
                  </w:r>
                  <w:r>
                    <w:rPr>
                      <w:rFonts w:ascii="宋体" w:hAnsi="宋体"/>
                      <w:color w:val="auto"/>
                    </w:rPr>
                    <w:t>万元</w:t>
                  </w:r>
                  <w:r>
                    <w:rPr>
                      <w:color w:val="auto"/>
                    </w:rPr>
                    <w:t>/ha</w:t>
                  </w:r>
                  <w:r>
                    <w:rPr>
                      <w:rFonts w:ascii="宋体" w:hAnsi="宋体"/>
                      <w:color w:val="auto"/>
                    </w:rPr>
                    <w:t>，单位土地面积年工业增加值产出强度要达到</w:t>
                  </w:r>
                  <w:r>
                    <w:rPr>
                      <w:color w:val="auto"/>
                    </w:rPr>
                    <w:t>15</w:t>
                  </w:r>
                  <w:r>
                    <w:rPr>
                      <w:rFonts w:ascii="宋体" w:hAnsi="宋体"/>
                      <w:color w:val="auto"/>
                    </w:rPr>
                    <w:t>亿</w:t>
                  </w:r>
                  <w:r>
                    <w:rPr>
                      <w:rFonts w:hint="eastAsia" w:ascii="宋体" w:hAnsi="宋体"/>
                      <w:color w:val="auto"/>
                    </w:rPr>
                    <w:t>～</w:t>
                  </w:r>
                  <w:r>
                    <w:rPr>
                      <w:color w:val="auto"/>
                    </w:rPr>
                    <w:t>18</w:t>
                  </w:r>
                  <w:r>
                    <w:rPr>
                      <w:rFonts w:ascii="宋体" w:hAnsi="宋体"/>
                      <w:color w:val="auto"/>
                    </w:rPr>
                    <w:t>亿元</w:t>
                  </w:r>
                  <w:r>
                    <w:rPr>
                      <w:color w:val="auto"/>
                    </w:rPr>
                    <w:t>/km</w:t>
                  </w:r>
                  <w:r>
                    <w:rPr>
                      <w:color w:val="auto"/>
                      <w:vertAlign w:val="superscript"/>
                    </w:rPr>
                    <w:t>2</w:t>
                  </w:r>
                  <w:r>
                    <w:rPr>
                      <w:color w:val="auto"/>
                    </w:rPr>
                    <w:t>。</w:t>
                  </w:r>
                </w:p>
              </w:tc>
              <w:tc>
                <w:tcPr>
                  <w:tcW w:w="2247" w:type="dxa"/>
                  <w:tcBorders>
                    <w:top w:val="single" w:color="auto" w:sz="4" w:space="0"/>
                    <w:left w:val="nil"/>
                    <w:bottom w:val="single" w:color="auto" w:sz="4" w:space="0"/>
                    <w:right w:val="single" w:color="auto" w:sz="4" w:space="0"/>
                  </w:tcBorders>
                  <w:vAlign w:val="center"/>
                </w:tcPr>
                <w:p w14:paraId="76D1181B">
                  <w:pPr>
                    <w:pStyle w:val="50"/>
                    <w:keepNext w:val="0"/>
                    <w:keepLines w:val="0"/>
                    <w:pageBreakBefore w:val="0"/>
                    <w:kinsoku/>
                    <w:wordWrap/>
                    <w:overflowPunct/>
                    <w:bidi w:val="0"/>
                    <w:spacing w:after="0"/>
                    <w:textAlignment w:val="auto"/>
                    <w:rPr>
                      <w:color w:val="auto"/>
                    </w:rPr>
                  </w:pPr>
                  <w:r>
                    <w:rPr>
                      <w:rFonts w:hint="eastAsia"/>
                      <w:color w:val="auto"/>
                    </w:rPr>
                    <w:t>项目为基础配套设施管廊迁改工程，不产生产值，但是企业生产不可缺少的基础工程。</w:t>
                  </w:r>
                </w:p>
              </w:tc>
              <w:tc>
                <w:tcPr>
                  <w:tcW w:w="492" w:type="dxa"/>
                  <w:tcBorders>
                    <w:top w:val="single" w:color="auto" w:sz="4" w:space="0"/>
                    <w:left w:val="nil"/>
                    <w:bottom w:val="single" w:color="auto" w:sz="4" w:space="0"/>
                    <w:right w:val="single" w:color="auto" w:sz="4" w:space="0"/>
                  </w:tcBorders>
                  <w:vAlign w:val="center"/>
                </w:tcPr>
                <w:p w14:paraId="01AA3882">
                  <w:pPr>
                    <w:pStyle w:val="50"/>
                    <w:keepNext w:val="0"/>
                    <w:keepLines w:val="0"/>
                    <w:pageBreakBefore w:val="0"/>
                    <w:kinsoku/>
                    <w:wordWrap/>
                    <w:overflowPunct/>
                    <w:bidi w:val="0"/>
                    <w:spacing w:after="0"/>
                    <w:textAlignment w:val="auto"/>
                    <w:rPr>
                      <w:color w:val="auto"/>
                    </w:rPr>
                  </w:pPr>
                  <w:r>
                    <w:rPr>
                      <w:color w:val="auto"/>
                    </w:rPr>
                    <w:t>相符</w:t>
                  </w:r>
                </w:p>
              </w:tc>
            </w:tr>
            <w:tr w14:paraId="0B39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continue"/>
                  <w:tcBorders>
                    <w:top w:val="nil"/>
                    <w:left w:val="single" w:color="auto" w:sz="4" w:space="0"/>
                    <w:bottom w:val="single" w:color="auto" w:sz="4" w:space="0"/>
                    <w:right w:val="single" w:color="auto" w:sz="4" w:space="0"/>
                  </w:tcBorders>
                  <w:vAlign w:val="center"/>
                </w:tcPr>
                <w:p w14:paraId="1B18C48C">
                  <w:pPr>
                    <w:keepNext w:val="0"/>
                    <w:keepLines w:val="0"/>
                    <w:pageBreakBefore w:val="0"/>
                    <w:widowControl/>
                    <w:kinsoku/>
                    <w:wordWrap/>
                    <w:overflowPunct/>
                    <w:bidi w:val="0"/>
                    <w:spacing w:after="0"/>
                    <w:jc w:val="left"/>
                    <w:textAlignment w:val="auto"/>
                    <w:rPr>
                      <w:rFonts w:cs="宋体"/>
                      <w:color w:val="auto"/>
                      <w:szCs w:val="21"/>
                    </w:rPr>
                  </w:pPr>
                </w:p>
              </w:tc>
              <w:tc>
                <w:tcPr>
                  <w:tcW w:w="846" w:type="dxa"/>
                  <w:vMerge w:val="continue"/>
                  <w:tcBorders>
                    <w:top w:val="nil"/>
                    <w:left w:val="nil"/>
                    <w:bottom w:val="single" w:color="auto" w:sz="4" w:space="0"/>
                    <w:right w:val="single" w:color="auto" w:sz="4" w:space="0"/>
                  </w:tcBorders>
                  <w:vAlign w:val="center"/>
                </w:tcPr>
                <w:p w14:paraId="7AFFDA0E">
                  <w:pPr>
                    <w:keepNext w:val="0"/>
                    <w:keepLines w:val="0"/>
                    <w:pageBreakBefore w:val="0"/>
                    <w:widowControl/>
                    <w:kinsoku/>
                    <w:wordWrap/>
                    <w:overflowPunct/>
                    <w:bidi w:val="0"/>
                    <w:spacing w:after="0"/>
                    <w:jc w:val="left"/>
                    <w:textAlignment w:val="auto"/>
                    <w:rPr>
                      <w:rFonts w:cs="宋体"/>
                      <w:color w:val="auto"/>
                      <w:szCs w:val="21"/>
                    </w:rPr>
                  </w:pPr>
                </w:p>
              </w:tc>
              <w:tc>
                <w:tcPr>
                  <w:tcW w:w="3174" w:type="dxa"/>
                  <w:tcBorders>
                    <w:top w:val="single" w:color="auto" w:sz="4" w:space="0"/>
                    <w:left w:val="nil"/>
                    <w:bottom w:val="single" w:color="auto" w:sz="4" w:space="0"/>
                    <w:right w:val="single" w:color="auto" w:sz="4" w:space="0"/>
                  </w:tcBorders>
                  <w:vAlign w:val="center"/>
                </w:tcPr>
                <w:p w14:paraId="1116ADFA">
                  <w:pPr>
                    <w:pStyle w:val="50"/>
                    <w:keepNext w:val="0"/>
                    <w:keepLines w:val="0"/>
                    <w:pageBreakBefore w:val="0"/>
                    <w:kinsoku/>
                    <w:wordWrap/>
                    <w:overflowPunct/>
                    <w:bidi w:val="0"/>
                    <w:spacing w:after="0"/>
                    <w:textAlignment w:val="auto"/>
                    <w:rPr>
                      <w:color w:val="auto"/>
                    </w:rPr>
                  </w:pPr>
                  <w:r>
                    <w:rPr>
                      <w:color w:val="auto"/>
                    </w:rPr>
                    <w:t>（2</w:t>
                  </w:r>
                  <w:r>
                    <w:rPr>
                      <w:rFonts w:ascii="宋体" w:hAnsi="宋体"/>
                      <w:color w:val="auto"/>
                    </w:rPr>
                    <w:t>）工业技术的选择，要选择原料和能源消耗低、污染物排放少的工业技术，单位工业增加值的能耗、水耗和污染物排放量应达到同行业国际先进水平且必须低于地方制定的标准。</w:t>
                  </w:r>
                </w:p>
              </w:tc>
              <w:tc>
                <w:tcPr>
                  <w:tcW w:w="2247" w:type="dxa"/>
                  <w:tcBorders>
                    <w:top w:val="single" w:color="auto" w:sz="4" w:space="0"/>
                    <w:left w:val="nil"/>
                    <w:bottom w:val="single" w:color="auto" w:sz="4" w:space="0"/>
                    <w:right w:val="single" w:color="auto" w:sz="4" w:space="0"/>
                  </w:tcBorders>
                  <w:vAlign w:val="center"/>
                </w:tcPr>
                <w:p w14:paraId="22D7182A">
                  <w:pPr>
                    <w:pStyle w:val="50"/>
                    <w:keepNext w:val="0"/>
                    <w:keepLines w:val="0"/>
                    <w:pageBreakBefore w:val="0"/>
                    <w:kinsoku/>
                    <w:wordWrap/>
                    <w:overflowPunct/>
                    <w:bidi w:val="0"/>
                    <w:spacing w:after="0"/>
                    <w:textAlignment w:val="auto"/>
                    <w:rPr>
                      <w:color w:val="auto"/>
                    </w:rPr>
                  </w:pPr>
                  <w:r>
                    <w:rPr>
                      <w:rFonts w:hint="eastAsia"/>
                      <w:color w:val="auto"/>
                    </w:rPr>
                    <w:t>项目运营不消耗能源</w:t>
                  </w:r>
                  <w:r>
                    <w:rPr>
                      <w:color w:val="auto"/>
                    </w:rPr>
                    <w:t>、水</w:t>
                  </w:r>
                  <w:r>
                    <w:rPr>
                      <w:rFonts w:hint="eastAsia"/>
                      <w:color w:val="auto"/>
                    </w:rPr>
                    <w:t>，基本不产生</w:t>
                  </w:r>
                  <w:r>
                    <w:rPr>
                      <w:color w:val="auto"/>
                    </w:rPr>
                    <w:t>污染物排放。</w:t>
                  </w:r>
                </w:p>
              </w:tc>
              <w:tc>
                <w:tcPr>
                  <w:tcW w:w="492" w:type="dxa"/>
                  <w:tcBorders>
                    <w:top w:val="single" w:color="auto" w:sz="4" w:space="0"/>
                    <w:left w:val="nil"/>
                    <w:bottom w:val="single" w:color="auto" w:sz="4" w:space="0"/>
                    <w:right w:val="single" w:color="auto" w:sz="4" w:space="0"/>
                  </w:tcBorders>
                  <w:vAlign w:val="center"/>
                </w:tcPr>
                <w:p w14:paraId="1FF2477F">
                  <w:pPr>
                    <w:pStyle w:val="50"/>
                    <w:keepNext w:val="0"/>
                    <w:keepLines w:val="0"/>
                    <w:pageBreakBefore w:val="0"/>
                    <w:kinsoku/>
                    <w:wordWrap/>
                    <w:overflowPunct/>
                    <w:bidi w:val="0"/>
                    <w:spacing w:after="0"/>
                    <w:textAlignment w:val="auto"/>
                    <w:rPr>
                      <w:color w:val="auto"/>
                    </w:rPr>
                  </w:pPr>
                  <w:r>
                    <w:rPr>
                      <w:color w:val="auto"/>
                    </w:rPr>
                    <w:t>相符</w:t>
                  </w:r>
                </w:p>
              </w:tc>
            </w:tr>
            <w:tr w14:paraId="5A8F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continue"/>
                  <w:tcBorders>
                    <w:top w:val="nil"/>
                    <w:left w:val="single" w:color="auto" w:sz="4" w:space="0"/>
                    <w:bottom w:val="single" w:color="auto" w:sz="4" w:space="0"/>
                    <w:right w:val="single" w:color="auto" w:sz="4" w:space="0"/>
                  </w:tcBorders>
                  <w:vAlign w:val="center"/>
                </w:tcPr>
                <w:p w14:paraId="5E9104F9">
                  <w:pPr>
                    <w:keepNext w:val="0"/>
                    <w:keepLines w:val="0"/>
                    <w:pageBreakBefore w:val="0"/>
                    <w:widowControl/>
                    <w:kinsoku/>
                    <w:wordWrap/>
                    <w:overflowPunct/>
                    <w:bidi w:val="0"/>
                    <w:spacing w:after="0"/>
                    <w:jc w:val="left"/>
                    <w:textAlignment w:val="auto"/>
                    <w:rPr>
                      <w:rFonts w:cs="宋体"/>
                      <w:color w:val="auto"/>
                      <w:szCs w:val="21"/>
                    </w:rPr>
                  </w:pPr>
                </w:p>
              </w:tc>
              <w:tc>
                <w:tcPr>
                  <w:tcW w:w="846" w:type="dxa"/>
                  <w:vMerge w:val="continue"/>
                  <w:tcBorders>
                    <w:top w:val="nil"/>
                    <w:left w:val="nil"/>
                    <w:bottom w:val="single" w:color="auto" w:sz="4" w:space="0"/>
                    <w:right w:val="single" w:color="auto" w:sz="4" w:space="0"/>
                  </w:tcBorders>
                  <w:vAlign w:val="center"/>
                </w:tcPr>
                <w:p w14:paraId="098D915F">
                  <w:pPr>
                    <w:keepNext w:val="0"/>
                    <w:keepLines w:val="0"/>
                    <w:pageBreakBefore w:val="0"/>
                    <w:widowControl/>
                    <w:kinsoku/>
                    <w:wordWrap/>
                    <w:overflowPunct/>
                    <w:bidi w:val="0"/>
                    <w:spacing w:after="0"/>
                    <w:jc w:val="left"/>
                    <w:textAlignment w:val="auto"/>
                    <w:rPr>
                      <w:rFonts w:cs="宋体"/>
                      <w:color w:val="auto"/>
                      <w:szCs w:val="21"/>
                    </w:rPr>
                  </w:pPr>
                </w:p>
              </w:tc>
              <w:tc>
                <w:tcPr>
                  <w:tcW w:w="3174" w:type="dxa"/>
                  <w:tcBorders>
                    <w:top w:val="single" w:color="auto" w:sz="4" w:space="0"/>
                    <w:left w:val="nil"/>
                    <w:bottom w:val="single" w:color="auto" w:sz="4" w:space="0"/>
                    <w:right w:val="single" w:color="auto" w:sz="4" w:space="0"/>
                  </w:tcBorders>
                  <w:vAlign w:val="center"/>
                </w:tcPr>
                <w:p w14:paraId="2BD4A40D">
                  <w:pPr>
                    <w:pStyle w:val="50"/>
                    <w:keepNext w:val="0"/>
                    <w:keepLines w:val="0"/>
                    <w:pageBreakBefore w:val="0"/>
                    <w:kinsoku/>
                    <w:wordWrap/>
                    <w:overflowPunct/>
                    <w:bidi w:val="0"/>
                    <w:spacing w:after="0"/>
                    <w:textAlignment w:val="auto"/>
                    <w:rPr>
                      <w:color w:val="auto"/>
                    </w:rPr>
                  </w:pPr>
                  <w:r>
                    <w:rPr>
                      <w:color w:val="auto"/>
                    </w:rPr>
                    <w:t>（3</w:t>
                  </w:r>
                  <w:r>
                    <w:rPr>
                      <w:rFonts w:ascii="宋体" w:hAnsi="宋体"/>
                      <w:color w:val="auto"/>
                    </w:rPr>
                    <w:t>）企业污染物排放浓度达到国家或地方规定的排放标准和总量指标。</w:t>
                  </w:r>
                </w:p>
              </w:tc>
              <w:tc>
                <w:tcPr>
                  <w:tcW w:w="2247" w:type="dxa"/>
                  <w:tcBorders>
                    <w:top w:val="single" w:color="auto" w:sz="4" w:space="0"/>
                    <w:left w:val="nil"/>
                    <w:bottom w:val="single" w:color="auto" w:sz="4" w:space="0"/>
                    <w:right w:val="single" w:color="auto" w:sz="4" w:space="0"/>
                  </w:tcBorders>
                  <w:vAlign w:val="center"/>
                </w:tcPr>
                <w:p w14:paraId="58DED22F">
                  <w:pPr>
                    <w:pStyle w:val="50"/>
                    <w:keepNext w:val="0"/>
                    <w:keepLines w:val="0"/>
                    <w:pageBreakBefore w:val="0"/>
                    <w:kinsoku/>
                    <w:wordWrap/>
                    <w:overflowPunct/>
                    <w:bidi w:val="0"/>
                    <w:spacing w:after="0"/>
                    <w:textAlignment w:val="auto"/>
                    <w:rPr>
                      <w:color w:val="auto"/>
                    </w:rPr>
                  </w:pPr>
                  <w:r>
                    <w:rPr>
                      <w:color w:val="auto"/>
                    </w:rPr>
                    <w:t>本项目</w:t>
                  </w:r>
                  <w:r>
                    <w:rPr>
                      <w:rFonts w:hint="eastAsia"/>
                      <w:color w:val="auto"/>
                    </w:rPr>
                    <w:t>运营期不涉及污染物排放，不设置总量指标</w:t>
                  </w:r>
                  <w:r>
                    <w:rPr>
                      <w:color w:val="auto"/>
                    </w:rPr>
                    <w:t>。</w:t>
                  </w:r>
                </w:p>
              </w:tc>
              <w:tc>
                <w:tcPr>
                  <w:tcW w:w="492" w:type="dxa"/>
                  <w:tcBorders>
                    <w:top w:val="single" w:color="auto" w:sz="4" w:space="0"/>
                    <w:left w:val="nil"/>
                    <w:bottom w:val="single" w:color="auto" w:sz="4" w:space="0"/>
                    <w:right w:val="single" w:color="auto" w:sz="4" w:space="0"/>
                  </w:tcBorders>
                  <w:vAlign w:val="center"/>
                </w:tcPr>
                <w:p w14:paraId="5C10AED5">
                  <w:pPr>
                    <w:pStyle w:val="50"/>
                    <w:keepNext w:val="0"/>
                    <w:keepLines w:val="0"/>
                    <w:pageBreakBefore w:val="0"/>
                    <w:kinsoku/>
                    <w:wordWrap/>
                    <w:overflowPunct/>
                    <w:bidi w:val="0"/>
                    <w:spacing w:after="0"/>
                    <w:textAlignment w:val="auto"/>
                    <w:rPr>
                      <w:color w:val="auto"/>
                    </w:rPr>
                  </w:pPr>
                  <w:r>
                    <w:rPr>
                      <w:color w:val="auto"/>
                    </w:rPr>
                    <w:t>相符</w:t>
                  </w:r>
                </w:p>
              </w:tc>
            </w:tr>
            <w:tr w14:paraId="3999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continue"/>
                  <w:tcBorders>
                    <w:top w:val="nil"/>
                    <w:left w:val="single" w:color="auto" w:sz="4" w:space="0"/>
                    <w:bottom w:val="single" w:color="auto" w:sz="4" w:space="0"/>
                    <w:right w:val="single" w:color="auto" w:sz="4" w:space="0"/>
                  </w:tcBorders>
                  <w:vAlign w:val="center"/>
                </w:tcPr>
                <w:p w14:paraId="5D8E2F1F">
                  <w:pPr>
                    <w:keepNext w:val="0"/>
                    <w:keepLines w:val="0"/>
                    <w:pageBreakBefore w:val="0"/>
                    <w:widowControl/>
                    <w:kinsoku/>
                    <w:wordWrap/>
                    <w:overflowPunct/>
                    <w:bidi w:val="0"/>
                    <w:spacing w:after="0"/>
                    <w:jc w:val="left"/>
                    <w:textAlignment w:val="auto"/>
                    <w:rPr>
                      <w:rFonts w:cs="宋体"/>
                      <w:color w:val="auto"/>
                      <w:szCs w:val="21"/>
                    </w:rPr>
                  </w:pPr>
                </w:p>
              </w:tc>
              <w:tc>
                <w:tcPr>
                  <w:tcW w:w="846" w:type="dxa"/>
                  <w:vMerge w:val="continue"/>
                  <w:tcBorders>
                    <w:top w:val="nil"/>
                    <w:left w:val="nil"/>
                    <w:bottom w:val="single" w:color="auto" w:sz="4" w:space="0"/>
                    <w:right w:val="single" w:color="auto" w:sz="4" w:space="0"/>
                  </w:tcBorders>
                  <w:vAlign w:val="center"/>
                </w:tcPr>
                <w:p w14:paraId="7B2B0A89">
                  <w:pPr>
                    <w:keepNext w:val="0"/>
                    <w:keepLines w:val="0"/>
                    <w:pageBreakBefore w:val="0"/>
                    <w:widowControl/>
                    <w:kinsoku/>
                    <w:wordWrap/>
                    <w:overflowPunct/>
                    <w:bidi w:val="0"/>
                    <w:spacing w:after="0"/>
                    <w:jc w:val="left"/>
                    <w:textAlignment w:val="auto"/>
                    <w:rPr>
                      <w:rFonts w:cs="宋体"/>
                      <w:color w:val="auto"/>
                      <w:szCs w:val="21"/>
                    </w:rPr>
                  </w:pPr>
                </w:p>
              </w:tc>
              <w:tc>
                <w:tcPr>
                  <w:tcW w:w="3174" w:type="dxa"/>
                  <w:tcBorders>
                    <w:top w:val="single" w:color="auto" w:sz="4" w:space="0"/>
                    <w:left w:val="nil"/>
                    <w:bottom w:val="single" w:color="auto" w:sz="4" w:space="0"/>
                    <w:right w:val="single" w:color="auto" w:sz="4" w:space="0"/>
                  </w:tcBorders>
                  <w:vAlign w:val="center"/>
                </w:tcPr>
                <w:p w14:paraId="06F83B82">
                  <w:pPr>
                    <w:pStyle w:val="50"/>
                    <w:keepNext w:val="0"/>
                    <w:keepLines w:val="0"/>
                    <w:pageBreakBefore w:val="0"/>
                    <w:kinsoku/>
                    <w:wordWrap/>
                    <w:overflowPunct/>
                    <w:bidi w:val="0"/>
                    <w:spacing w:after="0"/>
                    <w:textAlignment w:val="auto"/>
                    <w:rPr>
                      <w:color w:val="auto"/>
                    </w:rPr>
                  </w:pPr>
                  <w:r>
                    <w:rPr>
                      <w:color w:val="auto"/>
                    </w:rPr>
                    <w:t>（4</w:t>
                  </w:r>
                  <w:r>
                    <w:rPr>
                      <w:rFonts w:ascii="宋体" w:hAnsi="宋体"/>
                      <w:color w:val="auto"/>
                    </w:rPr>
                    <w:t>）按照生态工业园区标准建设产业区，采用循环经济原则，将工业园内各企业的工业三废和有害排放物作为资源在企业间循环利用，变废为宝，化害为利。企业的清洁生产水平需达到国际先进水平，对于有助于循环经济</w:t>
                  </w:r>
                  <w:r>
                    <w:rPr>
                      <w:color w:val="auto"/>
                    </w:rPr>
                    <w:t>“</w:t>
                  </w:r>
                  <w:r>
                    <w:rPr>
                      <w:rFonts w:ascii="宋体" w:hAnsi="宋体"/>
                      <w:color w:val="auto"/>
                    </w:rPr>
                    <w:t>补链</w:t>
                  </w:r>
                  <w:r>
                    <w:rPr>
                      <w:color w:val="auto"/>
                    </w:rPr>
                    <w:t>”</w:t>
                  </w:r>
                  <w:r>
                    <w:rPr>
                      <w:rFonts w:ascii="宋体" w:hAnsi="宋体"/>
                      <w:color w:val="auto"/>
                    </w:rPr>
                    <w:t>的企业优先引进。</w:t>
                  </w:r>
                </w:p>
              </w:tc>
              <w:tc>
                <w:tcPr>
                  <w:tcW w:w="2247" w:type="dxa"/>
                  <w:tcBorders>
                    <w:top w:val="single" w:color="auto" w:sz="4" w:space="0"/>
                    <w:left w:val="nil"/>
                    <w:bottom w:val="single" w:color="auto" w:sz="4" w:space="0"/>
                    <w:right w:val="single" w:color="auto" w:sz="4" w:space="0"/>
                  </w:tcBorders>
                  <w:vAlign w:val="center"/>
                </w:tcPr>
                <w:p w14:paraId="1F2439F8">
                  <w:pPr>
                    <w:pStyle w:val="50"/>
                    <w:keepNext w:val="0"/>
                    <w:keepLines w:val="0"/>
                    <w:pageBreakBefore w:val="0"/>
                    <w:kinsoku/>
                    <w:wordWrap/>
                    <w:overflowPunct/>
                    <w:bidi w:val="0"/>
                    <w:spacing w:after="0"/>
                    <w:textAlignment w:val="auto"/>
                    <w:rPr>
                      <w:color w:val="auto"/>
                    </w:rPr>
                  </w:pPr>
                  <w:r>
                    <w:rPr>
                      <w:rFonts w:hint="eastAsia"/>
                      <w:color w:val="auto"/>
                    </w:rPr>
                    <w:t>项目为基础配套设施管廊迁改工程，是企业生产不可缺少的基础工程，不产生废物。</w:t>
                  </w:r>
                </w:p>
              </w:tc>
              <w:tc>
                <w:tcPr>
                  <w:tcW w:w="492" w:type="dxa"/>
                  <w:tcBorders>
                    <w:top w:val="single" w:color="auto" w:sz="4" w:space="0"/>
                    <w:left w:val="nil"/>
                    <w:bottom w:val="single" w:color="auto" w:sz="4" w:space="0"/>
                    <w:right w:val="single" w:color="auto" w:sz="4" w:space="0"/>
                  </w:tcBorders>
                  <w:vAlign w:val="center"/>
                </w:tcPr>
                <w:p w14:paraId="0E599C9B">
                  <w:pPr>
                    <w:pStyle w:val="50"/>
                    <w:keepNext w:val="0"/>
                    <w:keepLines w:val="0"/>
                    <w:pageBreakBefore w:val="0"/>
                    <w:kinsoku/>
                    <w:wordWrap/>
                    <w:overflowPunct/>
                    <w:bidi w:val="0"/>
                    <w:spacing w:after="0"/>
                    <w:textAlignment w:val="auto"/>
                    <w:rPr>
                      <w:color w:val="auto"/>
                    </w:rPr>
                  </w:pPr>
                  <w:r>
                    <w:rPr>
                      <w:color w:val="auto"/>
                    </w:rPr>
                    <w:t>相符</w:t>
                  </w:r>
                </w:p>
              </w:tc>
            </w:tr>
            <w:tr w14:paraId="5C83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continue"/>
                  <w:tcBorders>
                    <w:top w:val="nil"/>
                    <w:left w:val="single" w:color="auto" w:sz="4" w:space="0"/>
                    <w:bottom w:val="single" w:color="auto" w:sz="4" w:space="0"/>
                    <w:right w:val="single" w:color="auto" w:sz="4" w:space="0"/>
                  </w:tcBorders>
                  <w:vAlign w:val="center"/>
                </w:tcPr>
                <w:p w14:paraId="73A5FE50">
                  <w:pPr>
                    <w:keepNext w:val="0"/>
                    <w:keepLines w:val="0"/>
                    <w:pageBreakBefore w:val="0"/>
                    <w:widowControl/>
                    <w:kinsoku/>
                    <w:wordWrap/>
                    <w:overflowPunct/>
                    <w:bidi w:val="0"/>
                    <w:spacing w:after="0"/>
                    <w:jc w:val="left"/>
                    <w:textAlignment w:val="auto"/>
                    <w:rPr>
                      <w:rFonts w:cs="宋体"/>
                      <w:color w:val="auto"/>
                      <w:szCs w:val="21"/>
                    </w:rPr>
                  </w:pPr>
                </w:p>
              </w:tc>
              <w:tc>
                <w:tcPr>
                  <w:tcW w:w="846" w:type="dxa"/>
                  <w:vMerge w:val="continue"/>
                  <w:tcBorders>
                    <w:top w:val="nil"/>
                    <w:left w:val="nil"/>
                    <w:bottom w:val="single" w:color="auto" w:sz="4" w:space="0"/>
                    <w:right w:val="single" w:color="auto" w:sz="4" w:space="0"/>
                  </w:tcBorders>
                  <w:vAlign w:val="center"/>
                </w:tcPr>
                <w:p w14:paraId="2E20677E">
                  <w:pPr>
                    <w:keepNext w:val="0"/>
                    <w:keepLines w:val="0"/>
                    <w:pageBreakBefore w:val="0"/>
                    <w:widowControl/>
                    <w:kinsoku/>
                    <w:wordWrap/>
                    <w:overflowPunct/>
                    <w:bidi w:val="0"/>
                    <w:spacing w:after="0"/>
                    <w:jc w:val="left"/>
                    <w:textAlignment w:val="auto"/>
                    <w:rPr>
                      <w:rFonts w:cs="宋体"/>
                      <w:color w:val="auto"/>
                      <w:szCs w:val="21"/>
                    </w:rPr>
                  </w:pPr>
                </w:p>
              </w:tc>
              <w:tc>
                <w:tcPr>
                  <w:tcW w:w="3174" w:type="dxa"/>
                  <w:tcBorders>
                    <w:top w:val="single" w:color="auto" w:sz="4" w:space="0"/>
                    <w:left w:val="nil"/>
                    <w:bottom w:val="single" w:color="auto" w:sz="4" w:space="0"/>
                    <w:right w:val="single" w:color="auto" w:sz="4" w:space="0"/>
                  </w:tcBorders>
                  <w:vAlign w:val="center"/>
                </w:tcPr>
                <w:p w14:paraId="70DE5211">
                  <w:pPr>
                    <w:pStyle w:val="50"/>
                    <w:keepNext w:val="0"/>
                    <w:keepLines w:val="0"/>
                    <w:pageBreakBefore w:val="0"/>
                    <w:kinsoku/>
                    <w:wordWrap/>
                    <w:overflowPunct/>
                    <w:bidi w:val="0"/>
                    <w:spacing w:after="0"/>
                    <w:textAlignment w:val="auto"/>
                    <w:rPr>
                      <w:color w:val="auto"/>
                    </w:rPr>
                  </w:pPr>
                  <w:r>
                    <w:rPr>
                      <w:color w:val="auto"/>
                    </w:rPr>
                    <w:t>（5</w:t>
                  </w:r>
                  <w:r>
                    <w:rPr>
                      <w:rFonts w:ascii="宋体" w:hAnsi="宋体"/>
                      <w:color w:val="auto"/>
                    </w:rPr>
                    <w:t>）所有入园企业都必须依法进行环境影响评价。该规划中所包含的近期（一般为五年）建设项目，对轻污染项目（不涉及热力设施，且挥发性有机物年排放量小于</w:t>
                  </w:r>
                  <w:r>
                    <w:rPr>
                      <w:color w:val="auto"/>
                    </w:rPr>
                    <w:t>0.1</w:t>
                  </w:r>
                  <w:r>
                    <w:rPr>
                      <w:rFonts w:ascii="宋体" w:hAnsi="宋体"/>
                      <w:color w:val="auto"/>
                    </w:rPr>
                    <w:t>吨、废水纳入管网），经请示环境主管部门的同意后，可以对大气环境、水环境、生态环境现状和评价专题内容可以适当简化。</w:t>
                  </w:r>
                </w:p>
              </w:tc>
              <w:tc>
                <w:tcPr>
                  <w:tcW w:w="2247" w:type="dxa"/>
                  <w:tcBorders>
                    <w:top w:val="single" w:color="auto" w:sz="4" w:space="0"/>
                    <w:left w:val="nil"/>
                    <w:bottom w:val="single" w:color="auto" w:sz="4" w:space="0"/>
                    <w:right w:val="single" w:color="auto" w:sz="4" w:space="0"/>
                  </w:tcBorders>
                  <w:vAlign w:val="center"/>
                </w:tcPr>
                <w:p w14:paraId="2E401DC5">
                  <w:pPr>
                    <w:pStyle w:val="50"/>
                    <w:keepNext w:val="0"/>
                    <w:keepLines w:val="0"/>
                    <w:pageBreakBefore w:val="0"/>
                    <w:kinsoku/>
                    <w:wordWrap/>
                    <w:overflowPunct/>
                    <w:bidi w:val="0"/>
                    <w:spacing w:after="0"/>
                    <w:textAlignment w:val="auto"/>
                    <w:rPr>
                      <w:color w:val="auto"/>
                    </w:rPr>
                  </w:pPr>
                  <w:r>
                    <w:rPr>
                      <w:color w:val="auto"/>
                    </w:rPr>
                    <w:t>本项目依法进行环境影响评价工作。</w:t>
                  </w:r>
                </w:p>
              </w:tc>
              <w:tc>
                <w:tcPr>
                  <w:tcW w:w="492" w:type="dxa"/>
                  <w:tcBorders>
                    <w:top w:val="single" w:color="auto" w:sz="4" w:space="0"/>
                    <w:left w:val="nil"/>
                    <w:bottom w:val="single" w:color="auto" w:sz="4" w:space="0"/>
                    <w:right w:val="single" w:color="auto" w:sz="4" w:space="0"/>
                  </w:tcBorders>
                  <w:vAlign w:val="center"/>
                </w:tcPr>
                <w:p w14:paraId="604A9AC8">
                  <w:pPr>
                    <w:pStyle w:val="50"/>
                    <w:keepNext w:val="0"/>
                    <w:keepLines w:val="0"/>
                    <w:pageBreakBefore w:val="0"/>
                    <w:kinsoku/>
                    <w:wordWrap/>
                    <w:overflowPunct/>
                    <w:bidi w:val="0"/>
                    <w:spacing w:after="0"/>
                    <w:textAlignment w:val="auto"/>
                    <w:rPr>
                      <w:color w:val="auto"/>
                    </w:rPr>
                  </w:pPr>
                  <w:r>
                    <w:rPr>
                      <w:color w:val="auto"/>
                    </w:rPr>
                    <w:t>相符</w:t>
                  </w:r>
                </w:p>
              </w:tc>
            </w:tr>
            <w:tr w14:paraId="1633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restart"/>
                  <w:tcBorders>
                    <w:top w:val="nil"/>
                    <w:left w:val="single" w:color="auto" w:sz="4" w:space="0"/>
                    <w:bottom w:val="single" w:color="auto" w:sz="4" w:space="0"/>
                    <w:right w:val="single" w:color="auto" w:sz="4" w:space="0"/>
                  </w:tcBorders>
                  <w:vAlign w:val="center"/>
                </w:tcPr>
                <w:p w14:paraId="108636CC">
                  <w:pPr>
                    <w:pStyle w:val="50"/>
                    <w:keepNext w:val="0"/>
                    <w:keepLines w:val="0"/>
                    <w:pageBreakBefore w:val="0"/>
                    <w:kinsoku/>
                    <w:wordWrap/>
                    <w:overflowPunct/>
                    <w:bidi w:val="0"/>
                    <w:spacing w:after="0"/>
                    <w:textAlignment w:val="auto"/>
                    <w:rPr>
                      <w:color w:val="auto"/>
                    </w:rPr>
                  </w:pPr>
                  <w:r>
                    <w:rPr>
                      <w:color w:val="auto"/>
                    </w:rPr>
                    <w:t>入园区内项目清单</w:t>
                  </w:r>
                </w:p>
              </w:tc>
              <w:tc>
                <w:tcPr>
                  <w:tcW w:w="846" w:type="dxa"/>
                  <w:tcBorders>
                    <w:top w:val="single" w:color="auto" w:sz="4" w:space="0"/>
                    <w:left w:val="nil"/>
                    <w:bottom w:val="single" w:color="auto" w:sz="4" w:space="0"/>
                    <w:right w:val="single" w:color="auto" w:sz="4" w:space="0"/>
                  </w:tcBorders>
                  <w:vAlign w:val="center"/>
                </w:tcPr>
                <w:p w14:paraId="294203C9">
                  <w:pPr>
                    <w:pStyle w:val="50"/>
                    <w:keepNext w:val="0"/>
                    <w:keepLines w:val="0"/>
                    <w:pageBreakBefore w:val="0"/>
                    <w:kinsoku/>
                    <w:wordWrap/>
                    <w:overflowPunct/>
                    <w:bidi w:val="0"/>
                    <w:spacing w:after="0"/>
                    <w:textAlignment w:val="auto"/>
                    <w:rPr>
                      <w:color w:val="auto"/>
                    </w:rPr>
                  </w:pPr>
                  <w:r>
                    <w:rPr>
                      <w:color w:val="auto"/>
                    </w:rPr>
                    <w:t>正面清单</w:t>
                  </w:r>
                </w:p>
              </w:tc>
              <w:tc>
                <w:tcPr>
                  <w:tcW w:w="3174" w:type="dxa"/>
                  <w:tcBorders>
                    <w:top w:val="single" w:color="auto" w:sz="4" w:space="0"/>
                    <w:left w:val="nil"/>
                    <w:bottom w:val="single" w:color="auto" w:sz="4" w:space="0"/>
                    <w:right w:val="single" w:color="auto" w:sz="4" w:space="0"/>
                  </w:tcBorders>
                  <w:vAlign w:val="center"/>
                </w:tcPr>
                <w:p w14:paraId="2857A849">
                  <w:pPr>
                    <w:pStyle w:val="50"/>
                    <w:keepNext w:val="0"/>
                    <w:keepLines w:val="0"/>
                    <w:pageBreakBefore w:val="0"/>
                    <w:kinsoku/>
                    <w:wordWrap/>
                    <w:overflowPunct/>
                    <w:bidi w:val="0"/>
                    <w:spacing w:after="0"/>
                    <w:textAlignment w:val="auto"/>
                    <w:rPr>
                      <w:color w:val="auto"/>
                    </w:rPr>
                  </w:pPr>
                  <w:r>
                    <w:rPr>
                      <w:color w:val="auto"/>
                    </w:rPr>
                    <w:t>（1</w:t>
                  </w:r>
                  <w:r>
                    <w:rPr>
                      <w:rFonts w:ascii="宋体" w:hAnsi="宋体"/>
                      <w:color w:val="auto"/>
                    </w:rPr>
                    <w:t>）具有先进的环境保护技术水平；（</w:t>
                  </w:r>
                  <w:r>
                    <w:rPr>
                      <w:color w:val="auto"/>
                    </w:rPr>
                    <w:t>2</w:t>
                  </w:r>
                  <w:r>
                    <w:rPr>
                      <w:rFonts w:ascii="宋体" w:hAnsi="宋体"/>
                      <w:color w:val="auto"/>
                    </w:rPr>
                    <w:t>）采用先进的环境保护技术；（</w:t>
                  </w:r>
                  <w:r>
                    <w:rPr>
                      <w:color w:val="auto"/>
                    </w:rPr>
                    <w:t>3</w:t>
                  </w:r>
                  <w:r>
                    <w:rPr>
                      <w:rFonts w:ascii="宋体" w:hAnsi="宋体"/>
                      <w:color w:val="auto"/>
                    </w:rPr>
                    <w:t>）具备先进的环境管理水平；（</w:t>
                  </w:r>
                  <w:r>
                    <w:rPr>
                      <w:color w:val="auto"/>
                    </w:rPr>
                    <w:t>4</w:t>
                  </w:r>
                  <w:r>
                    <w:rPr>
                      <w:rFonts w:ascii="宋体" w:hAnsi="宋体"/>
                      <w:color w:val="auto"/>
                    </w:rPr>
                    <w:t>）符合国际先进清洁生产标准；（</w:t>
                  </w:r>
                  <w:r>
                    <w:rPr>
                      <w:color w:val="auto"/>
                    </w:rPr>
                    <w:t>5</w:t>
                  </w:r>
                  <w:r>
                    <w:rPr>
                      <w:rFonts w:ascii="宋体" w:hAnsi="宋体"/>
                      <w:color w:val="auto"/>
                    </w:rPr>
                    <w:t>）符合当地生态、环境保护的要求，达到环境污染物总量控制的目标；（</w:t>
                  </w:r>
                  <w:r>
                    <w:rPr>
                      <w:color w:val="auto"/>
                    </w:rPr>
                    <w:t>6</w:t>
                  </w:r>
                  <w:r>
                    <w:rPr>
                      <w:rFonts w:ascii="宋体" w:hAnsi="宋体"/>
                      <w:color w:val="auto"/>
                    </w:rPr>
                    <w:t>）有助于园区循环经济</w:t>
                  </w:r>
                  <w:r>
                    <w:rPr>
                      <w:color w:val="auto"/>
                    </w:rPr>
                    <w:t>“</w:t>
                  </w:r>
                  <w:r>
                    <w:rPr>
                      <w:rFonts w:ascii="宋体" w:hAnsi="宋体"/>
                      <w:color w:val="auto"/>
                    </w:rPr>
                    <w:t>补链</w:t>
                  </w:r>
                  <w:r>
                    <w:rPr>
                      <w:color w:val="auto"/>
                    </w:rPr>
                    <w:t>”</w:t>
                  </w:r>
                  <w:r>
                    <w:rPr>
                      <w:rFonts w:ascii="宋体" w:hAnsi="宋体"/>
                      <w:color w:val="auto"/>
                    </w:rPr>
                    <w:t>的企业优先引进；（</w:t>
                  </w:r>
                  <w:r>
                    <w:rPr>
                      <w:color w:val="auto"/>
                    </w:rPr>
                    <w:t>7</w:t>
                  </w:r>
                  <w:r>
                    <w:rPr>
                      <w:rFonts w:ascii="宋体" w:hAnsi="宋体"/>
                      <w:color w:val="auto"/>
                    </w:rPr>
                    <w:t>）符合本园区产业发展规划的企业。</w:t>
                  </w:r>
                </w:p>
              </w:tc>
              <w:tc>
                <w:tcPr>
                  <w:tcW w:w="2247" w:type="dxa"/>
                  <w:tcBorders>
                    <w:top w:val="single" w:color="auto" w:sz="4" w:space="0"/>
                    <w:left w:val="nil"/>
                    <w:bottom w:val="single" w:color="auto" w:sz="4" w:space="0"/>
                    <w:right w:val="single" w:color="auto" w:sz="4" w:space="0"/>
                  </w:tcBorders>
                  <w:vAlign w:val="center"/>
                </w:tcPr>
                <w:p w14:paraId="65C11808">
                  <w:pPr>
                    <w:pStyle w:val="50"/>
                    <w:keepNext w:val="0"/>
                    <w:keepLines w:val="0"/>
                    <w:pageBreakBefore w:val="0"/>
                    <w:kinsoku/>
                    <w:wordWrap/>
                    <w:overflowPunct/>
                    <w:bidi w:val="0"/>
                    <w:spacing w:after="0"/>
                    <w:textAlignment w:val="auto"/>
                    <w:rPr>
                      <w:color w:val="auto"/>
                    </w:rPr>
                  </w:pPr>
                  <w:r>
                    <w:rPr>
                      <w:rFonts w:hint="eastAsia"/>
                      <w:color w:val="auto"/>
                    </w:rPr>
                    <w:t>项目为基础配套设施管廊迁改工程，不产生废物，是企业生产不可缺少的基础工程，助力企业平稳发展。</w:t>
                  </w:r>
                </w:p>
              </w:tc>
              <w:tc>
                <w:tcPr>
                  <w:tcW w:w="492" w:type="dxa"/>
                  <w:tcBorders>
                    <w:top w:val="single" w:color="auto" w:sz="4" w:space="0"/>
                    <w:left w:val="nil"/>
                    <w:bottom w:val="single" w:color="auto" w:sz="4" w:space="0"/>
                    <w:right w:val="single" w:color="auto" w:sz="4" w:space="0"/>
                  </w:tcBorders>
                  <w:vAlign w:val="center"/>
                </w:tcPr>
                <w:p w14:paraId="0E64FA5F">
                  <w:pPr>
                    <w:pStyle w:val="50"/>
                    <w:keepNext w:val="0"/>
                    <w:keepLines w:val="0"/>
                    <w:pageBreakBefore w:val="0"/>
                    <w:kinsoku/>
                    <w:wordWrap/>
                    <w:overflowPunct/>
                    <w:bidi w:val="0"/>
                    <w:spacing w:after="0"/>
                    <w:textAlignment w:val="auto"/>
                    <w:rPr>
                      <w:color w:val="auto"/>
                    </w:rPr>
                  </w:pPr>
                  <w:r>
                    <w:rPr>
                      <w:color w:val="auto"/>
                    </w:rPr>
                    <w:t>相符</w:t>
                  </w:r>
                </w:p>
              </w:tc>
            </w:tr>
            <w:tr w14:paraId="16F7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8" w:type="dxa"/>
                  <w:vMerge w:val="continue"/>
                  <w:tcBorders>
                    <w:top w:val="nil"/>
                    <w:left w:val="single" w:color="auto" w:sz="4" w:space="0"/>
                    <w:bottom w:val="single" w:color="auto" w:sz="4" w:space="0"/>
                    <w:right w:val="single" w:color="auto" w:sz="4" w:space="0"/>
                  </w:tcBorders>
                  <w:vAlign w:val="center"/>
                </w:tcPr>
                <w:p w14:paraId="4B2DE5E9">
                  <w:pPr>
                    <w:keepNext w:val="0"/>
                    <w:keepLines w:val="0"/>
                    <w:pageBreakBefore w:val="0"/>
                    <w:widowControl/>
                    <w:kinsoku/>
                    <w:wordWrap/>
                    <w:overflowPunct/>
                    <w:bidi w:val="0"/>
                    <w:spacing w:after="0"/>
                    <w:jc w:val="left"/>
                    <w:textAlignment w:val="auto"/>
                    <w:rPr>
                      <w:rFonts w:cs="宋体"/>
                      <w:color w:val="auto"/>
                      <w:szCs w:val="21"/>
                    </w:rPr>
                  </w:pPr>
                </w:p>
              </w:tc>
              <w:tc>
                <w:tcPr>
                  <w:tcW w:w="846" w:type="dxa"/>
                  <w:tcBorders>
                    <w:top w:val="single" w:color="auto" w:sz="4" w:space="0"/>
                    <w:left w:val="nil"/>
                    <w:bottom w:val="single" w:color="auto" w:sz="4" w:space="0"/>
                    <w:right w:val="single" w:color="auto" w:sz="4" w:space="0"/>
                  </w:tcBorders>
                  <w:vAlign w:val="center"/>
                </w:tcPr>
                <w:p w14:paraId="67113628">
                  <w:pPr>
                    <w:pStyle w:val="50"/>
                    <w:keepNext w:val="0"/>
                    <w:keepLines w:val="0"/>
                    <w:pageBreakBefore w:val="0"/>
                    <w:kinsoku/>
                    <w:wordWrap/>
                    <w:overflowPunct/>
                    <w:bidi w:val="0"/>
                    <w:spacing w:after="0"/>
                    <w:textAlignment w:val="auto"/>
                    <w:rPr>
                      <w:color w:val="auto"/>
                    </w:rPr>
                  </w:pPr>
                  <w:r>
                    <w:rPr>
                      <w:color w:val="auto"/>
                    </w:rPr>
                    <w:t>负面清单</w:t>
                  </w:r>
                </w:p>
              </w:tc>
              <w:tc>
                <w:tcPr>
                  <w:tcW w:w="3174" w:type="dxa"/>
                  <w:tcBorders>
                    <w:top w:val="single" w:color="auto" w:sz="4" w:space="0"/>
                    <w:left w:val="nil"/>
                    <w:bottom w:val="single" w:color="auto" w:sz="4" w:space="0"/>
                    <w:right w:val="single" w:color="auto" w:sz="4" w:space="0"/>
                  </w:tcBorders>
                  <w:vAlign w:val="center"/>
                </w:tcPr>
                <w:p w14:paraId="09BEF909">
                  <w:pPr>
                    <w:pStyle w:val="50"/>
                    <w:keepNext w:val="0"/>
                    <w:keepLines w:val="0"/>
                    <w:pageBreakBefore w:val="0"/>
                    <w:kinsoku/>
                    <w:wordWrap/>
                    <w:overflowPunct/>
                    <w:bidi w:val="0"/>
                    <w:spacing w:after="0"/>
                    <w:textAlignment w:val="auto"/>
                    <w:rPr>
                      <w:color w:val="auto"/>
                    </w:rPr>
                  </w:pPr>
                  <w:r>
                    <w:rPr>
                      <w:color w:val="auto"/>
                    </w:rPr>
                    <w:t>（1</w:t>
                  </w:r>
                  <w:r>
                    <w:rPr>
                      <w:rFonts w:ascii="宋体" w:hAnsi="宋体"/>
                      <w:color w:val="auto"/>
                    </w:rPr>
                    <w:t>）《市场准入负面清单（</w:t>
                  </w:r>
                  <w:r>
                    <w:rPr>
                      <w:color w:val="auto"/>
                    </w:rPr>
                    <w:t>2019</w:t>
                  </w:r>
                  <w:r>
                    <w:rPr>
                      <w:rFonts w:ascii="宋体" w:hAnsi="宋体"/>
                      <w:color w:val="auto"/>
                    </w:rPr>
                    <w:t>年版）》；（</w:t>
                  </w:r>
                  <w:r>
                    <w:rPr>
                      <w:color w:val="auto"/>
                    </w:rPr>
                    <w:t>2</w:t>
                  </w:r>
                  <w:r>
                    <w:rPr>
                      <w:rFonts w:ascii="宋体" w:hAnsi="宋体"/>
                      <w:color w:val="auto"/>
                    </w:rPr>
                    <w:t>）不符合园区的产业定位和产业发展规划的项目；（</w:t>
                  </w:r>
                  <w:r>
                    <w:rPr>
                      <w:color w:val="auto"/>
                    </w:rPr>
                    <w:t>3</w:t>
                  </w:r>
                  <w:r>
                    <w:rPr>
                      <w:rFonts w:ascii="宋体" w:hAnsi="宋体"/>
                      <w:color w:val="auto"/>
                    </w:rPr>
                    <w:t>）《产业结构调整指导目录（</w:t>
                  </w:r>
                  <w:r>
                    <w:rPr>
                      <w:color w:val="auto"/>
                    </w:rPr>
                    <w:t>2019</w:t>
                  </w:r>
                  <w:r>
                    <w:rPr>
                      <w:rFonts w:ascii="宋体" w:hAnsi="宋体"/>
                      <w:color w:val="auto"/>
                    </w:rPr>
                    <w:t>年本）》限制类、淘汰类项目；（</w:t>
                  </w:r>
                  <w:r>
                    <w:rPr>
                      <w:color w:val="auto"/>
                    </w:rPr>
                    <w:t>4</w:t>
                  </w:r>
                  <w:r>
                    <w:rPr>
                      <w:rFonts w:ascii="宋体" w:hAnsi="宋体"/>
                      <w:color w:val="auto"/>
                    </w:rPr>
                    <w:t>）不符合地方产业指导名录规定的项目；（</w:t>
                  </w:r>
                  <w:r>
                    <w:rPr>
                      <w:color w:val="auto"/>
                    </w:rPr>
                    <w:t>5</w:t>
                  </w:r>
                  <w:r>
                    <w:rPr>
                      <w:rFonts w:ascii="宋体" w:hAnsi="宋体"/>
                      <w:color w:val="auto"/>
                    </w:rPr>
                    <w:t>）工艺技术落后，不符合广西、钦州产业发展方向，不符合行业准入条件和有关规定，不利于地方产业结构优化升级，需要督促改造和禁止新建的装备及产品。（</w:t>
                  </w:r>
                  <w:r>
                    <w:rPr>
                      <w:color w:val="auto"/>
                    </w:rPr>
                    <w:t>6</w:t>
                  </w:r>
                  <w:r>
                    <w:rPr>
                      <w:rFonts w:ascii="宋体" w:hAnsi="宋体"/>
                      <w:color w:val="auto"/>
                    </w:rPr>
                    <w:t>）不符合国家、地方有关法律法规规定，严重浪费资源、污染环境、不具备安全生产条件，需要淘汰的落后工艺技术、装备及产品。</w:t>
                  </w:r>
                </w:p>
              </w:tc>
              <w:tc>
                <w:tcPr>
                  <w:tcW w:w="2247" w:type="dxa"/>
                  <w:tcBorders>
                    <w:top w:val="single" w:color="auto" w:sz="4" w:space="0"/>
                    <w:left w:val="nil"/>
                    <w:bottom w:val="single" w:color="auto" w:sz="4" w:space="0"/>
                    <w:right w:val="single" w:color="auto" w:sz="4" w:space="0"/>
                  </w:tcBorders>
                  <w:vAlign w:val="center"/>
                </w:tcPr>
                <w:p w14:paraId="44B1754E">
                  <w:pPr>
                    <w:pStyle w:val="50"/>
                    <w:keepNext w:val="0"/>
                    <w:keepLines w:val="0"/>
                    <w:pageBreakBefore w:val="0"/>
                    <w:kinsoku/>
                    <w:wordWrap/>
                    <w:overflowPunct/>
                    <w:bidi w:val="0"/>
                    <w:spacing w:after="0"/>
                    <w:textAlignment w:val="auto"/>
                    <w:rPr>
                      <w:color w:val="auto"/>
                    </w:rPr>
                  </w:pPr>
                  <w:r>
                    <w:rPr>
                      <w:color w:val="auto"/>
                    </w:rPr>
                    <w:t>本项目不在该负面清单内容里面。</w:t>
                  </w:r>
                </w:p>
              </w:tc>
              <w:tc>
                <w:tcPr>
                  <w:tcW w:w="492" w:type="dxa"/>
                  <w:tcBorders>
                    <w:top w:val="single" w:color="auto" w:sz="4" w:space="0"/>
                    <w:left w:val="nil"/>
                    <w:bottom w:val="single" w:color="auto" w:sz="4" w:space="0"/>
                    <w:right w:val="single" w:color="auto" w:sz="4" w:space="0"/>
                  </w:tcBorders>
                  <w:vAlign w:val="center"/>
                </w:tcPr>
                <w:p w14:paraId="332CC82D">
                  <w:pPr>
                    <w:pStyle w:val="50"/>
                    <w:keepNext w:val="0"/>
                    <w:keepLines w:val="0"/>
                    <w:pageBreakBefore w:val="0"/>
                    <w:kinsoku/>
                    <w:wordWrap/>
                    <w:overflowPunct/>
                    <w:bidi w:val="0"/>
                    <w:spacing w:after="0"/>
                    <w:textAlignment w:val="auto"/>
                    <w:rPr>
                      <w:color w:val="auto"/>
                    </w:rPr>
                  </w:pPr>
                  <w:r>
                    <w:rPr>
                      <w:color w:val="auto"/>
                    </w:rPr>
                    <w:t>相符</w:t>
                  </w:r>
                </w:p>
              </w:tc>
            </w:tr>
          </w:tbl>
          <w:p w14:paraId="5E8D0A2D">
            <w:pPr>
              <w:pStyle w:val="2"/>
              <w:keepNext w:val="0"/>
              <w:keepLines w:val="0"/>
              <w:pageBreakBefore w:val="0"/>
              <w:kinsoku/>
              <w:wordWrap/>
              <w:overflowPunct/>
              <w:bidi w:val="0"/>
              <w:spacing w:after="0"/>
              <w:textAlignment w:val="auto"/>
              <w:rPr>
                <w:color w:val="auto"/>
              </w:rPr>
            </w:pPr>
          </w:p>
        </w:tc>
      </w:tr>
    </w:tbl>
    <w:p w14:paraId="261908E3">
      <w:pPr>
        <w:autoSpaceDE w:val="0"/>
        <w:autoSpaceDN w:val="0"/>
        <w:adjustRightInd w:val="0"/>
        <w:snapToGrid w:val="0"/>
        <w:jc w:val="center"/>
        <w:rPr>
          <w:color w:val="auto"/>
          <w:kern w:val="0"/>
          <w:sz w:val="24"/>
          <w:szCs w:val="21"/>
        </w:rPr>
        <w:sectPr>
          <w:footerReference r:id="rId8" w:type="default"/>
          <w:pgSz w:w="11906" w:h="16838"/>
          <w:pgMar w:top="1418" w:right="1418" w:bottom="1418" w:left="1418" w:header="851" w:footer="1077" w:gutter="0"/>
          <w:pgNumType w:start="1"/>
          <w:cols w:space="720" w:num="1"/>
          <w:docGrid w:linePitch="312" w:charSpace="0"/>
        </w:sectPr>
      </w:pPr>
    </w:p>
    <w:tbl>
      <w:tblPr>
        <w:tblStyle w:val="22"/>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423"/>
      </w:tblGrid>
      <w:tr w14:paraId="510A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9" w:hRule="atLeast"/>
          <w:jc w:val="center"/>
        </w:trPr>
        <w:tc>
          <w:tcPr>
            <w:tcW w:w="1668" w:type="dxa"/>
            <w:vAlign w:val="center"/>
          </w:tcPr>
          <w:p w14:paraId="45B936E8">
            <w:pPr>
              <w:autoSpaceDE w:val="0"/>
              <w:autoSpaceDN w:val="0"/>
              <w:adjustRightInd w:val="0"/>
              <w:snapToGrid w:val="0"/>
              <w:jc w:val="center"/>
              <w:rPr>
                <w:color w:val="auto"/>
                <w:kern w:val="0"/>
                <w:szCs w:val="21"/>
              </w:rPr>
            </w:pPr>
            <w:r>
              <w:rPr>
                <w:color w:val="auto"/>
                <w:kern w:val="0"/>
                <w:sz w:val="24"/>
                <w:szCs w:val="21"/>
              </w:rPr>
              <w:t>其他符合性分析</w:t>
            </w:r>
          </w:p>
        </w:tc>
        <w:tc>
          <w:tcPr>
            <w:tcW w:w="7423" w:type="dxa"/>
            <w:vAlign w:val="center"/>
          </w:tcPr>
          <w:p w14:paraId="238CC193">
            <w:pPr>
              <w:keepNext w:val="0"/>
              <w:keepLines w:val="0"/>
              <w:pageBreakBefore w:val="0"/>
              <w:kinsoku/>
              <w:wordWrap/>
              <w:overflowPunct/>
              <w:autoSpaceDE w:val="0"/>
              <w:autoSpaceDN w:val="0"/>
              <w:bidi w:val="0"/>
              <w:adjustRightInd w:val="0"/>
              <w:snapToGrid w:val="0"/>
              <w:spacing w:after="0" w:line="360" w:lineRule="auto"/>
              <w:ind w:firstLine="562" w:firstLineChars="200"/>
              <w:textAlignment w:val="auto"/>
              <w:rPr>
                <w:b/>
                <w:color w:val="auto"/>
                <w:kern w:val="0"/>
                <w:sz w:val="28"/>
                <w:szCs w:val="28"/>
              </w:rPr>
            </w:pPr>
            <w:r>
              <w:rPr>
                <w:b/>
                <w:color w:val="auto"/>
                <w:kern w:val="0"/>
                <w:sz w:val="28"/>
                <w:szCs w:val="28"/>
              </w:rPr>
              <w:t>1.3产业政策符合性分析</w:t>
            </w:r>
          </w:p>
          <w:p w14:paraId="654F5012">
            <w:pPr>
              <w:pStyle w:val="51"/>
              <w:keepNext w:val="0"/>
              <w:keepLines w:val="0"/>
              <w:pageBreakBefore w:val="0"/>
              <w:kinsoku/>
              <w:wordWrap/>
              <w:overflowPunct/>
              <w:bidi w:val="0"/>
              <w:spacing w:after="0"/>
              <w:ind w:firstLine="480"/>
              <w:textAlignment w:val="auto"/>
              <w:rPr>
                <w:color w:val="auto"/>
                <w:lang w:eastAsia="zh-CN"/>
              </w:rPr>
            </w:pPr>
            <w:r>
              <w:rPr>
                <w:rFonts w:hint="eastAsia"/>
                <w:color w:val="auto"/>
                <w:kern w:val="2"/>
                <w:szCs w:val="24"/>
                <w:lang w:eastAsia="zh-CN" w:bidi="ar-SA"/>
              </w:rPr>
              <w:t>根据中华人民共和国国家发展和改革委员会2023年12月1日第6次委务会议审议通过的第7号令《产业结构调整指导目录（2024年本）》（2024年2月1日实施），本项目的建设性质和规模均不在该指导目录的“鼓励类”、“限制类”和“淘汰类”之列，为“允许类”，本项目建设符合当前国家产业政策。</w:t>
            </w:r>
          </w:p>
          <w:p w14:paraId="42056158">
            <w:pPr>
              <w:keepNext w:val="0"/>
              <w:keepLines w:val="0"/>
              <w:pageBreakBefore w:val="0"/>
              <w:kinsoku/>
              <w:wordWrap/>
              <w:overflowPunct/>
              <w:autoSpaceDE w:val="0"/>
              <w:autoSpaceDN w:val="0"/>
              <w:bidi w:val="0"/>
              <w:adjustRightInd w:val="0"/>
              <w:snapToGrid w:val="0"/>
              <w:spacing w:after="0" w:line="360" w:lineRule="auto"/>
              <w:ind w:firstLine="562" w:firstLineChars="200"/>
              <w:textAlignment w:val="auto"/>
              <w:rPr>
                <w:b/>
                <w:color w:val="auto"/>
                <w:kern w:val="0"/>
                <w:sz w:val="28"/>
                <w:szCs w:val="28"/>
              </w:rPr>
            </w:pPr>
            <w:r>
              <w:rPr>
                <w:b/>
                <w:color w:val="auto"/>
                <w:kern w:val="0"/>
                <w:sz w:val="28"/>
                <w:szCs w:val="28"/>
              </w:rPr>
              <w:t>1.</w:t>
            </w:r>
            <w:r>
              <w:rPr>
                <w:rFonts w:hint="eastAsia"/>
                <w:b/>
                <w:color w:val="auto"/>
                <w:kern w:val="0"/>
                <w:sz w:val="28"/>
                <w:szCs w:val="28"/>
              </w:rPr>
              <w:t>4</w:t>
            </w:r>
            <w:r>
              <w:rPr>
                <w:b/>
                <w:color w:val="auto"/>
                <w:kern w:val="0"/>
                <w:sz w:val="28"/>
                <w:szCs w:val="28"/>
              </w:rPr>
              <w:t>选址合理性分析</w:t>
            </w:r>
          </w:p>
          <w:p w14:paraId="5DFD72BC">
            <w:pPr>
              <w:pStyle w:val="2"/>
              <w:keepNext w:val="0"/>
              <w:keepLines w:val="0"/>
              <w:pageBreakBefore w:val="0"/>
              <w:kinsoku/>
              <w:wordWrap/>
              <w:overflowPunct/>
              <w:bidi w:val="0"/>
              <w:spacing w:after="0"/>
              <w:textAlignment w:val="auto"/>
              <w:rPr>
                <w:rFonts w:ascii="Times New Roman" w:hAnsi="Times New Roman"/>
                <w:color w:val="auto"/>
                <w:spacing w:val="0"/>
                <w:kern w:val="2"/>
                <w:sz w:val="24"/>
                <w:szCs w:val="24"/>
              </w:rPr>
            </w:pPr>
            <w:r>
              <w:rPr>
                <w:rFonts w:hint="eastAsia" w:ascii="Times New Roman" w:hAnsi="Times New Roman"/>
                <w:color w:val="auto"/>
                <w:spacing w:val="0"/>
                <w:kern w:val="2"/>
                <w:sz w:val="24"/>
                <w:szCs w:val="24"/>
              </w:rPr>
              <w:t>项目选址位于广西钦州市钦州港区广西钦州泰兴石油化工有限公司西面空地，属于钦州石化园区工业用地，项目建设用地性质合理。评价范围内无风景名胜区、自然保护区、饮用水源地保护区、集中式饮用取水口等敏感保护目标，也无珍稀动、植物物种，不属于重要生态功能区范围和重要生物多样性保护区。综上，本项目选址合理。</w:t>
            </w:r>
          </w:p>
          <w:p w14:paraId="7987AD62">
            <w:pPr>
              <w:keepNext w:val="0"/>
              <w:keepLines w:val="0"/>
              <w:pageBreakBefore w:val="0"/>
              <w:kinsoku/>
              <w:wordWrap/>
              <w:overflowPunct/>
              <w:autoSpaceDE w:val="0"/>
              <w:autoSpaceDN w:val="0"/>
              <w:bidi w:val="0"/>
              <w:adjustRightInd w:val="0"/>
              <w:snapToGrid w:val="0"/>
              <w:spacing w:after="0" w:line="360" w:lineRule="auto"/>
              <w:ind w:firstLine="562" w:firstLineChars="200"/>
              <w:textAlignment w:val="auto"/>
              <w:rPr>
                <w:b/>
                <w:color w:val="auto"/>
                <w:kern w:val="0"/>
                <w:sz w:val="28"/>
                <w:szCs w:val="28"/>
              </w:rPr>
            </w:pPr>
            <w:r>
              <w:rPr>
                <w:b/>
                <w:color w:val="auto"/>
                <w:kern w:val="0"/>
                <w:sz w:val="28"/>
                <w:szCs w:val="28"/>
              </w:rPr>
              <w:t>1.</w:t>
            </w:r>
            <w:r>
              <w:rPr>
                <w:rFonts w:hint="eastAsia"/>
                <w:b/>
                <w:color w:val="auto"/>
                <w:kern w:val="0"/>
                <w:sz w:val="28"/>
                <w:szCs w:val="28"/>
              </w:rPr>
              <w:t>5</w:t>
            </w:r>
            <w:r>
              <w:rPr>
                <w:b/>
                <w:color w:val="auto"/>
                <w:kern w:val="0"/>
                <w:sz w:val="28"/>
                <w:szCs w:val="28"/>
              </w:rPr>
              <w:t>“三线一单”符合性分析</w:t>
            </w:r>
          </w:p>
          <w:p w14:paraId="024C4872">
            <w:pPr>
              <w:keepNext w:val="0"/>
              <w:keepLines w:val="0"/>
              <w:pageBreakBefore w:val="0"/>
              <w:kinsoku/>
              <w:wordWrap/>
              <w:overflowPunct/>
              <w:autoSpaceDE w:val="0"/>
              <w:autoSpaceDN w:val="0"/>
              <w:bidi w:val="0"/>
              <w:adjustRightInd w:val="0"/>
              <w:snapToGrid w:val="0"/>
              <w:spacing w:after="0" w:line="360" w:lineRule="auto"/>
              <w:ind w:firstLine="480" w:firstLineChars="200"/>
              <w:textAlignment w:val="auto"/>
              <w:rPr>
                <w:color w:val="auto"/>
                <w:kern w:val="0"/>
                <w:sz w:val="24"/>
              </w:rPr>
            </w:pPr>
            <w:r>
              <w:rPr>
                <w:color w:val="auto"/>
                <w:kern w:val="0"/>
                <w:sz w:val="24"/>
              </w:rPr>
              <w:t>（1）生态保护红线</w:t>
            </w:r>
          </w:p>
          <w:p w14:paraId="503DF958">
            <w:pPr>
              <w:keepNext w:val="0"/>
              <w:keepLines w:val="0"/>
              <w:pageBreakBefore w:val="0"/>
              <w:kinsoku/>
              <w:wordWrap/>
              <w:overflowPunct/>
              <w:autoSpaceDE w:val="0"/>
              <w:autoSpaceDN w:val="0"/>
              <w:bidi w:val="0"/>
              <w:adjustRightInd w:val="0"/>
              <w:snapToGrid w:val="0"/>
              <w:spacing w:after="0" w:line="360" w:lineRule="auto"/>
              <w:ind w:firstLine="480" w:firstLineChars="200"/>
              <w:textAlignment w:val="auto"/>
              <w:rPr>
                <w:color w:val="auto"/>
                <w:kern w:val="0"/>
                <w:sz w:val="24"/>
              </w:rPr>
            </w:pPr>
            <w:r>
              <w:rPr>
                <w:color w:val="auto"/>
                <w:kern w:val="0"/>
                <w:sz w:val="24"/>
              </w:rPr>
              <w:t>根据</w:t>
            </w:r>
            <w:r>
              <w:rPr>
                <w:rFonts w:hint="eastAsia"/>
                <w:color w:val="auto"/>
                <w:kern w:val="0"/>
                <w:sz w:val="24"/>
              </w:rPr>
              <w:t>《钦州市人民政府关于印发钦州市“三线一单”生态环境分区管控实施意见的通知》（钦政发﹝2021﹞13号）</w:t>
            </w:r>
            <w:r>
              <w:rPr>
                <w:color w:val="auto"/>
                <w:kern w:val="0"/>
                <w:sz w:val="24"/>
              </w:rPr>
              <w:t>的规定：</w:t>
            </w:r>
          </w:p>
          <w:p w14:paraId="33A85C16">
            <w:pPr>
              <w:keepNext w:val="0"/>
              <w:keepLines w:val="0"/>
              <w:pageBreakBefore w:val="0"/>
              <w:kinsoku/>
              <w:wordWrap/>
              <w:overflowPunct/>
              <w:autoSpaceDE w:val="0"/>
              <w:autoSpaceDN w:val="0"/>
              <w:bidi w:val="0"/>
              <w:adjustRightInd w:val="0"/>
              <w:snapToGrid w:val="0"/>
              <w:spacing w:after="0" w:line="360" w:lineRule="auto"/>
              <w:ind w:firstLine="480" w:firstLineChars="200"/>
              <w:textAlignment w:val="auto"/>
              <w:rPr>
                <w:color w:val="auto"/>
                <w:kern w:val="0"/>
                <w:sz w:val="24"/>
              </w:rPr>
            </w:pPr>
            <w:r>
              <w:rPr>
                <w:color w:val="auto"/>
                <w:kern w:val="0"/>
                <w:sz w:val="24"/>
              </w:rPr>
              <w:t>根据</w:t>
            </w:r>
            <w:r>
              <w:rPr>
                <w:rFonts w:hint="eastAsia"/>
                <w:color w:val="auto"/>
                <w:kern w:val="0"/>
                <w:sz w:val="24"/>
              </w:rPr>
              <w:t>钦州</w:t>
            </w:r>
            <w:r>
              <w:rPr>
                <w:color w:val="auto"/>
                <w:kern w:val="0"/>
                <w:sz w:val="24"/>
              </w:rPr>
              <w:t>市生态环境准入及管控要求清单表1-2，本项目不在生态红线范围内，属于重点管控单元中广西-东盟经济技术开发区重点管控单元。</w:t>
            </w:r>
          </w:p>
          <w:p w14:paraId="7F95DA4C">
            <w:pPr>
              <w:autoSpaceDE w:val="0"/>
              <w:autoSpaceDN w:val="0"/>
              <w:adjustRightInd w:val="0"/>
              <w:snapToGrid w:val="0"/>
              <w:spacing w:line="360" w:lineRule="auto"/>
              <w:ind w:firstLine="422" w:firstLineChars="200"/>
              <w:jc w:val="center"/>
              <w:rPr>
                <w:b/>
                <w:color w:val="auto"/>
              </w:rPr>
            </w:pPr>
            <w:r>
              <w:rPr>
                <w:b/>
                <w:color w:val="auto"/>
              </w:rPr>
              <w:t>表1-2</w:t>
            </w:r>
            <w:r>
              <w:rPr>
                <w:rFonts w:hint="eastAsia"/>
                <w:b/>
                <w:color w:val="auto"/>
              </w:rPr>
              <w:t>钦州市环境管控单元名录（钦南区）</w:t>
            </w:r>
          </w:p>
          <w:tbl>
            <w:tblPr>
              <w:tblStyle w:val="22"/>
              <w:tblW w:w="71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1"/>
              <w:gridCol w:w="751"/>
              <w:gridCol w:w="1517"/>
              <w:gridCol w:w="4138"/>
            </w:tblGrid>
            <w:tr w14:paraId="0928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tcMar>
                    <w:top w:w="15" w:type="dxa"/>
                    <w:left w:w="15" w:type="dxa"/>
                    <w:bottom w:w="0" w:type="dxa"/>
                    <w:right w:w="15" w:type="dxa"/>
                  </w:tcMar>
                  <w:vAlign w:val="center"/>
                </w:tcPr>
                <w:p w14:paraId="4A9ADD3D">
                  <w:pPr>
                    <w:adjustRightInd w:val="0"/>
                    <w:snapToGrid w:val="0"/>
                    <w:jc w:val="center"/>
                    <w:rPr>
                      <w:b/>
                      <w:bCs/>
                      <w:color w:val="auto"/>
                      <w:kern w:val="0"/>
                      <w:szCs w:val="21"/>
                    </w:rPr>
                  </w:pPr>
                  <w:r>
                    <w:rPr>
                      <w:b/>
                      <w:bCs/>
                      <w:color w:val="auto"/>
                      <w:kern w:val="0"/>
                      <w:szCs w:val="21"/>
                    </w:rPr>
                    <w:t>行政区域</w:t>
                  </w:r>
                </w:p>
              </w:tc>
              <w:tc>
                <w:tcPr>
                  <w:tcW w:w="751" w:type="dxa"/>
                  <w:tcMar>
                    <w:top w:w="15" w:type="dxa"/>
                    <w:left w:w="15" w:type="dxa"/>
                    <w:bottom w:w="0" w:type="dxa"/>
                    <w:right w:w="15" w:type="dxa"/>
                  </w:tcMar>
                  <w:vAlign w:val="center"/>
                </w:tcPr>
                <w:p w14:paraId="16929CCD">
                  <w:pPr>
                    <w:adjustRightInd w:val="0"/>
                    <w:snapToGrid w:val="0"/>
                    <w:jc w:val="center"/>
                    <w:rPr>
                      <w:b/>
                      <w:bCs/>
                      <w:color w:val="auto"/>
                      <w:kern w:val="0"/>
                      <w:szCs w:val="21"/>
                    </w:rPr>
                  </w:pPr>
                  <w:r>
                    <w:rPr>
                      <w:b/>
                      <w:bCs/>
                      <w:color w:val="auto"/>
                      <w:kern w:val="0"/>
                      <w:szCs w:val="21"/>
                    </w:rPr>
                    <w:t>单元总数</w:t>
                  </w:r>
                </w:p>
              </w:tc>
              <w:tc>
                <w:tcPr>
                  <w:tcW w:w="1517" w:type="dxa"/>
                  <w:tcMar>
                    <w:top w:w="15" w:type="dxa"/>
                    <w:left w:w="15" w:type="dxa"/>
                    <w:bottom w:w="0" w:type="dxa"/>
                    <w:right w:w="15" w:type="dxa"/>
                  </w:tcMar>
                  <w:vAlign w:val="center"/>
                </w:tcPr>
                <w:p w14:paraId="2FA473C4">
                  <w:pPr>
                    <w:adjustRightInd w:val="0"/>
                    <w:snapToGrid w:val="0"/>
                    <w:jc w:val="center"/>
                    <w:rPr>
                      <w:b/>
                      <w:bCs/>
                      <w:color w:val="auto"/>
                      <w:kern w:val="0"/>
                      <w:szCs w:val="21"/>
                    </w:rPr>
                  </w:pPr>
                  <w:r>
                    <w:rPr>
                      <w:b/>
                      <w:bCs/>
                      <w:color w:val="auto"/>
                      <w:kern w:val="0"/>
                      <w:szCs w:val="21"/>
                    </w:rPr>
                    <w:t>环境管控单元分类</w:t>
                  </w:r>
                </w:p>
              </w:tc>
              <w:tc>
                <w:tcPr>
                  <w:tcW w:w="4138" w:type="dxa"/>
                  <w:tcMar>
                    <w:top w:w="15" w:type="dxa"/>
                    <w:left w:w="15" w:type="dxa"/>
                    <w:bottom w:w="0" w:type="dxa"/>
                    <w:right w:w="15" w:type="dxa"/>
                  </w:tcMar>
                  <w:vAlign w:val="center"/>
                </w:tcPr>
                <w:p w14:paraId="6CB1628A">
                  <w:pPr>
                    <w:widowControl/>
                    <w:adjustRightInd w:val="0"/>
                    <w:snapToGrid w:val="0"/>
                    <w:jc w:val="center"/>
                    <w:textAlignment w:val="center"/>
                    <w:rPr>
                      <w:b/>
                      <w:bCs/>
                      <w:color w:val="auto"/>
                      <w:kern w:val="0"/>
                      <w:szCs w:val="21"/>
                    </w:rPr>
                  </w:pPr>
                  <w:r>
                    <w:rPr>
                      <w:b/>
                      <w:bCs/>
                      <w:color w:val="auto"/>
                      <w:kern w:val="0"/>
                      <w:szCs w:val="21"/>
                    </w:rPr>
                    <w:t>环境管控单元名称</w:t>
                  </w:r>
                </w:p>
              </w:tc>
            </w:tr>
            <w:tr w14:paraId="079A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vMerge w:val="restart"/>
                  <w:tcMar>
                    <w:top w:w="15" w:type="dxa"/>
                    <w:left w:w="15" w:type="dxa"/>
                    <w:bottom w:w="0" w:type="dxa"/>
                    <w:right w:w="15" w:type="dxa"/>
                  </w:tcMar>
                  <w:vAlign w:val="center"/>
                </w:tcPr>
                <w:p w14:paraId="07A721D8">
                  <w:pPr>
                    <w:widowControl/>
                    <w:adjustRightInd w:val="0"/>
                    <w:snapToGrid w:val="0"/>
                    <w:jc w:val="center"/>
                    <w:textAlignment w:val="center"/>
                    <w:rPr>
                      <w:color w:val="auto"/>
                      <w:szCs w:val="21"/>
                    </w:rPr>
                  </w:pPr>
                  <w:r>
                    <w:rPr>
                      <w:rFonts w:hint="eastAsia"/>
                      <w:color w:val="auto"/>
                      <w:szCs w:val="21"/>
                    </w:rPr>
                    <w:t>钦南</w:t>
                  </w:r>
                  <w:r>
                    <w:rPr>
                      <w:color w:val="auto"/>
                      <w:szCs w:val="21"/>
                    </w:rPr>
                    <w:t>区</w:t>
                  </w:r>
                </w:p>
              </w:tc>
              <w:tc>
                <w:tcPr>
                  <w:tcW w:w="751" w:type="dxa"/>
                  <w:vMerge w:val="restart"/>
                  <w:tcMar>
                    <w:top w:w="15" w:type="dxa"/>
                    <w:left w:w="15" w:type="dxa"/>
                    <w:bottom w:w="0" w:type="dxa"/>
                    <w:right w:w="15" w:type="dxa"/>
                  </w:tcMar>
                  <w:vAlign w:val="center"/>
                </w:tcPr>
                <w:p w14:paraId="76DA7DD0">
                  <w:pPr>
                    <w:widowControl/>
                    <w:adjustRightInd w:val="0"/>
                    <w:snapToGrid w:val="0"/>
                    <w:jc w:val="center"/>
                    <w:textAlignment w:val="center"/>
                    <w:rPr>
                      <w:color w:val="auto"/>
                      <w:szCs w:val="21"/>
                    </w:rPr>
                  </w:pPr>
                  <w:r>
                    <w:rPr>
                      <w:rFonts w:hint="eastAsia"/>
                      <w:color w:val="auto"/>
                      <w:szCs w:val="21"/>
                    </w:rPr>
                    <w:t>20</w:t>
                  </w:r>
                  <w:r>
                    <w:rPr>
                      <w:color w:val="auto"/>
                      <w:szCs w:val="21"/>
                    </w:rPr>
                    <w:t>个</w:t>
                  </w:r>
                </w:p>
              </w:tc>
              <w:tc>
                <w:tcPr>
                  <w:tcW w:w="1517" w:type="dxa"/>
                  <w:vMerge w:val="restart"/>
                  <w:tcMar>
                    <w:top w:w="15" w:type="dxa"/>
                    <w:left w:w="15" w:type="dxa"/>
                    <w:bottom w:w="0" w:type="dxa"/>
                    <w:right w:w="15" w:type="dxa"/>
                  </w:tcMar>
                  <w:vAlign w:val="center"/>
                </w:tcPr>
                <w:p w14:paraId="06EA79FA">
                  <w:pPr>
                    <w:widowControl/>
                    <w:adjustRightInd w:val="0"/>
                    <w:snapToGrid w:val="0"/>
                    <w:jc w:val="center"/>
                    <w:textAlignment w:val="center"/>
                    <w:rPr>
                      <w:color w:val="auto"/>
                      <w:szCs w:val="21"/>
                    </w:rPr>
                  </w:pPr>
                  <w:r>
                    <w:rPr>
                      <w:color w:val="auto"/>
                      <w:szCs w:val="21"/>
                    </w:rPr>
                    <w:t>优先保护单元</w:t>
                  </w:r>
                  <w:r>
                    <w:rPr>
                      <w:rFonts w:hint="eastAsia"/>
                      <w:color w:val="auto"/>
                      <w:szCs w:val="21"/>
                    </w:rPr>
                    <w:t>（10个）</w:t>
                  </w:r>
                </w:p>
              </w:tc>
              <w:tc>
                <w:tcPr>
                  <w:tcW w:w="4138" w:type="dxa"/>
                  <w:tcMar>
                    <w:top w:w="15" w:type="dxa"/>
                    <w:left w:w="15" w:type="dxa"/>
                    <w:bottom w:w="0" w:type="dxa"/>
                    <w:right w:w="15" w:type="dxa"/>
                  </w:tcMar>
                  <w:vAlign w:val="center"/>
                </w:tcPr>
                <w:p w14:paraId="6A803CBA">
                  <w:pPr>
                    <w:widowControl/>
                    <w:adjustRightInd w:val="0"/>
                    <w:snapToGrid w:val="0"/>
                    <w:textAlignment w:val="center"/>
                    <w:rPr>
                      <w:color w:val="auto"/>
                      <w:kern w:val="0"/>
                      <w:szCs w:val="21"/>
                    </w:rPr>
                  </w:pPr>
                  <w:r>
                    <w:rPr>
                      <w:rFonts w:hint="eastAsia"/>
                      <w:color w:val="auto"/>
                      <w:kern w:val="0"/>
                      <w:szCs w:val="21"/>
                    </w:rPr>
                    <w:t>北部湾水源涵养生态保护红线</w:t>
                  </w:r>
                </w:p>
              </w:tc>
            </w:tr>
            <w:tr w14:paraId="2F6B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vMerge w:val="continue"/>
                  <w:vAlign w:val="center"/>
                </w:tcPr>
                <w:p w14:paraId="5FEA7BFE">
                  <w:pPr>
                    <w:widowControl/>
                    <w:jc w:val="left"/>
                    <w:rPr>
                      <w:color w:val="auto"/>
                      <w:szCs w:val="21"/>
                    </w:rPr>
                  </w:pPr>
                </w:p>
              </w:tc>
              <w:tc>
                <w:tcPr>
                  <w:tcW w:w="751" w:type="dxa"/>
                  <w:vMerge w:val="continue"/>
                  <w:vAlign w:val="center"/>
                </w:tcPr>
                <w:p w14:paraId="492CB55D">
                  <w:pPr>
                    <w:widowControl/>
                    <w:jc w:val="left"/>
                    <w:rPr>
                      <w:color w:val="auto"/>
                      <w:szCs w:val="21"/>
                    </w:rPr>
                  </w:pPr>
                </w:p>
              </w:tc>
              <w:tc>
                <w:tcPr>
                  <w:tcW w:w="1517" w:type="dxa"/>
                  <w:vMerge w:val="continue"/>
                  <w:vAlign w:val="center"/>
                </w:tcPr>
                <w:p w14:paraId="0784882F">
                  <w:pPr>
                    <w:widowControl/>
                    <w:jc w:val="left"/>
                    <w:rPr>
                      <w:color w:val="auto"/>
                      <w:szCs w:val="21"/>
                    </w:rPr>
                  </w:pPr>
                </w:p>
              </w:tc>
              <w:tc>
                <w:tcPr>
                  <w:tcW w:w="4138" w:type="dxa"/>
                  <w:tcMar>
                    <w:top w:w="15" w:type="dxa"/>
                    <w:left w:w="15" w:type="dxa"/>
                    <w:bottom w:w="0" w:type="dxa"/>
                    <w:right w:w="15" w:type="dxa"/>
                  </w:tcMar>
                  <w:vAlign w:val="center"/>
                </w:tcPr>
                <w:p w14:paraId="15614D28">
                  <w:pPr>
                    <w:widowControl/>
                    <w:adjustRightInd w:val="0"/>
                    <w:snapToGrid w:val="0"/>
                    <w:textAlignment w:val="center"/>
                    <w:rPr>
                      <w:color w:val="auto"/>
                      <w:kern w:val="0"/>
                      <w:szCs w:val="21"/>
                    </w:rPr>
                  </w:pPr>
                  <w:r>
                    <w:rPr>
                      <w:rFonts w:hint="eastAsia"/>
                      <w:color w:val="auto"/>
                      <w:kern w:val="0"/>
                      <w:szCs w:val="21"/>
                    </w:rPr>
                    <w:t>广西钦州红树湾自治区级湿地公园生态保护红线</w:t>
                  </w:r>
                </w:p>
              </w:tc>
            </w:tr>
            <w:tr w14:paraId="30EF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vMerge w:val="continue"/>
                  <w:vAlign w:val="center"/>
                </w:tcPr>
                <w:p w14:paraId="083B5D9F">
                  <w:pPr>
                    <w:widowControl/>
                    <w:jc w:val="left"/>
                    <w:rPr>
                      <w:color w:val="auto"/>
                      <w:szCs w:val="21"/>
                    </w:rPr>
                  </w:pPr>
                </w:p>
              </w:tc>
              <w:tc>
                <w:tcPr>
                  <w:tcW w:w="751" w:type="dxa"/>
                  <w:vMerge w:val="continue"/>
                  <w:vAlign w:val="center"/>
                </w:tcPr>
                <w:p w14:paraId="26AD8973">
                  <w:pPr>
                    <w:widowControl/>
                    <w:jc w:val="left"/>
                    <w:rPr>
                      <w:color w:val="auto"/>
                      <w:szCs w:val="21"/>
                    </w:rPr>
                  </w:pPr>
                </w:p>
              </w:tc>
              <w:tc>
                <w:tcPr>
                  <w:tcW w:w="1517" w:type="dxa"/>
                  <w:vMerge w:val="continue"/>
                  <w:vAlign w:val="center"/>
                </w:tcPr>
                <w:p w14:paraId="0BE84E0B">
                  <w:pPr>
                    <w:widowControl/>
                    <w:jc w:val="left"/>
                    <w:rPr>
                      <w:color w:val="auto"/>
                      <w:szCs w:val="21"/>
                    </w:rPr>
                  </w:pPr>
                </w:p>
              </w:tc>
              <w:tc>
                <w:tcPr>
                  <w:tcW w:w="4138" w:type="dxa"/>
                  <w:tcMar>
                    <w:top w:w="15" w:type="dxa"/>
                    <w:left w:w="15" w:type="dxa"/>
                    <w:bottom w:w="0" w:type="dxa"/>
                    <w:right w:w="15" w:type="dxa"/>
                  </w:tcMar>
                  <w:vAlign w:val="center"/>
                </w:tcPr>
                <w:p w14:paraId="5005B20F">
                  <w:pPr>
                    <w:widowControl/>
                    <w:adjustRightInd w:val="0"/>
                    <w:snapToGrid w:val="0"/>
                    <w:textAlignment w:val="center"/>
                    <w:rPr>
                      <w:color w:val="auto"/>
                      <w:kern w:val="0"/>
                      <w:szCs w:val="21"/>
                    </w:rPr>
                  </w:pPr>
                  <w:r>
                    <w:rPr>
                      <w:rFonts w:hint="eastAsia"/>
                      <w:color w:val="auto"/>
                      <w:kern w:val="0"/>
                      <w:szCs w:val="21"/>
                    </w:rPr>
                    <w:t>广西钦州林湖自治区级森林公园生态保护红线</w:t>
                  </w:r>
                </w:p>
              </w:tc>
            </w:tr>
            <w:tr w14:paraId="4544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vMerge w:val="continue"/>
                  <w:vAlign w:val="center"/>
                </w:tcPr>
                <w:p w14:paraId="1AF0BA95">
                  <w:pPr>
                    <w:widowControl/>
                    <w:jc w:val="left"/>
                    <w:rPr>
                      <w:color w:val="auto"/>
                      <w:szCs w:val="21"/>
                    </w:rPr>
                  </w:pPr>
                </w:p>
              </w:tc>
              <w:tc>
                <w:tcPr>
                  <w:tcW w:w="751" w:type="dxa"/>
                  <w:vMerge w:val="continue"/>
                  <w:vAlign w:val="center"/>
                </w:tcPr>
                <w:p w14:paraId="1AE236DF">
                  <w:pPr>
                    <w:widowControl/>
                    <w:jc w:val="left"/>
                    <w:rPr>
                      <w:color w:val="auto"/>
                      <w:szCs w:val="21"/>
                    </w:rPr>
                  </w:pPr>
                </w:p>
              </w:tc>
              <w:tc>
                <w:tcPr>
                  <w:tcW w:w="1517" w:type="dxa"/>
                  <w:vMerge w:val="continue"/>
                  <w:vAlign w:val="center"/>
                </w:tcPr>
                <w:p w14:paraId="4D6391B8">
                  <w:pPr>
                    <w:widowControl/>
                    <w:jc w:val="left"/>
                    <w:rPr>
                      <w:color w:val="auto"/>
                      <w:szCs w:val="21"/>
                    </w:rPr>
                  </w:pPr>
                </w:p>
              </w:tc>
              <w:tc>
                <w:tcPr>
                  <w:tcW w:w="4138" w:type="dxa"/>
                  <w:tcMar>
                    <w:top w:w="15" w:type="dxa"/>
                    <w:left w:w="15" w:type="dxa"/>
                    <w:bottom w:w="0" w:type="dxa"/>
                    <w:right w:w="15" w:type="dxa"/>
                  </w:tcMar>
                  <w:vAlign w:val="center"/>
                </w:tcPr>
                <w:p w14:paraId="7684838D">
                  <w:pPr>
                    <w:widowControl/>
                    <w:adjustRightInd w:val="0"/>
                    <w:snapToGrid w:val="0"/>
                    <w:textAlignment w:val="center"/>
                    <w:rPr>
                      <w:color w:val="auto"/>
                      <w:kern w:val="0"/>
                      <w:szCs w:val="21"/>
                    </w:rPr>
                  </w:pPr>
                  <w:r>
                    <w:rPr>
                      <w:rFonts w:hint="eastAsia"/>
                      <w:color w:val="auto"/>
                      <w:kern w:val="0"/>
                      <w:szCs w:val="21"/>
                    </w:rPr>
                    <w:t>广西钦州那雾山自治区级地质公园生态保护红线</w:t>
                  </w:r>
                </w:p>
              </w:tc>
            </w:tr>
            <w:tr w14:paraId="0E1B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vMerge w:val="continue"/>
                  <w:vAlign w:val="center"/>
                </w:tcPr>
                <w:p w14:paraId="51905789">
                  <w:pPr>
                    <w:widowControl/>
                    <w:jc w:val="left"/>
                    <w:rPr>
                      <w:color w:val="auto"/>
                      <w:szCs w:val="21"/>
                    </w:rPr>
                  </w:pPr>
                </w:p>
              </w:tc>
              <w:tc>
                <w:tcPr>
                  <w:tcW w:w="751" w:type="dxa"/>
                  <w:vMerge w:val="continue"/>
                  <w:vAlign w:val="center"/>
                </w:tcPr>
                <w:p w14:paraId="73C0D28A">
                  <w:pPr>
                    <w:widowControl/>
                    <w:jc w:val="left"/>
                    <w:rPr>
                      <w:color w:val="auto"/>
                      <w:szCs w:val="21"/>
                    </w:rPr>
                  </w:pPr>
                </w:p>
              </w:tc>
              <w:tc>
                <w:tcPr>
                  <w:tcW w:w="1517" w:type="dxa"/>
                  <w:vMerge w:val="continue"/>
                  <w:vAlign w:val="center"/>
                </w:tcPr>
                <w:p w14:paraId="457864C6">
                  <w:pPr>
                    <w:widowControl/>
                    <w:jc w:val="left"/>
                    <w:rPr>
                      <w:color w:val="auto"/>
                      <w:szCs w:val="21"/>
                    </w:rPr>
                  </w:pPr>
                </w:p>
              </w:tc>
              <w:tc>
                <w:tcPr>
                  <w:tcW w:w="4138" w:type="dxa"/>
                  <w:tcMar>
                    <w:top w:w="15" w:type="dxa"/>
                    <w:left w:w="15" w:type="dxa"/>
                    <w:bottom w:w="0" w:type="dxa"/>
                    <w:right w:w="15" w:type="dxa"/>
                  </w:tcMar>
                  <w:vAlign w:val="center"/>
                </w:tcPr>
                <w:p w14:paraId="5EF616CD">
                  <w:pPr>
                    <w:widowControl/>
                    <w:adjustRightInd w:val="0"/>
                    <w:snapToGrid w:val="0"/>
                    <w:textAlignment w:val="center"/>
                    <w:rPr>
                      <w:color w:val="auto"/>
                      <w:kern w:val="0"/>
                      <w:szCs w:val="21"/>
                    </w:rPr>
                  </w:pPr>
                  <w:r>
                    <w:rPr>
                      <w:rFonts w:hint="eastAsia"/>
                      <w:color w:val="auto"/>
                      <w:kern w:val="0"/>
                      <w:szCs w:val="21"/>
                    </w:rPr>
                    <w:t>大风江饮用水水源保护区一般生态空间</w:t>
                  </w:r>
                </w:p>
              </w:tc>
            </w:tr>
            <w:tr w14:paraId="2A11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vMerge w:val="continue"/>
                  <w:vAlign w:val="center"/>
                </w:tcPr>
                <w:p w14:paraId="14C48A82">
                  <w:pPr>
                    <w:widowControl/>
                    <w:jc w:val="left"/>
                    <w:rPr>
                      <w:color w:val="auto"/>
                      <w:szCs w:val="21"/>
                    </w:rPr>
                  </w:pPr>
                </w:p>
              </w:tc>
              <w:tc>
                <w:tcPr>
                  <w:tcW w:w="751" w:type="dxa"/>
                  <w:vMerge w:val="continue"/>
                  <w:vAlign w:val="center"/>
                </w:tcPr>
                <w:p w14:paraId="46FD1164">
                  <w:pPr>
                    <w:widowControl/>
                    <w:jc w:val="left"/>
                    <w:rPr>
                      <w:color w:val="auto"/>
                      <w:szCs w:val="21"/>
                    </w:rPr>
                  </w:pPr>
                </w:p>
              </w:tc>
              <w:tc>
                <w:tcPr>
                  <w:tcW w:w="1517" w:type="dxa"/>
                  <w:vMerge w:val="continue"/>
                  <w:vAlign w:val="center"/>
                </w:tcPr>
                <w:p w14:paraId="6D8B9C6D">
                  <w:pPr>
                    <w:widowControl/>
                    <w:jc w:val="left"/>
                    <w:rPr>
                      <w:color w:val="auto"/>
                      <w:szCs w:val="21"/>
                    </w:rPr>
                  </w:pPr>
                </w:p>
              </w:tc>
              <w:tc>
                <w:tcPr>
                  <w:tcW w:w="4138" w:type="dxa"/>
                  <w:tcMar>
                    <w:top w:w="15" w:type="dxa"/>
                    <w:left w:w="15" w:type="dxa"/>
                    <w:bottom w:w="0" w:type="dxa"/>
                    <w:right w:w="15" w:type="dxa"/>
                  </w:tcMar>
                  <w:vAlign w:val="center"/>
                </w:tcPr>
                <w:p w14:paraId="5DE34566">
                  <w:pPr>
                    <w:widowControl/>
                    <w:adjustRightInd w:val="0"/>
                    <w:snapToGrid w:val="0"/>
                    <w:textAlignment w:val="center"/>
                    <w:rPr>
                      <w:color w:val="auto"/>
                      <w:kern w:val="0"/>
                      <w:szCs w:val="21"/>
                    </w:rPr>
                  </w:pPr>
                  <w:r>
                    <w:rPr>
                      <w:rFonts w:hint="eastAsia"/>
                      <w:color w:val="auto"/>
                      <w:kern w:val="0"/>
                      <w:szCs w:val="21"/>
                    </w:rPr>
                    <w:t>大马鞍水库－南蛇水库饮用水水源保护区一般生态空间</w:t>
                  </w:r>
                </w:p>
              </w:tc>
            </w:tr>
            <w:tr w14:paraId="6E39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vMerge w:val="continue"/>
                  <w:vAlign w:val="center"/>
                </w:tcPr>
                <w:p w14:paraId="2FC6A68E">
                  <w:pPr>
                    <w:widowControl/>
                    <w:jc w:val="left"/>
                    <w:rPr>
                      <w:color w:val="auto"/>
                      <w:szCs w:val="21"/>
                    </w:rPr>
                  </w:pPr>
                </w:p>
              </w:tc>
              <w:tc>
                <w:tcPr>
                  <w:tcW w:w="751" w:type="dxa"/>
                  <w:vMerge w:val="continue"/>
                  <w:vAlign w:val="center"/>
                </w:tcPr>
                <w:p w14:paraId="7DE419C8">
                  <w:pPr>
                    <w:widowControl/>
                    <w:jc w:val="left"/>
                    <w:rPr>
                      <w:color w:val="auto"/>
                      <w:szCs w:val="21"/>
                    </w:rPr>
                  </w:pPr>
                </w:p>
              </w:tc>
              <w:tc>
                <w:tcPr>
                  <w:tcW w:w="1517" w:type="dxa"/>
                  <w:vMerge w:val="continue"/>
                  <w:vAlign w:val="center"/>
                </w:tcPr>
                <w:p w14:paraId="60866884">
                  <w:pPr>
                    <w:widowControl/>
                    <w:jc w:val="left"/>
                    <w:rPr>
                      <w:color w:val="auto"/>
                      <w:szCs w:val="21"/>
                    </w:rPr>
                  </w:pPr>
                </w:p>
              </w:tc>
              <w:tc>
                <w:tcPr>
                  <w:tcW w:w="4138" w:type="dxa"/>
                  <w:tcMar>
                    <w:top w:w="15" w:type="dxa"/>
                    <w:left w:w="15" w:type="dxa"/>
                    <w:bottom w:w="0" w:type="dxa"/>
                    <w:right w:w="15" w:type="dxa"/>
                  </w:tcMar>
                  <w:vAlign w:val="center"/>
                </w:tcPr>
                <w:p w14:paraId="538B3154">
                  <w:pPr>
                    <w:widowControl/>
                    <w:adjustRightInd w:val="0"/>
                    <w:snapToGrid w:val="0"/>
                    <w:textAlignment w:val="center"/>
                    <w:rPr>
                      <w:color w:val="auto"/>
                      <w:kern w:val="0"/>
                      <w:szCs w:val="21"/>
                    </w:rPr>
                  </w:pPr>
                  <w:r>
                    <w:rPr>
                      <w:rFonts w:hint="eastAsia"/>
                      <w:color w:val="auto"/>
                      <w:kern w:val="0"/>
                      <w:szCs w:val="21"/>
                    </w:rPr>
                    <w:t>金窝水库饮用水水源保护区一般生态空间</w:t>
                  </w:r>
                </w:p>
              </w:tc>
            </w:tr>
            <w:tr w14:paraId="79FB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791" w:type="dxa"/>
                  <w:vMerge w:val="continue"/>
                  <w:vAlign w:val="center"/>
                </w:tcPr>
                <w:p w14:paraId="3C62644B">
                  <w:pPr>
                    <w:widowControl/>
                    <w:jc w:val="left"/>
                    <w:rPr>
                      <w:color w:val="auto"/>
                      <w:szCs w:val="21"/>
                    </w:rPr>
                  </w:pPr>
                </w:p>
              </w:tc>
              <w:tc>
                <w:tcPr>
                  <w:tcW w:w="751" w:type="dxa"/>
                  <w:vMerge w:val="continue"/>
                  <w:vAlign w:val="center"/>
                </w:tcPr>
                <w:p w14:paraId="3B09CC9C">
                  <w:pPr>
                    <w:widowControl/>
                    <w:jc w:val="left"/>
                    <w:rPr>
                      <w:color w:val="auto"/>
                      <w:szCs w:val="21"/>
                    </w:rPr>
                  </w:pPr>
                </w:p>
              </w:tc>
              <w:tc>
                <w:tcPr>
                  <w:tcW w:w="1517" w:type="dxa"/>
                  <w:vMerge w:val="continue"/>
                  <w:vAlign w:val="center"/>
                </w:tcPr>
                <w:p w14:paraId="4DC2531E">
                  <w:pPr>
                    <w:widowControl/>
                    <w:jc w:val="left"/>
                    <w:rPr>
                      <w:color w:val="auto"/>
                      <w:szCs w:val="21"/>
                    </w:rPr>
                  </w:pPr>
                </w:p>
              </w:tc>
              <w:tc>
                <w:tcPr>
                  <w:tcW w:w="4138" w:type="dxa"/>
                  <w:tcMar>
                    <w:top w:w="15" w:type="dxa"/>
                    <w:left w:w="15" w:type="dxa"/>
                    <w:bottom w:w="0" w:type="dxa"/>
                    <w:right w:w="15" w:type="dxa"/>
                  </w:tcMar>
                  <w:vAlign w:val="center"/>
                </w:tcPr>
                <w:p w14:paraId="69E16019">
                  <w:pPr>
                    <w:widowControl/>
                    <w:adjustRightInd w:val="0"/>
                    <w:snapToGrid w:val="0"/>
                    <w:textAlignment w:val="center"/>
                    <w:rPr>
                      <w:color w:val="auto"/>
                      <w:kern w:val="0"/>
                      <w:szCs w:val="21"/>
                    </w:rPr>
                  </w:pPr>
                  <w:r>
                    <w:rPr>
                      <w:rFonts w:hint="eastAsia"/>
                      <w:color w:val="auto"/>
                      <w:kern w:val="0"/>
                      <w:szCs w:val="21"/>
                    </w:rPr>
                    <w:t>茅岭江饮用水水源保护区一般生态空间</w:t>
                  </w:r>
                </w:p>
              </w:tc>
            </w:tr>
            <w:tr w14:paraId="449E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vMerge w:val="continue"/>
                  <w:vAlign w:val="center"/>
                </w:tcPr>
                <w:p w14:paraId="2CC9969D">
                  <w:pPr>
                    <w:widowControl/>
                    <w:jc w:val="left"/>
                    <w:rPr>
                      <w:color w:val="auto"/>
                      <w:szCs w:val="21"/>
                    </w:rPr>
                  </w:pPr>
                </w:p>
              </w:tc>
              <w:tc>
                <w:tcPr>
                  <w:tcW w:w="751" w:type="dxa"/>
                  <w:vMerge w:val="continue"/>
                  <w:vAlign w:val="center"/>
                </w:tcPr>
                <w:p w14:paraId="6025DC1A">
                  <w:pPr>
                    <w:widowControl/>
                    <w:jc w:val="left"/>
                    <w:rPr>
                      <w:color w:val="auto"/>
                      <w:szCs w:val="21"/>
                    </w:rPr>
                  </w:pPr>
                </w:p>
              </w:tc>
              <w:tc>
                <w:tcPr>
                  <w:tcW w:w="1517" w:type="dxa"/>
                  <w:vMerge w:val="continue"/>
                  <w:vAlign w:val="center"/>
                </w:tcPr>
                <w:p w14:paraId="469C9B7D">
                  <w:pPr>
                    <w:widowControl/>
                    <w:jc w:val="left"/>
                    <w:rPr>
                      <w:color w:val="auto"/>
                      <w:szCs w:val="21"/>
                    </w:rPr>
                  </w:pPr>
                </w:p>
              </w:tc>
              <w:tc>
                <w:tcPr>
                  <w:tcW w:w="4138" w:type="dxa"/>
                  <w:tcMar>
                    <w:top w:w="15" w:type="dxa"/>
                    <w:left w:w="15" w:type="dxa"/>
                    <w:bottom w:w="0" w:type="dxa"/>
                    <w:right w:w="15" w:type="dxa"/>
                  </w:tcMar>
                  <w:vAlign w:val="center"/>
                </w:tcPr>
                <w:p w14:paraId="5C46D722">
                  <w:pPr>
                    <w:widowControl/>
                    <w:adjustRightInd w:val="0"/>
                    <w:snapToGrid w:val="0"/>
                    <w:textAlignment w:val="center"/>
                    <w:rPr>
                      <w:color w:val="auto"/>
                      <w:kern w:val="0"/>
                      <w:szCs w:val="21"/>
                    </w:rPr>
                  </w:pPr>
                  <w:r>
                    <w:rPr>
                      <w:rFonts w:hint="eastAsia"/>
                      <w:color w:val="auto"/>
                      <w:kern w:val="0"/>
                      <w:szCs w:val="21"/>
                    </w:rPr>
                    <w:t>钦江饮用水水源保护区一般生态空间</w:t>
                  </w:r>
                </w:p>
              </w:tc>
            </w:tr>
            <w:tr w14:paraId="3B2E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791" w:type="dxa"/>
                  <w:vMerge w:val="continue"/>
                  <w:vAlign w:val="center"/>
                </w:tcPr>
                <w:p w14:paraId="3EE84652">
                  <w:pPr>
                    <w:widowControl/>
                    <w:jc w:val="left"/>
                    <w:rPr>
                      <w:color w:val="auto"/>
                      <w:szCs w:val="21"/>
                    </w:rPr>
                  </w:pPr>
                </w:p>
              </w:tc>
              <w:tc>
                <w:tcPr>
                  <w:tcW w:w="751" w:type="dxa"/>
                  <w:vMerge w:val="continue"/>
                  <w:vAlign w:val="center"/>
                </w:tcPr>
                <w:p w14:paraId="7DF70515">
                  <w:pPr>
                    <w:widowControl/>
                    <w:jc w:val="left"/>
                    <w:rPr>
                      <w:color w:val="auto"/>
                      <w:szCs w:val="21"/>
                    </w:rPr>
                  </w:pPr>
                </w:p>
              </w:tc>
              <w:tc>
                <w:tcPr>
                  <w:tcW w:w="1517" w:type="dxa"/>
                  <w:vMerge w:val="continue"/>
                  <w:vAlign w:val="center"/>
                </w:tcPr>
                <w:p w14:paraId="47E6D335">
                  <w:pPr>
                    <w:widowControl/>
                    <w:jc w:val="left"/>
                    <w:rPr>
                      <w:color w:val="auto"/>
                      <w:szCs w:val="21"/>
                    </w:rPr>
                  </w:pPr>
                </w:p>
              </w:tc>
              <w:tc>
                <w:tcPr>
                  <w:tcW w:w="4138" w:type="dxa"/>
                  <w:tcMar>
                    <w:top w:w="15" w:type="dxa"/>
                    <w:left w:w="15" w:type="dxa"/>
                    <w:bottom w:w="0" w:type="dxa"/>
                    <w:right w:w="15" w:type="dxa"/>
                  </w:tcMar>
                  <w:vAlign w:val="center"/>
                </w:tcPr>
                <w:p w14:paraId="46D9047B">
                  <w:pPr>
                    <w:widowControl/>
                    <w:adjustRightInd w:val="0"/>
                    <w:snapToGrid w:val="0"/>
                    <w:textAlignment w:val="center"/>
                    <w:rPr>
                      <w:color w:val="auto"/>
                      <w:kern w:val="0"/>
                      <w:szCs w:val="21"/>
                    </w:rPr>
                  </w:pPr>
                  <w:r>
                    <w:rPr>
                      <w:rFonts w:hint="eastAsia"/>
                      <w:color w:val="auto"/>
                      <w:kern w:val="0"/>
                      <w:szCs w:val="21"/>
                    </w:rPr>
                    <w:t>钦南区其他优先保护单元</w:t>
                  </w:r>
                </w:p>
              </w:tc>
            </w:tr>
            <w:tr w14:paraId="057F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791" w:type="dxa"/>
                  <w:vMerge w:val="continue"/>
                  <w:shd w:val="clear" w:color="auto" w:fill="auto"/>
                  <w:vAlign w:val="center"/>
                </w:tcPr>
                <w:p w14:paraId="350BA627">
                  <w:pPr>
                    <w:widowControl/>
                    <w:jc w:val="left"/>
                    <w:rPr>
                      <w:color w:val="auto"/>
                      <w:szCs w:val="21"/>
                    </w:rPr>
                  </w:pPr>
                </w:p>
              </w:tc>
              <w:tc>
                <w:tcPr>
                  <w:tcW w:w="751" w:type="dxa"/>
                  <w:vMerge w:val="continue"/>
                  <w:shd w:val="clear" w:color="auto" w:fill="auto"/>
                  <w:vAlign w:val="center"/>
                </w:tcPr>
                <w:p w14:paraId="615F193A">
                  <w:pPr>
                    <w:widowControl/>
                    <w:jc w:val="left"/>
                    <w:rPr>
                      <w:color w:val="auto"/>
                      <w:szCs w:val="21"/>
                    </w:rPr>
                  </w:pPr>
                </w:p>
              </w:tc>
              <w:tc>
                <w:tcPr>
                  <w:tcW w:w="1517" w:type="dxa"/>
                  <w:vMerge w:val="restart"/>
                  <w:shd w:val="clear" w:color="auto" w:fill="B8CCE4" w:themeFill="accent1" w:themeFillTint="66"/>
                  <w:tcMar>
                    <w:top w:w="15" w:type="dxa"/>
                    <w:left w:w="15" w:type="dxa"/>
                    <w:bottom w:w="0" w:type="dxa"/>
                    <w:right w:w="15" w:type="dxa"/>
                  </w:tcMar>
                  <w:vAlign w:val="center"/>
                </w:tcPr>
                <w:p w14:paraId="5F27F5A1">
                  <w:pPr>
                    <w:widowControl/>
                    <w:adjustRightInd w:val="0"/>
                    <w:snapToGrid w:val="0"/>
                    <w:jc w:val="center"/>
                    <w:textAlignment w:val="center"/>
                    <w:rPr>
                      <w:color w:val="auto"/>
                      <w:szCs w:val="21"/>
                    </w:rPr>
                  </w:pPr>
                  <w:r>
                    <w:rPr>
                      <w:color w:val="auto"/>
                      <w:szCs w:val="21"/>
                    </w:rPr>
                    <w:t>重点管控单元</w:t>
                  </w:r>
                  <w:r>
                    <w:rPr>
                      <w:rFonts w:hint="eastAsia"/>
                      <w:color w:val="auto"/>
                      <w:szCs w:val="21"/>
                    </w:rPr>
                    <w:t>（9个）</w:t>
                  </w:r>
                </w:p>
              </w:tc>
              <w:tc>
                <w:tcPr>
                  <w:tcW w:w="4138" w:type="dxa"/>
                  <w:shd w:val="clear" w:color="auto" w:fill="auto"/>
                  <w:tcMar>
                    <w:top w:w="15" w:type="dxa"/>
                    <w:left w:w="15" w:type="dxa"/>
                    <w:bottom w:w="0" w:type="dxa"/>
                    <w:right w:w="15" w:type="dxa"/>
                  </w:tcMar>
                  <w:vAlign w:val="center"/>
                </w:tcPr>
                <w:p w14:paraId="186664C3">
                  <w:pPr>
                    <w:widowControl/>
                    <w:adjustRightInd w:val="0"/>
                    <w:snapToGrid w:val="0"/>
                    <w:textAlignment w:val="center"/>
                    <w:rPr>
                      <w:color w:val="auto"/>
                      <w:kern w:val="0"/>
                      <w:szCs w:val="21"/>
                    </w:rPr>
                  </w:pPr>
                  <w:r>
                    <w:rPr>
                      <w:rFonts w:hint="eastAsia"/>
                      <w:color w:val="auto"/>
                      <w:kern w:val="0"/>
                      <w:szCs w:val="21"/>
                    </w:rPr>
                    <w:t>广西钦州保税港区重点管控单元</w:t>
                  </w:r>
                </w:p>
              </w:tc>
            </w:tr>
            <w:tr w14:paraId="553E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791" w:type="dxa"/>
                  <w:vMerge w:val="continue"/>
                  <w:vAlign w:val="center"/>
                </w:tcPr>
                <w:p w14:paraId="6C3821EC">
                  <w:pPr>
                    <w:widowControl/>
                    <w:jc w:val="left"/>
                    <w:rPr>
                      <w:color w:val="auto"/>
                      <w:szCs w:val="21"/>
                    </w:rPr>
                  </w:pPr>
                </w:p>
              </w:tc>
              <w:tc>
                <w:tcPr>
                  <w:tcW w:w="751" w:type="dxa"/>
                  <w:vMerge w:val="continue"/>
                  <w:vAlign w:val="center"/>
                </w:tcPr>
                <w:p w14:paraId="556934E8">
                  <w:pPr>
                    <w:widowControl/>
                    <w:jc w:val="left"/>
                    <w:rPr>
                      <w:color w:val="auto"/>
                      <w:szCs w:val="21"/>
                    </w:rPr>
                  </w:pPr>
                </w:p>
              </w:tc>
              <w:tc>
                <w:tcPr>
                  <w:tcW w:w="1517" w:type="dxa"/>
                  <w:vMerge w:val="continue"/>
                  <w:shd w:val="clear" w:color="auto" w:fill="B8CCE4" w:themeFill="accent1" w:themeFillTint="66"/>
                  <w:vAlign w:val="center"/>
                </w:tcPr>
                <w:p w14:paraId="47288543">
                  <w:pPr>
                    <w:widowControl/>
                    <w:jc w:val="left"/>
                    <w:rPr>
                      <w:color w:val="auto"/>
                      <w:szCs w:val="21"/>
                    </w:rPr>
                  </w:pPr>
                </w:p>
              </w:tc>
              <w:tc>
                <w:tcPr>
                  <w:tcW w:w="4138" w:type="dxa"/>
                  <w:shd w:val="clear" w:color="auto" w:fill="auto"/>
                  <w:tcMar>
                    <w:top w:w="15" w:type="dxa"/>
                    <w:left w:w="15" w:type="dxa"/>
                    <w:bottom w:w="0" w:type="dxa"/>
                    <w:right w:w="15" w:type="dxa"/>
                  </w:tcMar>
                  <w:vAlign w:val="center"/>
                </w:tcPr>
                <w:p w14:paraId="18DB5AB6">
                  <w:pPr>
                    <w:widowControl/>
                    <w:adjustRightInd w:val="0"/>
                    <w:snapToGrid w:val="0"/>
                    <w:textAlignment w:val="center"/>
                    <w:rPr>
                      <w:color w:val="auto"/>
                      <w:kern w:val="0"/>
                      <w:szCs w:val="21"/>
                    </w:rPr>
                  </w:pPr>
                  <w:r>
                    <w:rPr>
                      <w:rFonts w:hint="eastAsia"/>
                      <w:color w:val="auto"/>
                      <w:kern w:val="0"/>
                      <w:szCs w:val="21"/>
                    </w:rPr>
                    <w:t>广西钦州高新技术产业开发区重点管控单元</w:t>
                  </w:r>
                </w:p>
              </w:tc>
            </w:tr>
            <w:tr w14:paraId="3415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791" w:type="dxa"/>
                  <w:vMerge w:val="continue"/>
                  <w:vAlign w:val="center"/>
                </w:tcPr>
                <w:p w14:paraId="4463F7E1">
                  <w:pPr>
                    <w:widowControl/>
                    <w:jc w:val="left"/>
                    <w:rPr>
                      <w:color w:val="auto"/>
                      <w:szCs w:val="21"/>
                    </w:rPr>
                  </w:pPr>
                </w:p>
              </w:tc>
              <w:tc>
                <w:tcPr>
                  <w:tcW w:w="751" w:type="dxa"/>
                  <w:vMerge w:val="continue"/>
                  <w:vAlign w:val="center"/>
                </w:tcPr>
                <w:p w14:paraId="0CDDE9BB">
                  <w:pPr>
                    <w:widowControl/>
                    <w:jc w:val="left"/>
                    <w:rPr>
                      <w:color w:val="auto"/>
                      <w:szCs w:val="21"/>
                    </w:rPr>
                  </w:pPr>
                </w:p>
              </w:tc>
              <w:tc>
                <w:tcPr>
                  <w:tcW w:w="1517" w:type="dxa"/>
                  <w:vMerge w:val="continue"/>
                  <w:shd w:val="clear" w:color="auto" w:fill="B8CCE4" w:themeFill="accent1" w:themeFillTint="66"/>
                  <w:vAlign w:val="center"/>
                </w:tcPr>
                <w:p w14:paraId="186F934C">
                  <w:pPr>
                    <w:widowControl/>
                    <w:jc w:val="left"/>
                    <w:rPr>
                      <w:color w:val="auto"/>
                      <w:szCs w:val="21"/>
                    </w:rPr>
                  </w:pPr>
                </w:p>
              </w:tc>
              <w:tc>
                <w:tcPr>
                  <w:tcW w:w="4138" w:type="dxa"/>
                  <w:shd w:val="clear" w:color="auto" w:fill="B8CCE4" w:themeFill="accent1" w:themeFillTint="66"/>
                  <w:tcMar>
                    <w:top w:w="15" w:type="dxa"/>
                    <w:left w:w="15" w:type="dxa"/>
                    <w:bottom w:w="0" w:type="dxa"/>
                    <w:right w:w="15" w:type="dxa"/>
                  </w:tcMar>
                  <w:vAlign w:val="center"/>
                </w:tcPr>
                <w:p w14:paraId="4650DE7F">
                  <w:pPr>
                    <w:widowControl/>
                    <w:adjustRightInd w:val="0"/>
                    <w:snapToGrid w:val="0"/>
                    <w:textAlignment w:val="center"/>
                    <w:rPr>
                      <w:color w:val="auto"/>
                      <w:kern w:val="0"/>
                      <w:szCs w:val="21"/>
                    </w:rPr>
                  </w:pPr>
                  <w:r>
                    <w:rPr>
                      <w:rFonts w:hint="eastAsia"/>
                      <w:color w:val="auto"/>
                      <w:kern w:val="0"/>
                      <w:szCs w:val="21"/>
                    </w:rPr>
                    <w:t>广西钦州石化产业园重点管控单元</w:t>
                  </w:r>
                </w:p>
              </w:tc>
            </w:tr>
            <w:tr w14:paraId="5D0E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791" w:type="dxa"/>
                  <w:vMerge w:val="continue"/>
                  <w:vAlign w:val="center"/>
                </w:tcPr>
                <w:p w14:paraId="40EC786A">
                  <w:pPr>
                    <w:widowControl/>
                    <w:jc w:val="left"/>
                    <w:rPr>
                      <w:color w:val="auto"/>
                      <w:szCs w:val="21"/>
                    </w:rPr>
                  </w:pPr>
                </w:p>
              </w:tc>
              <w:tc>
                <w:tcPr>
                  <w:tcW w:w="751" w:type="dxa"/>
                  <w:vMerge w:val="continue"/>
                  <w:vAlign w:val="center"/>
                </w:tcPr>
                <w:p w14:paraId="5582DB38">
                  <w:pPr>
                    <w:widowControl/>
                    <w:jc w:val="left"/>
                    <w:rPr>
                      <w:color w:val="auto"/>
                      <w:szCs w:val="21"/>
                    </w:rPr>
                  </w:pPr>
                </w:p>
              </w:tc>
              <w:tc>
                <w:tcPr>
                  <w:tcW w:w="1517" w:type="dxa"/>
                  <w:vMerge w:val="continue"/>
                  <w:shd w:val="clear" w:color="auto" w:fill="B8CCE4" w:themeFill="accent1" w:themeFillTint="66"/>
                  <w:vAlign w:val="center"/>
                </w:tcPr>
                <w:p w14:paraId="507E07AB">
                  <w:pPr>
                    <w:widowControl/>
                    <w:jc w:val="left"/>
                    <w:rPr>
                      <w:color w:val="auto"/>
                      <w:szCs w:val="21"/>
                    </w:rPr>
                  </w:pPr>
                </w:p>
              </w:tc>
              <w:tc>
                <w:tcPr>
                  <w:tcW w:w="4138" w:type="dxa"/>
                  <w:tcMar>
                    <w:top w:w="15" w:type="dxa"/>
                    <w:left w:w="15" w:type="dxa"/>
                    <w:bottom w:w="0" w:type="dxa"/>
                    <w:right w:w="15" w:type="dxa"/>
                  </w:tcMar>
                  <w:vAlign w:val="center"/>
                </w:tcPr>
                <w:p w14:paraId="6D83E5E8">
                  <w:pPr>
                    <w:widowControl/>
                    <w:adjustRightInd w:val="0"/>
                    <w:snapToGrid w:val="0"/>
                    <w:textAlignment w:val="center"/>
                    <w:rPr>
                      <w:color w:val="auto"/>
                      <w:kern w:val="0"/>
                      <w:szCs w:val="21"/>
                    </w:rPr>
                  </w:pPr>
                  <w:r>
                    <w:rPr>
                      <w:rFonts w:hint="eastAsia"/>
                      <w:color w:val="auto"/>
                      <w:kern w:val="0"/>
                      <w:szCs w:val="21"/>
                    </w:rPr>
                    <w:t>钦州港经济技术开发区重点管控单元</w:t>
                  </w:r>
                </w:p>
              </w:tc>
            </w:tr>
            <w:tr w14:paraId="7838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791" w:type="dxa"/>
                  <w:vMerge w:val="continue"/>
                  <w:vAlign w:val="center"/>
                </w:tcPr>
                <w:p w14:paraId="2A450868">
                  <w:pPr>
                    <w:widowControl/>
                    <w:jc w:val="left"/>
                    <w:rPr>
                      <w:color w:val="auto"/>
                      <w:szCs w:val="21"/>
                    </w:rPr>
                  </w:pPr>
                </w:p>
              </w:tc>
              <w:tc>
                <w:tcPr>
                  <w:tcW w:w="751" w:type="dxa"/>
                  <w:vMerge w:val="continue"/>
                  <w:vAlign w:val="center"/>
                </w:tcPr>
                <w:p w14:paraId="28C091C7">
                  <w:pPr>
                    <w:widowControl/>
                    <w:jc w:val="left"/>
                    <w:rPr>
                      <w:color w:val="auto"/>
                      <w:szCs w:val="21"/>
                    </w:rPr>
                  </w:pPr>
                </w:p>
              </w:tc>
              <w:tc>
                <w:tcPr>
                  <w:tcW w:w="1517" w:type="dxa"/>
                  <w:vMerge w:val="continue"/>
                  <w:shd w:val="clear" w:color="auto" w:fill="B8CCE4" w:themeFill="accent1" w:themeFillTint="66"/>
                  <w:vAlign w:val="center"/>
                </w:tcPr>
                <w:p w14:paraId="5AA0C0D6">
                  <w:pPr>
                    <w:widowControl/>
                    <w:jc w:val="left"/>
                    <w:rPr>
                      <w:color w:val="auto"/>
                      <w:szCs w:val="21"/>
                    </w:rPr>
                  </w:pPr>
                </w:p>
              </w:tc>
              <w:tc>
                <w:tcPr>
                  <w:tcW w:w="4138" w:type="dxa"/>
                  <w:tcMar>
                    <w:top w:w="15" w:type="dxa"/>
                    <w:left w:w="15" w:type="dxa"/>
                    <w:bottom w:w="0" w:type="dxa"/>
                    <w:right w:w="15" w:type="dxa"/>
                  </w:tcMar>
                  <w:vAlign w:val="center"/>
                </w:tcPr>
                <w:p w14:paraId="27569D72">
                  <w:pPr>
                    <w:widowControl/>
                    <w:adjustRightInd w:val="0"/>
                    <w:snapToGrid w:val="0"/>
                    <w:textAlignment w:val="center"/>
                    <w:rPr>
                      <w:color w:val="auto"/>
                      <w:kern w:val="0"/>
                      <w:szCs w:val="21"/>
                    </w:rPr>
                  </w:pPr>
                  <w:r>
                    <w:rPr>
                      <w:rFonts w:hint="eastAsia"/>
                      <w:color w:val="auto"/>
                      <w:kern w:val="0"/>
                      <w:szCs w:val="21"/>
                    </w:rPr>
                    <w:t>钦南区金窝工业区重点管控单元</w:t>
                  </w:r>
                </w:p>
              </w:tc>
            </w:tr>
            <w:tr w14:paraId="4ADB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791" w:type="dxa"/>
                  <w:vMerge w:val="continue"/>
                  <w:vAlign w:val="center"/>
                </w:tcPr>
                <w:p w14:paraId="3FA113B9">
                  <w:pPr>
                    <w:widowControl/>
                    <w:jc w:val="left"/>
                    <w:rPr>
                      <w:color w:val="auto"/>
                      <w:szCs w:val="21"/>
                    </w:rPr>
                  </w:pPr>
                </w:p>
              </w:tc>
              <w:tc>
                <w:tcPr>
                  <w:tcW w:w="751" w:type="dxa"/>
                  <w:vMerge w:val="continue"/>
                  <w:vAlign w:val="center"/>
                </w:tcPr>
                <w:p w14:paraId="493F6853">
                  <w:pPr>
                    <w:widowControl/>
                    <w:jc w:val="left"/>
                    <w:rPr>
                      <w:color w:val="auto"/>
                      <w:szCs w:val="21"/>
                    </w:rPr>
                  </w:pPr>
                </w:p>
              </w:tc>
              <w:tc>
                <w:tcPr>
                  <w:tcW w:w="1517" w:type="dxa"/>
                  <w:vMerge w:val="continue"/>
                  <w:shd w:val="clear" w:color="auto" w:fill="B8CCE4" w:themeFill="accent1" w:themeFillTint="66"/>
                  <w:vAlign w:val="center"/>
                </w:tcPr>
                <w:p w14:paraId="6A76B0B1">
                  <w:pPr>
                    <w:widowControl/>
                    <w:jc w:val="left"/>
                    <w:rPr>
                      <w:color w:val="auto"/>
                      <w:szCs w:val="21"/>
                    </w:rPr>
                  </w:pPr>
                </w:p>
              </w:tc>
              <w:tc>
                <w:tcPr>
                  <w:tcW w:w="4138" w:type="dxa"/>
                  <w:tcMar>
                    <w:top w:w="15" w:type="dxa"/>
                    <w:left w:w="15" w:type="dxa"/>
                    <w:bottom w:w="0" w:type="dxa"/>
                    <w:right w:w="15" w:type="dxa"/>
                  </w:tcMar>
                  <w:vAlign w:val="center"/>
                </w:tcPr>
                <w:p w14:paraId="35D20EC3">
                  <w:pPr>
                    <w:widowControl/>
                    <w:adjustRightInd w:val="0"/>
                    <w:snapToGrid w:val="0"/>
                    <w:textAlignment w:val="center"/>
                    <w:rPr>
                      <w:color w:val="auto"/>
                      <w:kern w:val="0"/>
                      <w:szCs w:val="21"/>
                    </w:rPr>
                  </w:pPr>
                  <w:r>
                    <w:rPr>
                      <w:rFonts w:hint="eastAsia"/>
                      <w:color w:val="auto"/>
                      <w:kern w:val="0"/>
                      <w:szCs w:val="21"/>
                    </w:rPr>
                    <w:t>中国－马来西亚钦州产业园区重点管控单元</w:t>
                  </w:r>
                </w:p>
              </w:tc>
            </w:tr>
            <w:tr w14:paraId="1AD3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791" w:type="dxa"/>
                  <w:vMerge w:val="continue"/>
                  <w:vAlign w:val="center"/>
                </w:tcPr>
                <w:p w14:paraId="2DD171D0">
                  <w:pPr>
                    <w:widowControl/>
                    <w:jc w:val="left"/>
                    <w:rPr>
                      <w:color w:val="auto"/>
                      <w:szCs w:val="21"/>
                    </w:rPr>
                  </w:pPr>
                </w:p>
              </w:tc>
              <w:tc>
                <w:tcPr>
                  <w:tcW w:w="751" w:type="dxa"/>
                  <w:vMerge w:val="continue"/>
                  <w:vAlign w:val="center"/>
                </w:tcPr>
                <w:p w14:paraId="2B8992F4">
                  <w:pPr>
                    <w:widowControl/>
                    <w:jc w:val="left"/>
                    <w:rPr>
                      <w:color w:val="auto"/>
                      <w:szCs w:val="21"/>
                    </w:rPr>
                  </w:pPr>
                </w:p>
              </w:tc>
              <w:tc>
                <w:tcPr>
                  <w:tcW w:w="1517" w:type="dxa"/>
                  <w:vMerge w:val="continue"/>
                  <w:shd w:val="clear" w:color="auto" w:fill="B8CCE4" w:themeFill="accent1" w:themeFillTint="66"/>
                  <w:vAlign w:val="center"/>
                </w:tcPr>
                <w:p w14:paraId="7D3F7DC7">
                  <w:pPr>
                    <w:widowControl/>
                    <w:jc w:val="left"/>
                    <w:rPr>
                      <w:color w:val="auto"/>
                      <w:szCs w:val="21"/>
                    </w:rPr>
                  </w:pPr>
                </w:p>
              </w:tc>
              <w:tc>
                <w:tcPr>
                  <w:tcW w:w="4138" w:type="dxa"/>
                  <w:tcMar>
                    <w:top w:w="15" w:type="dxa"/>
                    <w:left w:w="15" w:type="dxa"/>
                    <w:bottom w:w="0" w:type="dxa"/>
                    <w:right w:w="15" w:type="dxa"/>
                  </w:tcMar>
                  <w:vAlign w:val="center"/>
                </w:tcPr>
                <w:p w14:paraId="2FB4DBDE">
                  <w:pPr>
                    <w:widowControl/>
                    <w:adjustRightInd w:val="0"/>
                    <w:snapToGrid w:val="0"/>
                    <w:textAlignment w:val="center"/>
                    <w:rPr>
                      <w:color w:val="auto"/>
                      <w:kern w:val="0"/>
                      <w:szCs w:val="21"/>
                    </w:rPr>
                  </w:pPr>
                  <w:r>
                    <w:rPr>
                      <w:rFonts w:hint="eastAsia"/>
                      <w:color w:val="auto"/>
                      <w:kern w:val="0"/>
                      <w:szCs w:val="21"/>
                    </w:rPr>
                    <w:t>钦南区城镇空间重点管控单元</w:t>
                  </w:r>
                </w:p>
              </w:tc>
            </w:tr>
            <w:tr w14:paraId="1020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791" w:type="dxa"/>
                  <w:vMerge w:val="continue"/>
                  <w:vAlign w:val="center"/>
                </w:tcPr>
                <w:p w14:paraId="410F8D29">
                  <w:pPr>
                    <w:widowControl/>
                    <w:jc w:val="left"/>
                    <w:rPr>
                      <w:color w:val="auto"/>
                      <w:szCs w:val="21"/>
                    </w:rPr>
                  </w:pPr>
                </w:p>
              </w:tc>
              <w:tc>
                <w:tcPr>
                  <w:tcW w:w="751" w:type="dxa"/>
                  <w:vMerge w:val="continue"/>
                  <w:vAlign w:val="center"/>
                </w:tcPr>
                <w:p w14:paraId="16FC29F5">
                  <w:pPr>
                    <w:widowControl/>
                    <w:jc w:val="left"/>
                    <w:rPr>
                      <w:color w:val="auto"/>
                      <w:szCs w:val="21"/>
                    </w:rPr>
                  </w:pPr>
                </w:p>
              </w:tc>
              <w:tc>
                <w:tcPr>
                  <w:tcW w:w="1517" w:type="dxa"/>
                  <w:vMerge w:val="continue"/>
                  <w:shd w:val="clear" w:color="auto" w:fill="B8CCE4" w:themeFill="accent1" w:themeFillTint="66"/>
                  <w:vAlign w:val="center"/>
                </w:tcPr>
                <w:p w14:paraId="2B1E3555">
                  <w:pPr>
                    <w:widowControl/>
                    <w:jc w:val="left"/>
                    <w:rPr>
                      <w:color w:val="auto"/>
                      <w:szCs w:val="21"/>
                    </w:rPr>
                  </w:pPr>
                </w:p>
              </w:tc>
              <w:tc>
                <w:tcPr>
                  <w:tcW w:w="4138" w:type="dxa"/>
                  <w:tcMar>
                    <w:top w:w="15" w:type="dxa"/>
                    <w:left w:w="15" w:type="dxa"/>
                    <w:bottom w:w="0" w:type="dxa"/>
                    <w:right w:w="15" w:type="dxa"/>
                  </w:tcMar>
                  <w:vAlign w:val="center"/>
                </w:tcPr>
                <w:p w14:paraId="42350AF8">
                  <w:pPr>
                    <w:widowControl/>
                    <w:adjustRightInd w:val="0"/>
                    <w:snapToGrid w:val="0"/>
                    <w:textAlignment w:val="center"/>
                    <w:rPr>
                      <w:color w:val="auto"/>
                      <w:kern w:val="0"/>
                      <w:szCs w:val="21"/>
                    </w:rPr>
                  </w:pPr>
                  <w:r>
                    <w:rPr>
                      <w:rFonts w:hint="eastAsia"/>
                      <w:color w:val="auto"/>
                      <w:kern w:val="0"/>
                      <w:szCs w:val="21"/>
                    </w:rPr>
                    <w:t>钦南区布局敏感区重点管控单元</w:t>
                  </w:r>
                </w:p>
              </w:tc>
            </w:tr>
            <w:tr w14:paraId="1D64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791" w:type="dxa"/>
                  <w:vMerge w:val="continue"/>
                  <w:vAlign w:val="center"/>
                </w:tcPr>
                <w:p w14:paraId="2F2DEE34">
                  <w:pPr>
                    <w:widowControl/>
                    <w:jc w:val="left"/>
                    <w:rPr>
                      <w:color w:val="auto"/>
                      <w:szCs w:val="21"/>
                    </w:rPr>
                  </w:pPr>
                </w:p>
              </w:tc>
              <w:tc>
                <w:tcPr>
                  <w:tcW w:w="751" w:type="dxa"/>
                  <w:vMerge w:val="continue"/>
                  <w:vAlign w:val="center"/>
                </w:tcPr>
                <w:p w14:paraId="2B488CD6">
                  <w:pPr>
                    <w:widowControl/>
                    <w:jc w:val="left"/>
                    <w:rPr>
                      <w:color w:val="auto"/>
                      <w:szCs w:val="21"/>
                    </w:rPr>
                  </w:pPr>
                </w:p>
              </w:tc>
              <w:tc>
                <w:tcPr>
                  <w:tcW w:w="1517" w:type="dxa"/>
                  <w:vMerge w:val="continue"/>
                  <w:shd w:val="clear" w:color="auto" w:fill="B8CCE4" w:themeFill="accent1" w:themeFillTint="66"/>
                  <w:vAlign w:val="center"/>
                </w:tcPr>
                <w:p w14:paraId="502E42DD">
                  <w:pPr>
                    <w:widowControl/>
                    <w:jc w:val="left"/>
                    <w:rPr>
                      <w:color w:val="auto"/>
                      <w:szCs w:val="21"/>
                    </w:rPr>
                  </w:pPr>
                </w:p>
              </w:tc>
              <w:tc>
                <w:tcPr>
                  <w:tcW w:w="4138" w:type="dxa"/>
                  <w:tcMar>
                    <w:top w:w="15" w:type="dxa"/>
                    <w:left w:w="15" w:type="dxa"/>
                    <w:bottom w:w="0" w:type="dxa"/>
                    <w:right w:w="15" w:type="dxa"/>
                  </w:tcMar>
                  <w:vAlign w:val="center"/>
                </w:tcPr>
                <w:p w14:paraId="1AAD908A">
                  <w:pPr>
                    <w:widowControl/>
                    <w:adjustRightInd w:val="0"/>
                    <w:snapToGrid w:val="0"/>
                    <w:textAlignment w:val="center"/>
                    <w:rPr>
                      <w:color w:val="auto"/>
                      <w:kern w:val="0"/>
                      <w:szCs w:val="21"/>
                    </w:rPr>
                  </w:pPr>
                  <w:r>
                    <w:rPr>
                      <w:rFonts w:hint="eastAsia"/>
                      <w:color w:val="auto"/>
                      <w:kern w:val="0"/>
                      <w:szCs w:val="21"/>
                    </w:rPr>
                    <w:t>钦南区其他重点管控单元</w:t>
                  </w:r>
                </w:p>
              </w:tc>
            </w:tr>
            <w:tr w14:paraId="11CA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trPr>
              <w:tc>
                <w:tcPr>
                  <w:tcW w:w="791" w:type="dxa"/>
                  <w:vMerge w:val="continue"/>
                  <w:vAlign w:val="center"/>
                </w:tcPr>
                <w:p w14:paraId="361F9746">
                  <w:pPr>
                    <w:widowControl/>
                    <w:jc w:val="left"/>
                    <w:rPr>
                      <w:color w:val="auto"/>
                      <w:szCs w:val="21"/>
                    </w:rPr>
                  </w:pPr>
                </w:p>
              </w:tc>
              <w:tc>
                <w:tcPr>
                  <w:tcW w:w="751" w:type="dxa"/>
                  <w:vMerge w:val="continue"/>
                  <w:vAlign w:val="center"/>
                </w:tcPr>
                <w:p w14:paraId="5A236B26">
                  <w:pPr>
                    <w:widowControl/>
                    <w:jc w:val="left"/>
                    <w:rPr>
                      <w:color w:val="auto"/>
                      <w:szCs w:val="21"/>
                    </w:rPr>
                  </w:pPr>
                </w:p>
              </w:tc>
              <w:tc>
                <w:tcPr>
                  <w:tcW w:w="1517" w:type="dxa"/>
                  <w:tcMar>
                    <w:top w:w="15" w:type="dxa"/>
                    <w:left w:w="15" w:type="dxa"/>
                    <w:bottom w:w="0" w:type="dxa"/>
                    <w:right w:w="15" w:type="dxa"/>
                  </w:tcMar>
                  <w:vAlign w:val="center"/>
                </w:tcPr>
                <w:p w14:paraId="2389B4FE">
                  <w:pPr>
                    <w:widowControl/>
                    <w:adjustRightInd w:val="0"/>
                    <w:snapToGrid w:val="0"/>
                    <w:jc w:val="center"/>
                    <w:textAlignment w:val="center"/>
                    <w:rPr>
                      <w:color w:val="auto"/>
                      <w:szCs w:val="21"/>
                    </w:rPr>
                  </w:pPr>
                  <w:r>
                    <w:rPr>
                      <w:color w:val="auto"/>
                      <w:szCs w:val="21"/>
                    </w:rPr>
                    <w:t>一般管控单元</w:t>
                  </w:r>
                </w:p>
              </w:tc>
              <w:tc>
                <w:tcPr>
                  <w:tcW w:w="4138" w:type="dxa"/>
                  <w:tcMar>
                    <w:top w:w="15" w:type="dxa"/>
                    <w:left w:w="15" w:type="dxa"/>
                    <w:bottom w:w="0" w:type="dxa"/>
                    <w:right w:w="15" w:type="dxa"/>
                  </w:tcMar>
                  <w:vAlign w:val="center"/>
                </w:tcPr>
                <w:p w14:paraId="6186D2A5">
                  <w:pPr>
                    <w:widowControl/>
                    <w:adjustRightInd w:val="0"/>
                    <w:snapToGrid w:val="0"/>
                    <w:textAlignment w:val="center"/>
                    <w:rPr>
                      <w:color w:val="auto"/>
                      <w:kern w:val="0"/>
                      <w:szCs w:val="21"/>
                    </w:rPr>
                  </w:pPr>
                  <w:r>
                    <w:rPr>
                      <w:rFonts w:hint="eastAsia"/>
                      <w:color w:val="auto"/>
                      <w:kern w:val="0"/>
                      <w:szCs w:val="21"/>
                    </w:rPr>
                    <w:t>钦南区一般管控单元</w:t>
                  </w:r>
                </w:p>
              </w:tc>
            </w:tr>
          </w:tbl>
          <w:p w14:paraId="391D2CA0">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textAlignment w:val="auto"/>
              <w:rPr>
                <w:color w:val="auto"/>
                <w:kern w:val="0"/>
                <w:sz w:val="24"/>
              </w:rPr>
            </w:pPr>
            <w:r>
              <w:rPr>
                <w:color w:val="auto"/>
                <w:kern w:val="0"/>
                <w:sz w:val="24"/>
              </w:rPr>
              <w:t>根据</w:t>
            </w:r>
            <w:r>
              <w:rPr>
                <w:rFonts w:hint="eastAsia"/>
                <w:color w:val="auto"/>
                <w:kern w:val="0"/>
                <w:sz w:val="24"/>
              </w:rPr>
              <w:t>钦州</w:t>
            </w:r>
            <w:r>
              <w:rPr>
                <w:color w:val="auto"/>
                <w:kern w:val="0"/>
                <w:sz w:val="24"/>
              </w:rPr>
              <w:t>市生态环境准入及管控要求清单，本项目不在生态红线范围内，属于重点管控单元中广西钦州石化产业园</w:t>
            </w:r>
            <w:r>
              <w:rPr>
                <w:rFonts w:hint="eastAsia"/>
                <w:color w:val="auto"/>
                <w:kern w:val="0"/>
                <w:sz w:val="24"/>
                <w:lang w:eastAsia="zh-CN"/>
              </w:rPr>
              <w:t>重点管控单元</w:t>
            </w:r>
            <w:r>
              <w:rPr>
                <w:color w:val="auto"/>
                <w:kern w:val="0"/>
                <w:sz w:val="24"/>
              </w:rPr>
              <w:t>。</w:t>
            </w:r>
          </w:p>
          <w:p w14:paraId="4A1AA8C8">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textAlignment w:val="auto"/>
              <w:rPr>
                <w:color w:val="auto"/>
                <w:kern w:val="0"/>
                <w:sz w:val="24"/>
                <w:highlight w:val="yellow"/>
              </w:rPr>
            </w:pPr>
            <w:r>
              <w:rPr>
                <w:color w:val="auto"/>
                <w:kern w:val="0"/>
                <w:sz w:val="24"/>
              </w:rPr>
              <w:t>项目符合</w:t>
            </w:r>
            <w:r>
              <w:rPr>
                <w:rFonts w:hint="eastAsia"/>
                <w:color w:val="auto"/>
                <w:kern w:val="0"/>
                <w:sz w:val="24"/>
              </w:rPr>
              <w:t>《钦州市人民政府关于印发钦州市“三线一单”生态环境分区管控实施意见的通知》（钦政发﹝2021﹞13号）</w:t>
            </w:r>
            <w:r>
              <w:rPr>
                <w:color w:val="auto"/>
                <w:kern w:val="0"/>
                <w:sz w:val="24"/>
              </w:rPr>
              <w:t>中附件3和4的空间布局约束、污染物排放管控、环境风险防控、资源开发利用效率要求</w:t>
            </w:r>
            <w:r>
              <w:rPr>
                <w:rFonts w:hint="eastAsia"/>
                <w:color w:val="auto"/>
                <w:kern w:val="0"/>
                <w:sz w:val="24"/>
              </w:rPr>
              <w:t>（见表1-</w:t>
            </w:r>
            <w:r>
              <w:rPr>
                <w:rFonts w:hint="eastAsia"/>
                <w:color w:val="auto"/>
                <w:kern w:val="0"/>
                <w:sz w:val="24"/>
                <w:lang w:val="en-US" w:eastAsia="zh-CN"/>
              </w:rPr>
              <w:t>3</w:t>
            </w:r>
            <w:r>
              <w:rPr>
                <w:rFonts w:hint="eastAsia"/>
                <w:color w:val="auto"/>
                <w:kern w:val="0"/>
                <w:sz w:val="24"/>
              </w:rPr>
              <w:t>）</w:t>
            </w:r>
            <w:r>
              <w:rPr>
                <w:color w:val="auto"/>
                <w:kern w:val="0"/>
                <w:sz w:val="24"/>
              </w:rPr>
              <w:t>，项目建设符合</w:t>
            </w:r>
            <w:r>
              <w:rPr>
                <w:rFonts w:hint="eastAsia"/>
                <w:color w:val="auto"/>
                <w:kern w:val="0"/>
                <w:sz w:val="24"/>
              </w:rPr>
              <w:t>钦州</w:t>
            </w:r>
            <w:r>
              <w:rPr>
                <w:color w:val="auto"/>
                <w:kern w:val="0"/>
                <w:sz w:val="24"/>
              </w:rPr>
              <w:t>市重点生态功能区产业生态环境准入清单和广西钦州石化产业园“三线一单”的要求。</w:t>
            </w:r>
          </w:p>
          <w:p w14:paraId="0C468507">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textAlignment w:val="auto"/>
              <w:rPr>
                <w:color w:val="auto"/>
                <w:kern w:val="0"/>
                <w:sz w:val="24"/>
              </w:rPr>
            </w:pPr>
            <w:r>
              <w:rPr>
                <w:color w:val="auto"/>
                <w:kern w:val="0"/>
                <w:sz w:val="24"/>
              </w:rPr>
              <w:t>（2）资源利用上线</w:t>
            </w:r>
          </w:p>
          <w:p w14:paraId="3ECA5D0D">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textAlignment w:val="auto"/>
              <w:rPr>
                <w:color w:val="auto"/>
                <w:kern w:val="0"/>
                <w:sz w:val="24"/>
              </w:rPr>
            </w:pPr>
            <w:r>
              <w:rPr>
                <w:color w:val="auto"/>
                <w:kern w:val="0"/>
                <w:sz w:val="24"/>
              </w:rPr>
              <w:t>项目</w:t>
            </w:r>
            <w:r>
              <w:rPr>
                <w:rFonts w:hint="eastAsia"/>
                <w:color w:val="auto"/>
                <w:kern w:val="0"/>
                <w:sz w:val="24"/>
              </w:rPr>
              <w:t>为管廊迁改，是基础配套工程</w:t>
            </w:r>
            <w:r>
              <w:rPr>
                <w:color w:val="auto"/>
                <w:kern w:val="0"/>
                <w:sz w:val="24"/>
              </w:rPr>
              <w:t>，不属于能源开发、利用项目；项目运营期间</w:t>
            </w:r>
            <w:r>
              <w:rPr>
                <w:rFonts w:hint="eastAsia"/>
                <w:color w:val="auto"/>
                <w:kern w:val="0"/>
                <w:sz w:val="24"/>
              </w:rPr>
              <w:t>不消耗水、电等资源，</w:t>
            </w:r>
            <w:r>
              <w:rPr>
                <w:color w:val="auto"/>
                <w:kern w:val="0"/>
                <w:sz w:val="24"/>
              </w:rPr>
              <w:t>项目的建设不会突破资源利用上线。</w:t>
            </w:r>
          </w:p>
          <w:p w14:paraId="13CA08BD">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textAlignment w:val="auto"/>
              <w:rPr>
                <w:color w:val="auto"/>
                <w:kern w:val="0"/>
                <w:sz w:val="24"/>
              </w:rPr>
            </w:pPr>
            <w:r>
              <w:rPr>
                <w:color w:val="auto"/>
                <w:kern w:val="0"/>
                <w:sz w:val="24"/>
              </w:rPr>
              <w:t>（3）环境质量底线</w:t>
            </w:r>
          </w:p>
          <w:p w14:paraId="1519E744">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textAlignment w:val="auto"/>
              <w:rPr>
                <w:color w:val="auto"/>
                <w:kern w:val="0"/>
                <w:sz w:val="24"/>
              </w:rPr>
            </w:pPr>
            <w:r>
              <w:rPr>
                <w:color w:val="auto"/>
                <w:kern w:val="0"/>
                <w:sz w:val="24"/>
              </w:rPr>
              <w:t>项目所在区域空气环境质量满足《环境空气质量标准》（GB3095-2012）及其修改单的二级标准要求；项目所在地满足《声环境质量标准》（GB3096-2008）3类标准；区域环境质量良好。在采取相应环保措施后，不会造成区域环境质量下降，项目建设对区域环境质量影响不大。项目的建设符合环境质量底线要求。</w:t>
            </w:r>
          </w:p>
          <w:p w14:paraId="663B275F">
            <w:pPr>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textAlignment w:val="auto"/>
              <w:rPr>
                <w:color w:val="auto"/>
                <w:kern w:val="0"/>
                <w:sz w:val="24"/>
              </w:rPr>
            </w:pPr>
            <w:r>
              <w:rPr>
                <w:color w:val="auto"/>
                <w:kern w:val="0"/>
                <w:sz w:val="24"/>
              </w:rPr>
              <w:t>（4）环境准入负面清单</w:t>
            </w:r>
          </w:p>
          <w:p w14:paraId="4B642FC0">
            <w:pPr>
              <w:keepNext w:val="0"/>
              <w:keepLines w:val="0"/>
              <w:pageBreakBefore w:val="0"/>
              <w:widowControl w:val="0"/>
              <w:kinsoku/>
              <w:wordWrap/>
              <w:overflowPunct/>
              <w:topLinePunct w:val="0"/>
              <w:autoSpaceDE w:val="0"/>
              <w:autoSpaceDN w:val="0"/>
              <w:bidi w:val="0"/>
              <w:adjustRightInd w:val="0"/>
              <w:spacing w:after="0" w:line="360" w:lineRule="auto"/>
              <w:ind w:firstLine="480" w:firstLineChars="200"/>
              <w:jc w:val="left"/>
              <w:textAlignment w:val="auto"/>
              <w:rPr>
                <w:color w:val="auto"/>
                <w:kern w:val="0"/>
                <w:sz w:val="24"/>
              </w:rPr>
            </w:pPr>
            <w:r>
              <w:rPr>
                <w:color w:val="auto"/>
                <w:kern w:val="0"/>
                <w:sz w:val="24"/>
              </w:rPr>
              <w:t>根据</w:t>
            </w:r>
            <w:r>
              <w:rPr>
                <w:rFonts w:hint="eastAsia"/>
                <w:color w:val="auto"/>
                <w:sz w:val="24"/>
              </w:rPr>
              <w:t>《广西钦州石化产业园总体发展规划（2020-2035）环境影响报告书》</w:t>
            </w:r>
            <w:r>
              <w:rPr>
                <w:color w:val="auto"/>
                <w:kern w:val="0"/>
                <w:sz w:val="24"/>
              </w:rPr>
              <w:t>及其审查意见，项目不属于</w:t>
            </w:r>
            <w:r>
              <w:rPr>
                <w:rFonts w:hint="eastAsia"/>
                <w:color w:val="auto"/>
                <w:kern w:val="0"/>
                <w:sz w:val="24"/>
                <w:lang w:val="en-US" w:eastAsia="zh-CN"/>
              </w:rPr>
              <w:t>①</w:t>
            </w:r>
            <w:r>
              <w:rPr>
                <w:color w:val="auto"/>
                <w:kern w:val="0"/>
                <w:sz w:val="24"/>
              </w:rPr>
              <w:t>《市场准入负面清单（2019年版）》；</w:t>
            </w:r>
            <w:r>
              <w:rPr>
                <w:rFonts w:hint="eastAsia"/>
                <w:color w:val="auto"/>
                <w:kern w:val="0"/>
                <w:sz w:val="24"/>
                <w:lang w:val="en-US" w:eastAsia="zh-CN"/>
              </w:rPr>
              <w:t>②</w:t>
            </w:r>
            <w:r>
              <w:rPr>
                <w:color w:val="auto"/>
                <w:kern w:val="0"/>
                <w:sz w:val="24"/>
              </w:rPr>
              <w:t>不符合园区的产业定位和产业发展规划的项目；</w:t>
            </w:r>
            <w:r>
              <w:rPr>
                <w:rFonts w:hint="eastAsia"/>
                <w:color w:val="auto"/>
                <w:kern w:val="0"/>
                <w:sz w:val="24"/>
                <w:lang w:val="en-US" w:eastAsia="zh-CN"/>
              </w:rPr>
              <w:t>③</w:t>
            </w:r>
            <w:r>
              <w:rPr>
                <w:color w:val="auto"/>
                <w:kern w:val="0"/>
                <w:sz w:val="24"/>
              </w:rPr>
              <w:t>《产业结构调整指导目录（2019年本）》限制类、淘汰类项目；</w:t>
            </w:r>
            <w:r>
              <w:rPr>
                <w:rFonts w:hint="eastAsia"/>
                <w:color w:val="auto"/>
                <w:kern w:val="0"/>
                <w:sz w:val="24"/>
                <w:lang w:val="en-US" w:eastAsia="zh-CN"/>
              </w:rPr>
              <w:t>④</w:t>
            </w:r>
            <w:r>
              <w:rPr>
                <w:color w:val="auto"/>
                <w:kern w:val="0"/>
                <w:sz w:val="24"/>
              </w:rPr>
              <w:t>不符合地方产业指导名录规定的项目；</w:t>
            </w:r>
            <w:r>
              <w:rPr>
                <w:rFonts w:hint="eastAsia"/>
                <w:color w:val="auto"/>
                <w:kern w:val="0"/>
                <w:sz w:val="24"/>
                <w:lang w:val="en-US" w:eastAsia="zh-CN"/>
              </w:rPr>
              <w:t>⑤</w:t>
            </w:r>
            <w:r>
              <w:rPr>
                <w:color w:val="auto"/>
                <w:kern w:val="0"/>
                <w:sz w:val="24"/>
              </w:rPr>
              <w:t>工艺技术落后，不符合广西、钦州产业发展方向，不符合行业准入条件和有关规定，不利于地方产业结构优化升级，需要督促改造和禁止新建的装备及产品</w:t>
            </w:r>
            <w:r>
              <w:rPr>
                <w:rFonts w:hint="eastAsia"/>
                <w:color w:val="auto"/>
                <w:kern w:val="0"/>
                <w:sz w:val="24"/>
                <w:lang w:eastAsia="zh-CN"/>
              </w:rPr>
              <w:t>；</w:t>
            </w:r>
            <w:r>
              <w:rPr>
                <w:rFonts w:hint="eastAsia"/>
                <w:color w:val="auto"/>
                <w:kern w:val="0"/>
                <w:sz w:val="24"/>
                <w:lang w:val="en-US" w:eastAsia="zh-CN"/>
              </w:rPr>
              <w:t>⑥</w:t>
            </w:r>
            <w:r>
              <w:rPr>
                <w:color w:val="auto"/>
                <w:kern w:val="0"/>
                <w:sz w:val="24"/>
              </w:rPr>
              <w:t>不符合国家、地方有关法律法规规定，严重浪费资源、污染环境、不具备安全生产条件，需要淘汰的落后工艺技术、装备及产品的项目。</w:t>
            </w:r>
          </w:p>
          <w:p w14:paraId="38EDC930">
            <w:pPr>
              <w:keepNext w:val="0"/>
              <w:keepLines w:val="0"/>
              <w:pageBreakBefore w:val="0"/>
              <w:widowControl w:val="0"/>
              <w:kinsoku/>
              <w:wordWrap/>
              <w:overflowPunct/>
              <w:topLinePunct w:val="0"/>
              <w:autoSpaceDE w:val="0"/>
              <w:autoSpaceDN w:val="0"/>
              <w:bidi w:val="0"/>
              <w:adjustRightInd w:val="0"/>
              <w:spacing w:after="0" w:line="360" w:lineRule="auto"/>
              <w:ind w:firstLine="480" w:firstLineChars="200"/>
              <w:jc w:val="left"/>
              <w:textAlignment w:val="auto"/>
              <w:rPr>
                <w:color w:val="auto"/>
                <w:kern w:val="0"/>
                <w:sz w:val="24"/>
              </w:rPr>
            </w:pPr>
            <w:r>
              <w:rPr>
                <w:color w:val="auto"/>
                <w:kern w:val="0"/>
                <w:sz w:val="24"/>
              </w:rPr>
              <w:t>（5）与</w:t>
            </w:r>
            <w:r>
              <w:rPr>
                <w:rFonts w:hint="eastAsia"/>
                <w:color w:val="auto"/>
                <w:kern w:val="0"/>
                <w:sz w:val="24"/>
              </w:rPr>
              <w:t>《钦州市生态环境分区管控动态更新成果（2023版）》</w:t>
            </w:r>
            <w:r>
              <w:rPr>
                <w:color w:val="auto"/>
                <w:kern w:val="0"/>
                <w:sz w:val="24"/>
              </w:rPr>
              <w:t>符合性</w:t>
            </w:r>
          </w:p>
          <w:p w14:paraId="0F8B4955">
            <w:pPr>
              <w:keepNext w:val="0"/>
              <w:keepLines w:val="0"/>
              <w:pageBreakBefore w:val="0"/>
              <w:widowControl w:val="0"/>
              <w:kinsoku/>
              <w:wordWrap/>
              <w:overflowPunct/>
              <w:topLinePunct w:val="0"/>
              <w:autoSpaceDE w:val="0"/>
              <w:autoSpaceDN w:val="0"/>
              <w:bidi w:val="0"/>
              <w:adjustRightInd w:val="0"/>
              <w:spacing w:after="0" w:line="360" w:lineRule="auto"/>
              <w:ind w:firstLine="488" w:firstLineChars="200"/>
              <w:jc w:val="left"/>
              <w:textAlignment w:val="auto"/>
              <w:rPr>
                <w:color w:val="auto"/>
                <w:spacing w:val="2"/>
                <w:sz w:val="24"/>
              </w:rPr>
            </w:pPr>
            <w:r>
              <w:rPr>
                <w:rFonts w:hint="eastAsia"/>
                <w:color w:val="auto"/>
                <w:spacing w:val="2"/>
                <w:sz w:val="24"/>
              </w:rPr>
              <w:t>本项目符合</w:t>
            </w:r>
            <w:r>
              <w:rPr>
                <w:rFonts w:hint="eastAsia"/>
                <w:color w:val="auto"/>
                <w:kern w:val="0"/>
                <w:sz w:val="24"/>
              </w:rPr>
              <w:t>钦州</w:t>
            </w:r>
            <w:r>
              <w:rPr>
                <w:rFonts w:hint="eastAsia"/>
                <w:color w:val="auto"/>
                <w:spacing w:val="2"/>
                <w:sz w:val="24"/>
              </w:rPr>
              <w:t>市环境分区管控动态更新成果（2023年）中</w:t>
            </w:r>
            <w:r>
              <w:rPr>
                <w:color w:val="auto"/>
                <w:kern w:val="0"/>
                <w:sz w:val="24"/>
              </w:rPr>
              <w:t>广西钦州石化产业园</w:t>
            </w:r>
            <w:r>
              <w:rPr>
                <w:rFonts w:hint="eastAsia"/>
                <w:color w:val="auto"/>
                <w:spacing w:val="2"/>
                <w:sz w:val="24"/>
              </w:rPr>
              <w:t>重点管控单元要求，详见表1-3。</w:t>
            </w:r>
          </w:p>
          <w:p w14:paraId="503F26EA">
            <w:pPr>
              <w:autoSpaceDE w:val="0"/>
              <w:autoSpaceDN w:val="0"/>
              <w:adjustRightInd w:val="0"/>
              <w:snapToGrid w:val="0"/>
              <w:spacing w:line="360" w:lineRule="auto"/>
              <w:ind w:firstLine="422" w:firstLineChars="200"/>
              <w:jc w:val="center"/>
              <w:rPr>
                <w:b/>
                <w:color w:val="auto"/>
                <w:sz w:val="22"/>
              </w:rPr>
            </w:pPr>
            <w:r>
              <w:rPr>
                <w:b/>
                <w:color w:val="auto"/>
              </w:rPr>
              <w:t>表1-</w:t>
            </w:r>
            <w:r>
              <w:rPr>
                <w:rFonts w:hint="eastAsia"/>
                <w:b/>
                <w:color w:val="auto"/>
                <w:lang w:val="en-US" w:eastAsia="zh-CN"/>
              </w:rPr>
              <w:t>3</w:t>
            </w:r>
            <w:r>
              <w:rPr>
                <w:rFonts w:hint="eastAsia"/>
                <w:b/>
                <w:color w:val="auto"/>
              </w:rPr>
              <w:t xml:space="preserve"> 钦州</w:t>
            </w:r>
            <w:r>
              <w:rPr>
                <w:b/>
                <w:color w:val="auto"/>
              </w:rPr>
              <w:t>市生态环境准入及管控要求清</w:t>
            </w:r>
            <w:r>
              <w:rPr>
                <w:b/>
                <w:color w:val="auto"/>
                <w:sz w:val="22"/>
              </w:rPr>
              <w:t>单</w:t>
            </w:r>
          </w:p>
          <w:tbl>
            <w:tblPr>
              <w:tblStyle w:val="22"/>
              <w:tblW w:w="71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4895"/>
              <w:gridCol w:w="1239"/>
              <w:gridCol w:w="577"/>
            </w:tblGrid>
            <w:tr w14:paraId="45B3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486" w:type="dxa"/>
                  <w:vAlign w:val="center"/>
                </w:tcPr>
                <w:p w14:paraId="2B30D835">
                  <w:pPr>
                    <w:pStyle w:val="50"/>
                    <w:rPr>
                      <w:b/>
                      <w:bCs/>
                      <w:color w:val="auto"/>
                    </w:rPr>
                  </w:pPr>
                  <w:r>
                    <w:rPr>
                      <w:b/>
                      <w:bCs/>
                      <w:color w:val="auto"/>
                    </w:rPr>
                    <w:t>项目</w:t>
                  </w:r>
                </w:p>
              </w:tc>
              <w:tc>
                <w:tcPr>
                  <w:tcW w:w="4895" w:type="dxa"/>
                  <w:vAlign w:val="center"/>
                </w:tcPr>
                <w:p w14:paraId="7CDDA200">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b/>
                      <w:bCs/>
                      <w:color w:val="auto"/>
                    </w:rPr>
                  </w:pPr>
                  <w:r>
                    <w:rPr>
                      <w:b/>
                      <w:bCs/>
                      <w:color w:val="auto"/>
                    </w:rPr>
                    <w:t>清单内容</w:t>
                  </w:r>
                </w:p>
              </w:tc>
              <w:tc>
                <w:tcPr>
                  <w:tcW w:w="1239" w:type="dxa"/>
                  <w:vAlign w:val="center"/>
                </w:tcPr>
                <w:p w14:paraId="31FBFF1E">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b/>
                      <w:bCs/>
                      <w:color w:val="auto"/>
                    </w:rPr>
                  </w:pPr>
                  <w:r>
                    <w:rPr>
                      <w:b/>
                      <w:bCs/>
                      <w:color w:val="auto"/>
                    </w:rPr>
                    <w:t>本项目情况</w:t>
                  </w:r>
                </w:p>
              </w:tc>
              <w:tc>
                <w:tcPr>
                  <w:tcW w:w="577" w:type="dxa"/>
                  <w:vAlign w:val="center"/>
                </w:tcPr>
                <w:p w14:paraId="01B23780">
                  <w:pPr>
                    <w:pStyle w:val="50"/>
                    <w:rPr>
                      <w:b/>
                      <w:bCs/>
                      <w:color w:val="auto"/>
                    </w:rPr>
                  </w:pPr>
                  <w:r>
                    <w:rPr>
                      <w:b/>
                      <w:bCs/>
                      <w:color w:val="auto"/>
                    </w:rPr>
                    <w:t>判断结果</w:t>
                  </w:r>
                </w:p>
              </w:tc>
            </w:tr>
            <w:tr w14:paraId="3C79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dxa"/>
                  <w:vAlign w:val="center"/>
                </w:tcPr>
                <w:p w14:paraId="67BFD5D5">
                  <w:pPr>
                    <w:pStyle w:val="50"/>
                    <w:rPr>
                      <w:color w:val="auto"/>
                    </w:rPr>
                  </w:pPr>
                  <w:r>
                    <w:rPr>
                      <w:color w:val="auto"/>
                    </w:rPr>
                    <w:t>空间布局约束</w:t>
                  </w:r>
                </w:p>
              </w:tc>
              <w:tc>
                <w:tcPr>
                  <w:tcW w:w="4895" w:type="dxa"/>
                  <w:vAlign w:val="center"/>
                </w:tcPr>
                <w:p w14:paraId="61801868">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1.引进项目清洁生产水平须达到国内同行业先进水平。不得引进与园区产业定位不符的产业。</w:t>
                  </w:r>
                </w:p>
                <w:p w14:paraId="13A757C6">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2.居住用地周边严控布局潜在污染扰民和环境风险突出的建设项目。</w:t>
                  </w:r>
                </w:p>
                <w:p w14:paraId="7B5DA1A6">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3.园区产业准入执行《广西壮族自治区人民政府办公厅关于印发北钦防一体化产业协同发展限制布局清单（工业类2021年版）的通知》（桂政办函〔2021〕4号）要求，限制新建水泥制造、建筑陶瓷制品制造、制革及毛皮加工等工业项目。</w:t>
                  </w:r>
                </w:p>
              </w:tc>
              <w:tc>
                <w:tcPr>
                  <w:tcW w:w="1239" w:type="dxa"/>
                  <w:vAlign w:val="center"/>
                </w:tcPr>
                <w:p w14:paraId="5BFF9B9F">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项目建设符合园区产业定位，运营期间落实各项措施后环境风险可控。</w:t>
                  </w:r>
                </w:p>
              </w:tc>
              <w:tc>
                <w:tcPr>
                  <w:tcW w:w="577" w:type="dxa"/>
                  <w:vAlign w:val="center"/>
                </w:tcPr>
                <w:p w14:paraId="1498D40C">
                  <w:pPr>
                    <w:pStyle w:val="50"/>
                    <w:rPr>
                      <w:color w:val="auto"/>
                    </w:rPr>
                  </w:pPr>
                  <w:r>
                    <w:rPr>
                      <w:color w:val="auto"/>
                    </w:rPr>
                    <w:t>相符</w:t>
                  </w:r>
                </w:p>
              </w:tc>
            </w:tr>
            <w:tr w14:paraId="5345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dxa"/>
                  <w:vAlign w:val="center"/>
                </w:tcPr>
                <w:p w14:paraId="44D8FB50">
                  <w:pPr>
                    <w:pStyle w:val="50"/>
                    <w:rPr>
                      <w:color w:val="auto"/>
                    </w:rPr>
                  </w:pPr>
                  <w:r>
                    <w:rPr>
                      <w:color w:val="auto"/>
                    </w:rPr>
                    <w:t>污染物排放管控</w:t>
                  </w:r>
                </w:p>
              </w:tc>
              <w:tc>
                <w:tcPr>
                  <w:tcW w:w="4895" w:type="dxa"/>
                  <w:vAlign w:val="center"/>
                </w:tcPr>
                <w:p w14:paraId="4B15547C">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1.推动石化、化工等重点行业挥发性有机物（VOCs）污染防治。推动石化行业VOCs泄漏检测与修复行动、VOCs削减和有毒有害原料替代。2.石化行业全面推进行业达标排放改造，新建、改建、扩建涉及重点重金属排放建设项目依照相关规定实行总量控制。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4.加强园区无组织废气排放管理。5.提升固体废物减量化、资源化和无害化水平，尽量实现废物的综合利用，危险废物应交由有危废处理资质的单位进行安全处置。</w:t>
                  </w:r>
                </w:p>
              </w:tc>
              <w:tc>
                <w:tcPr>
                  <w:tcW w:w="1239" w:type="dxa"/>
                  <w:vAlign w:val="center"/>
                </w:tcPr>
                <w:p w14:paraId="1EC3E716">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rFonts w:hint="eastAsia"/>
                      <w:color w:val="auto"/>
                    </w:rPr>
                    <w:t>项目是石化企业的配套基础工程，</w:t>
                  </w:r>
                  <w:r>
                    <w:rPr>
                      <w:color w:val="auto"/>
                    </w:rPr>
                    <w:t>项目</w:t>
                  </w:r>
                  <w:r>
                    <w:rPr>
                      <w:rFonts w:hint="eastAsia"/>
                      <w:color w:val="auto"/>
                    </w:rPr>
                    <w:t>不涉及废水、废气、固废排放</w:t>
                  </w:r>
                  <w:r>
                    <w:rPr>
                      <w:color w:val="auto"/>
                    </w:rPr>
                    <w:t>。</w:t>
                  </w:r>
                  <w:r>
                    <w:rPr>
                      <w:rFonts w:hint="eastAsia"/>
                      <w:color w:val="auto"/>
                    </w:rPr>
                    <w:t>施工期做好生活污水和生活垃圾的收集处理，对环境的影响较小。</w:t>
                  </w:r>
                </w:p>
              </w:tc>
              <w:tc>
                <w:tcPr>
                  <w:tcW w:w="577" w:type="dxa"/>
                  <w:vAlign w:val="center"/>
                </w:tcPr>
                <w:p w14:paraId="68D96924">
                  <w:pPr>
                    <w:pStyle w:val="50"/>
                    <w:rPr>
                      <w:color w:val="auto"/>
                    </w:rPr>
                  </w:pPr>
                  <w:r>
                    <w:rPr>
                      <w:color w:val="auto"/>
                    </w:rPr>
                    <w:t>相符</w:t>
                  </w:r>
                </w:p>
              </w:tc>
            </w:tr>
            <w:tr w14:paraId="141A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9" w:hRule="atLeast"/>
              </w:trPr>
              <w:tc>
                <w:tcPr>
                  <w:tcW w:w="486" w:type="dxa"/>
                  <w:vAlign w:val="center"/>
                </w:tcPr>
                <w:p w14:paraId="40F907C4">
                  <w:pPr>
                    <w:pStyle w:val="50"/>
                    <w:rPr>
                      <w:color w:val="auto"/>
                    </w:rPr>
                  </w:pPr>
                  <w:r>
                    <w:rPr>
                      <w:color w:val="auto"/>
                    </w:rPr>
                    <w:t>环境风险防控</w:t>
                  </w:r>
                </w:p>
              </w:tc>
              <w:tc>
                <w:tcPr>
                  <w:tcW w:w="4895" w:type="dxa"/>
                  <w:vAlign w:val="center"/>
                </w:tcPr>
                <w:p w14:paraId="1C181BA3">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1.开展环境风险评估，制定突发环境事件应急预案并备案，配备应急能力和物资，建设环境应急队伍，并定期演练。企业、园区与地方人民政府环境应急预案应当有机衔接。</w:t>
                  </w:r>
                </w:p>
                <w:p w14:paraId="50FA0043">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2.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4A5C1EC3">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3.建设项目应严格落实环境保护措施和环境风险防范措施，减缓对周边生态环境敏感区的不良影响。</w:t>
                  </w:r>
                </w:p>
              </w:tc>
              <w:tc>
                <w:tcPr>
                  <w:tcW w:w="1239" w:type="dxa"/>
                  <w:vAlign w:val="center"/>
                </w:tcPr>
                <w:p w14:paraId="1A28767D">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rFonts w:hint="eastAsia"/>
                      <w:color w:val="auto"/>
                    </w:rPr>
                    <w:t>项目建立有完善的环境风险防控系统，本项目设有紧急切断阀，日常设专人巡查，防止管道泄漏引起环境次生问题。</w:t>
                  </w:r>
                </w:p>
              </w:tc>
              <w:tc>
                <w:tcPr>
                  <w:tcW w:w="577" w:type="dxa"/>
                  <w:vAlign w:val="center"/>
                </w:tcPr>
                <w:p w14:paraId="112213CF">
                  <w:pPr>
                    <w:pStyle w:val="50"/>
                    <w:rPr>
                      <w:rFonts w:hint="eastAsia"/>
                      <w:color w:val="auto"/>
                    </w:rPr>
                  </w:pPr>
                  <w:r>
                    <w:rPr>
                      <w:rFonts w:hint="eastAsia"/>
                      <w:color w:val="auto"/>
                    </w:rPr>
                    <w:t>相符</w:t>
                  </w:r>
                </w:p>
              </w:tc>
            </w:tr>
            <w:tr w14:paraId="67AB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dxa"/>
                  <w:vAlign w:val="center"/>
                </w:tcPr>
                <w:p w14:paraId="0FC1E6CC">
                  <w:pPr>
                    <w:pStyle w:val="50"/>
                    <w:rPr>
                      <w:color w:val="auto"/>
                    </w:rPr>
                  </w:pPr>
                  <w:r>
                    <w:rPr>
                      <w:color w:val="auto"/>
                    </w:rPr>
                    <w:t>资源开发利用效率要求</w:t>
                  </w:r>
                </w:p>
              </w:tc>
              <w:tc>
                <w:tcPr>
                  <w:tcW w:w="4895" w:type="dxa"/>
                  <w:vAlign w:val="center"/>
                </w:tcPr>
                <w:p w14:paraId="74281365">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1.污染物排放以及用水、能耗、物耗、岸线与土地利用等资源环境指标达到行业先进水平。</w:t>
                  </w:r>
                </w:p>
                <w:p w14:paraId="7AD549D0">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color w:val="auto"/>
                    </w:rPr>
                    <w:t>2.依据《钦州市人民政府关于划定高污染燃料禁燃区的通告》，高污染燃料为：除单台出力大于等于20蒸吨/小时锅炉以外的燃用煤炭及其制品；石油焦、油页岩、原油、重油、渣油、煤焦油，以及各种可燃废物和直接燃用的生物质非成型燃料（树木、秸秆、锯末、稻壳、蔗渣等）。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w:t>
                  </w:r>
                </w:p>
              </w:tc>
              <w:tc>
                <w:tcPr>
                  <w:tcW w:w="1239" w:type="dxa"/>
                  <w:vAlign w:val="center"/>
                </w:tcPr>
                <w:p w14:paraId="5D942E34">
                  <w:pPr>
                    <w:pStyle w:val="50"/>
                    <w:keepNext w:val="0"/>
                    <w:keepLines w:val="0"/>
                    <w:pageBreakBefore w:val="0"/>
                    <w:widowControl w:val="0"/>
                    <w:kinsoku/>
                    <w:wordWrap/>
                    <w:overflowPunct/>
                    <w:topLinePunct w:val="0"/>
                    <w:autoSpaceDE/>
                    <w:autoSpaceDN/>
                    <w:bidi w:val="0"/>
                    <w:adjustRightInd w:val="0"/>
                    <w:snapToGrid w:val="0"/>
                    <w:spacing w:after="0" w:line="360" w:lineRule="auto"/>
                    <w:textAlignment w:val="auto"/>
                    <w:rPr>
                      <w:color w:val="auto"/>
                    </w:rPr>
                  </w:pPr>
                  <w:r>
                    <w:rPr>
                      <w:rFonts w:hint="eastAsia"/>
                      <w:color w:val="auto"/>
                    </w:rPr>
                    <w:t>项目不使用</w:t>
                  </w:r>
                  <w:r>
                    <w:rPr>
                      <w:color w:val="auto"/>
                    </w:rPr>
                    <w:t>燃料</w:t>
                  </w:r>
                  <w:r>
                    <w:rPr>
                      <w:rFonts w:hint="eastAsia"/>
                      <w:color w:val="auto"/>
                    </w:rPr>
                    <w:t>，不涉及</w:t>
                  </w:r>
                </w:p>
              </w:tc>
              <w:tc>
                <w:tcPr>
                  <w:tcW w:w="577" w:type="dxa"/>
                  <w:vAlign w:val="center"/>
                </w:tcPr>
                <w:p w14:paraId="181FEBE1">
                  <w:pPr>
                    <w:pStyle w:val="50"/>
                    <w:rPr>
                      <w:color w:val="auto"/>
                    </w:rPr>
                  </w:pPr>
                  <w:r>
                    <w:rPr>
                      <w:rFonts w:hint="eastAsia"/>
                      <w:color w:val="auto"/>
                    </w:rPr>
                    <w:t>相符</w:t>
                  </w:r>
                </w:p>
              </w:tc>
            </w:tr>
          </w:tbl>
          <w:p w14:paraId="37C7E21F">
            <w:pPr>
              <w:autoSpaceDE w:val="0"/>
              <w:autoSpaceDN w:val="0"/>
              <w:adjustRightInd w:val="0"/>
              <w:snapToGrid w:val="0"/>
              <w:spacing w:line="360" w:lineRule="auto"/>
              <w:ind w:firstLine="480" w:firstLineChars="200"/>
              <w:rPr>
                <w:color w:val="auto"/>
                <w:kern w:val="0"/>
                <w:sz w:val="24"/>
              </w:rPr>
            </w:pPr>
          </w:p>
          <w:p w14:paraId="764CDE43">
            <w:pPr>
              <w:rPr>
                <w:color w:val="auto"/>
              </w:rPr>
            </w:pPr>
          </w:p>
        </w:tc>
      </w:tr>
    </w:tbl>
    <w:p w14:paraId="052509AF">
      <w:pPr>
        <w:rPr>
          <w:color w:val="auto"/>
          <w:sz w:val="30"/>
        </w:rPr>
        <w:sectPr>
          <w:pgSz w:w="11906" w:h="16838"/>
          <w:pgMar w:top="1418" w:right="1418" w:bottom="1418" w:left="1418" w:header="851" w:footer="1077" w:gutter="0"/>
          <w:cols w:space="720" w:num="1"/>
          <w:docGrid w:linePitch="312" w:charSpace="0"/>
        </w:sectPr>
      </w:pPr>
    </w:p>
    <w:p w14:paraId="0CFD6567">
      <w:pPr>
        <w:autoSpaceDE w:val="0"/>
        <w:autoSpaceDN w:val="0"/>
        <w:adjustRightInd w:val="0"/>
        <w:snapToGrid w:val="0"/>
        <w:spacing w:line="360" w:lineRule="auto"/>
        <w:ind w:firstLine="422" w:firstLineChars="200"/>
        <w:jc w:val="center"/>
        <w:rPr>
          <w:b/>
          <w:color w:val="auto"/>
        </w:rPr>
      </w:pPr>
      <w:r>
        <w:rPr>
          <w:b/>
          <w:color w:val="auto"/>
        </w:rPr>
        <w:t>表1-</w:t>
      </w:r>
      <w:r>
        <w:rPr>
          <w:rFonts w:hint="eastAsia"/>
          <w:b/>
          <w:color w:val="auto"/>
          <w:lang w:val="en-US" w:eastAsia="zh-CN"/>
        </w:rPr>
        <w:t>4</w:t>
      </w:r>
      <w:r>
        <w:rPr>
          <w:rFonts w:hint="eastAsia"/>
          <w:b/>
          <w:color w:val="auto"/>
        </w:rPr>
        <w:t xml:space="preserve"> 钦州</w:t>
      </w:r>
      <w:r>
        <w:rPr>
          <w:b/>
          <w:color w:val="auto"/>
        </w:rPr>
        <w:t>市</w:t>
      </w:r>
      <w:r>
        <w:rPr>
          <w:rFonts w:hint="eastAsia"/>
          <w:b/>
          <w:color w:val="auto"/>
        </w:rPr>
        <w:t>生态环境准入及管控要求</w:t>
      </w:r>
      <w:r>
        <w:rPr>
          <w:b/>
          <w:color w:val="auto"/>
        </w:rPr>
        <w:t>（</w:t>
      </w:r>
      <w:r>
        <w:rPr>
          <w:rFonts w:hint="eastAsia"/>
          <w:b/>
          <w:color w:val="auto"/>
        </w:rPr>
        <w:t>2023年</w:t>
      </w:r>
      <w:r>
        <w:rPr>
          <w:b/>
          <w:color w:val="auto"/>
        </w:rPr>
        <w:t>）</w:t>
      </w:r>
    </w:p>
    <w:tbl>
      <w:tblPr>
        <w:tblStyle w:val="22"/>
        <w:tblW w:w="134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3"/>
        <w:gridCol w:w="1000"/>
        <w:gridCol w:w="7499"/>
        <w:gridCol w:w="2830"/>
        <w:gridCol w:w="984"/>
      </w:tblGrid>
      <w:tr w14:paraId="785A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blHeader/>
        </w:trPr>
        <w:tc>
          <w:tcPr>
            <w:tcW w:w="1133" w:type="dxa"/>
            <w:vAlign w:val="center"/>
          </w:tcPr>
          <w:p w14:paraId="01D78E1E">
            <w:pPr>
              <w:widowControl/>
              <w:spacing w:line="240" w:lineRule="auto"/>
              <w:jc w:val="center"/>
              <w:rPr>
                <w:b/>
                <w:color w:val="auto"/>
                <w:szCs w:val="21"/>
              </w:rPr>
            </w:pPr>
            <w:r>
              <w:rPr>
                <w:b/>
                <w:color w:val="auto"/>
                <w:szCs w:val="21"/>
              </w:rPr>
              <w:t>适用范围</w:t>
            </w:r>
          </w:p>
        </w:tc>
        <w:tc>
          <w:tcPr>
            <w:tcW w:w="8499" w:type="dxa"/>
            <w:gridSpan w:val="2"/>
            <w:vAlign w:val="center"/>
          </w:tcPr>
          <w:p w14:paraId="4023AECB">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b/>
                <w:color w:val="auto"/>
                <w:szCs w:val="21"/>
              </w:rPr>
            </w:pPr>
            <w:r>
              <w:rPr>
                <w:b/>
                <w:color w:val="auto"/>
                <w:szCs w:val="21"/>
              </w:rPr>
              <w:t>生态环境准入及管控要求</w:t>
            </w:r>
          </w:p>
        </w:tc>
        <w:tc>
          <w:tcPr>
            <w:tcW w:w="2830" w:type="dxa"/>
            <w:vAlign w:val="center"/>
          </w:tcPr>
          <w:p w14:paraId="407D57F4">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b/>
                <w:color w:val="auto"/>
                <w:szCs w:val="21"/>
              </w:rPr>
            </w:pPr>
            <w:r>
              <w:rPr>
                <w:b/>
                <w:color w:val="auto"/>
                <w:szCs w:val="21"/>
              </w:rPr>
              <w:t>项目建设情况</w:t>
            </w:r>
          </w:p>
        </w:tc>
        <w:tc>
          <w:tcPr>
            <w:tcW w:w="984" w:type="dxa"/>
            <w:vAlign w:val="center"/>
          </w:tcPr>
          <w:p w14:paraId="57C77157">
            <w:pPr>
              <w:autoSpaceDE w:val="0"/>
              <w:autoSpaceDN w:val="0"/>
              <w:spacing w:line="240" w:lineRule="auto"/>
              <w:jc w:val="center"/>
              <w:rPr>
                <w:b/>
                <w:color w:val="auto"/>
                <w:kern w:val="0"/>
                <w:szCs w:val="21"/>
              </w:rPr>
            </w:pPr>
            <w:r>
              <w:rPr>
                <w:b/>
                <w:color w:val="auto"/>
                <w:spacing w:val="-5"/>
                <w:kern w:val="0"/>
                <w:szCs w:val="21"/>
              </w:rPr>
              <w:t>符合</w:t>
            </w:r>
            <w:r>
              <w:rPr>
                <w:b/>
                <w:color w:val="auto"/>
                <w:spacing w:val="-10"/>
                <w:kern w:val="0"/>
                <w:szCs w:val="21"/>
              </w:rPr>
              <w:t>性</w:t>
            </w:r>
          </w:p>
        </w:tc>
      </w:tr>
      <w:tr w14:paraId="72CC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1133" w:type="dxa"/>
            <w:vMerge w:val="restart"/>
            <w:vAlign w:val="center"/>
          </w:tcPr>
          <w:p w14:paraId="22467F56">
            <w:pPr>
              <w:widowControl/>
              <w:spacing w:line="240" w:lineRule="auto"/>
              <w:jc w:val="center"/>
              <w:rPr>
                <w:bCs/>
                <w:color w:val="auto"/>
                <w:szCs w:val="21"/>
              </w:rPr>
            </w:pPr>
            <w:r>
              <w:rPr>
                <w:bCs/>
                <w:color w:val="auto"/>
                <w:szCs w:val="21"/>
              </w:rPr>
              <w:t>广西钦州石化产业园重点管控单</w:t>
            </w:r>
          </w:p>
          <w:p w14:paraId="088B4763">
            <w:pPr>
              <w:widowControl/>
              <w:spacing w:line="240" w:lineRule="auto"/>
              <w:jc w:val="center"/>
              <w:rPr>
                <w:b/>
                <w:color w:val="auto"/>
                <w:szCs w:val="21"/>
              </w:rPr>
            </w:pPr>
            <w:r>
              <w:rPr>
                <w:bCs/>
                <w:color w:val="auto"/>
                <w:szCs w:val="21"/>
              </w:rPr>
              <w:t>元</w:t>
            </w:r>
          </w:p>
        </w:tc>
        <w:tc>
          <w:tcPr>
            <w:tcW w:w="1000" w:type="dxa"/>
            <w:vAlign w:val="center"/>
          </w:tcPr>
          <w:p w14:paraId="29A88BEE">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bCs/>
                <w:color w:val="auto"/>
                <w:szCs w:val="21"/>
              </w:rPr>
            </w:pPr>
            <w:r>
              <w:rPr>
                <w:bCs/>
                <w:color w:val="auto"/>
                <w:szCs w:val="21"/>
              </w:rPr>
              <w:t>空间布局约束</w:t>
            </w:r>
          </w:p>
        </w:tc>
        <w:tc>
          <w:tcPr>
            <w:tcW w:w="7499" w:type="dxa"/>
            <w:vAlign w:val="center"/>
          </w:tcPr>
          <w:p w14:paraId="4EFF2E21">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1．依据《国务院关于加强滨海湿地保护严格管控围填海的通知》，除国家重大战略项目外，原则上禁止新增围填海项目。三墩片区布局国家重大项目确需新增围填海的，须严格论证对中华白海豚等重点保护动物及其生境的影响，审慎决策，最大限度减轻不良环境影响。</w:t>
            </w:r>
          </w:p>
          <w:p w14:paraId="640D0FC2">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2．加强行业源头管控，严格执行《广西工业产业结构调整指导目录（2021 年本）》，入园项目需符合国家产业政策、行业规范、地方发展规划和绿色发展等要求；建设项目应为石化产业园区产业链范围内的项目，选址应符合石化产业园区规划的功能分区。禁止引进不符合国家产业政策和相关行业准入条件，清洁生产水平不达标、装置单位产品能源消耗限额不达标、污染物排放不达标的项目。</w:t>
            </w:r>
          </w:p>
          <w:p w14:paraId="6179AEBD">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3．优化园区规划空间布局，对丙烯腈、苯乙烯、环氧丙烷等新引进项目加强源头风险管控；丙烯腈装置原则上应配套MMA 装置同步建设，及时消耗丙烯腈装置产生的氢氰酸和废酸，降低环境风险。</w:t>
            </w:r>
          </w:p>
          <w:p w14:paraId="634CAAA4">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4．严格控制炼油规模，禁止建设未列入国家批准的相关规划的新建炼油及扩建一次炼油项目；新建石化和化工生产项目应符合《广西新建石化和化工生产项目准入管理办法（试行）》《化工园区开发建设导则》（GB/T 42078-2022）相关要求。</w:t>
            </w:r>
          </w:p>
          <w:p w14:paraId="4F52D015">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5．严格“两高”建设项目环境准入，新建、改建、扩建“两高”项目须符合生态环境保护法律法规和相关法定规划，满足重点污染物总量控制、相关规划环评和相应行业建设项目环境准入条件等要求。</w:t>
            </w:r>
          </w:p>
          <w:p w14:paraId="14794002">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rFonts w:hint="eastAsia"/>
                <w:bCs/>
                <w:color w:val="auto"/>
                <w:szCs w:val="21"/>
              </w:rPr>
              <w:t>6</w:t>
            </w:r>
            <w:r>
              <w:rPr>
                <w:bCs/>
                <w:color w:val="auto"/>
                <w:szCs w:val="21"/>
              </w:rPr>
              <w:t>．园区周边1 公里范围内临近生态保护红线（广西茅尾海红树林自治区级自然保护区）生态环境敏感区域，应优化产业布局，控制开发强度，新建、改建、扩建项目要采取切实可行的环保措施，降低对周边生态环境敏感区域的影响。</w:t>
            </w:r>
          </w:p>
        </w:tc>
        <w:tc>
          <w:tcPr>
            <w:tcW w:w="2830" w:type="dxa"/>
            <w:vAlign w:val="center"/>
          </w:tcPr>
          <w:p w14:paraId="613DD29A">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1.项目</w:t>
            </w:r>
            <w:r>
              <w:rPr>
                <w:rFonts w:hint="eastAsia"/>
                <w:bCs/>
                <w:color w:val="auto"/>
                <w:szCs w:val="21"/>
              </w:rPr>
              <w:t>不涉及围填海</w:t>
            </w:r>
            <w:r>
              <w:rPr>
                <w:bCs/>
                <w:color w:val="auto"/>
                <w:szCs w:val="21"/>
              </w:rPr>
              <w:t>；</w:t>
            </w:r>
          </w:p>
          <w:p w14:paraId="6708D816">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2.</w:t>
            </w:r>
            <w:r>
              <w:rPr>
                <w:rFonts w:hint="eastAsia"/>
                <w:bCs/>
                <w:color w:val="auto"/>
                <w:szCs w:val="21"/>
              </w:rPr>
              <w:t>项目为石化园区基础配套工程，符合国家产业政策</w:t>
            </w:r>
            <w:r>
              <w:rPr>
                <w:bCs/>
                <w:color w:val="auto"/>
                <w:szCs w:val="21"/>
              </w:rPr>
              <w:t>；</w:t>
            </w:r>
          </w:p>
          <w:p w14:paraId="64E6FC02">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3.项目不属于丙烯腈、苯乙烯、环氧丙烷项目；</w:t>
            </w:r>
          </w:p>
          <w:p w14:paraId="2D8C672B">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4.项目</w:t>
            </w:r>
            <w:r>
              <w:rPr>
                <w:rFonts w:hint="eastAsia"/>
                <w:bCs/>
                <w:color w:val="auto"/>
                <w:szCs w:val="21"/>
              </w:rPr>
              <w:t>不属于炼油项目</w:t>
            </w:r>
            <w:r>
              <w:rPr>
                <w:bCs/>
                <w:color w:val="auto"/>
                <w:szCs w:val="21"/>
              </w:rPr>
              <w:t>；</w:t>
            </w:r>
          </w:p>
          <w:p w14:paraId="03AC8865">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5.项目不</w:t>
            </w:r>
            <w:r>
              <w:rPr>
                <w:rFonts w:hint="eastAsia"/>
                <w:bCs/>
                <w:color w:val="auto"/>
                <w:szCs w:val="21"/>
              </w:rPr>
              <w:t>属于</w:t>
            </w:r>
            <w:r>
              <w:rPr>
                <w:bCs/>
                <w:color w:val="auto"/>
                <w:szCs w:val="21"/>
              </w:rPr>
              <w:t>“两高”</w:t>
            </w:r>
            <w:r>
              <w:rPr>
                <w:rFonts w:hint="eastAsia"/>
                <w:bCs/>
                <w:color w:val="auto"/>
                <w:szCs w:val="21"/>
              </w:rPr>
              <w:t>项目</w:t>
            </w:r>
            <w:r>
              <w:rPr>
                <w:bCs/>
                <w:color w:val="auto"/>
                <w:szCs w:val="21"/>
              </w:rPr>
              <w:t>；</w:t>
            </w:r>
          </w:p>
          <w:p w14:paraId="29657224">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6.项目</w:t>
            </w:r>
            <w:r>
              <w:rPr>
                <w:rFonts w:hint="eastAsia"/>
                <w:bCs/>
                <w:color w:val="auto"/>
                <w:szCs w:val="21"/>
              </w:rPr>
              <w:t>1km范围无生态保护红线。</w:t>
            </w:r>
          </w:p>
          <w:p w14:paraId="5B7A37EC">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Cs w:val="21"/>
              </w:rPr>
            </w:pPr>
          </w:p>
        </w:tc>
        <w:tc>
          <w:tcPr>
            <w:tcW w:w="984" w:type="dxa"/>
            <w:vAlign w:val="center"/>
          </w:tcPr>
          <w:p w14:paraId="799A61DF">
            <w:pPr>
              <w:autoSpaceDE w:val="0"/>
              <w:autoSpaceDN w:val="0"/>
              <w:spacing w:line="240" w:lineRule="auto"/>
              <w:jc w:val="center"/>
              <w:rPr>
                <w:bCs/>
                <w:color w:val="auto"/>
                <w:spacing w:val="-5"/>
                <w:kern w:val="0"/>
                <w:szCs w:val="21"/>
              </w:rPr>
            </w:pPr>
            <w:r>
              <w:rPr>
                <w:bCs/>
                <w:color w:val="auto"/>
                <w:spacing w:val="-5"/>
                <w:kern w:val="0"/>
                <w:szCs w:val="21"/>
              </w:rPr>
              <w:t>符合</w:t>
            </w:r>
          </w:p>
        </w:tc>
      </w:tr>
      <w:tr w14:paraId="113B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1133" w:type="dxa"/>
            <w:vMerge w:val="continue"/>
            <w:vAlign w:val="center"/>
          </w:tcPr>
          <w:p w14:paraId="71FA87F3">
            <w:pPr>
              <w:widowControl/>
              <w:spacing w:line="240" w:lineRule="auto"/>
              <w:jc w:val="center"/>
              <w:rPr>
                <w:b/>
                <w:color w:val="auto"/>
                <w:szCs w:val="21"/>
              </w:rPr>
            </w:pPr>
          </w:p>
        </w:tc>
        <w:tc>
          <w:tcPr>
            <w:tcW w:w="1000" w:type="dxa"/>
            <w:vAlign w:val="center"/>
          </w:tcPr>
          <w:p w14:paraId="235705F4">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bCs/>
                <w:color w:val="auto"/>
                <w:szCs w:val="21"/>
              </w:rPr>
            </w:pPr>
            <w:r>
              <w:rPr>
                <w:bCs/>
                <w:color w:val="auto"/>
                <w:szCs w:val="21"/>
              </w:rPr>
              <w:t>污染物排放管控</w:t>
            </w:r>
          </w:p>
        </w:tc>
        <w:tc>
          <w:tcPr>
            <w:tcW w:w="7499" w:type="dxa"/>
            <w:vAlign w:val="center"/>
          </w:tcPr>
          <w:p w14:paraId="2F9A9C5C">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1．大力推进低氮燃烧和烟气脱硝，有序推进园区集中供热。</w:t>
            </w:r>
          </w:p>
          <w:p w14:paraId="5890697D">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2．持续推进石化、化工等行业节能降碳改造；推动石化、化工等重点行业挥发性有机物（VOCs）污染防治。推动石化行业VOCs 泄漏检测与修复行动、VOCs 削减和有毒有害原料替代。</w:t>
            </w:r>
          </w:p>
          <w:p w14:paraId="4DD6553D">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3．石化、化工行业全面推进行业达标排放改造，鼓励采用先进的清洁生产技术，提高原油的转化和利用效率；新建石化和化工生产项目污染物排放必须同时满足污染物排放标准和主要污染物总量控制要求，必须配套固废综合利用或无害化处理设施，危险废物必须按照国家及自治区相关危险废物的管理规定进行贮存、转移、安全处置。</w:t>
            </w:r>
          </w:p>
          <w:p w14:paraId="3BFCE58B">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4．逐步完成工业集聚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p w14:paraId="32D352E0">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5．园区及园区企业排放水污染物，要满足国家或者地方规定的水污染物排放标准和重点水污染物排放总量控制指标。直接外排水环境的，执行国家或者地方规定的标准要求；经城镇污水集中处理设施处理后排放的，执行市政部门管理要求；经园区污水集中处理设施处理后排放的，执行园区管理部门相关要求。</w:t>
            </w:r>
          </w:p>
          <w:p w14:paraId="48E66E7D">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6．鼓励建设高盐废水集中处理设施，回收固体盐类，降低外排水量和含盐浓度。</w:t>
            </w:r>
          </w:p>
          <w:p w14:paraId="50E96F30">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7．严格控制石油类、氨氮、总磷等污染物排放浓度及排放量，采取有效措施减少挥发性有机化合物（VOCs）、氮氧化物（NOx）等污染物排放量。</w:t>
            </w:r>
          </w:p>
        </w:tc>
        <w:tc>
          <w:tcPr>
            <w:tcW w:w="2830" w:type="dxa"/>
            <w:vAlign w:val="center"/>
          </w:tcPr>
          <w:p w14:paraId="157B05D4">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1.项目</w:t>
            </w:r>
            <w:r>
              <w:rPr>
                <w:rFonts w:hint="eastAsia"/>
                <w:bCs/>
                <w:color w:val="auto"/>
                <w:szCs w:val="21"/>
              </w:rPr>
              <w:t>运营期不涉及燃烧烟气排放和集中供热</w:t>
            </w:r>
            <w:r>
              <w:rPr>
                <w:bCs/>
                <w:color w:val="auto"/>
                <w:szCs w:val="21"/>
              </w:rPr>
              <w:t>；</w:t>
            </w:r>
          </w:p>
          <w:p w14:paraId="11FEB31B">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2.项目</w:t>
            </w:r>
            <w:r>
              <w:rPr>
                <w:rFonts w:hint="eastAsia"/>
                <w:bCs/>
                <w:color w:val="auto"/>
                <w:szCs w:val="21"/>
              </w:rPr>
              <w:t>不涉及VOCs排放</w:t>
            </w:r>
            <w:r>
              <w:rPr>
                <w:bCs/>
                <w:color w:val="auto"/>
                <w:szCs w:val="21"/>
              </w:rPr>
              <w:t>；</w:t>
            </w:r>
          </w:p>
          <w:p w14:paraId="72C0AFB5">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3.项目</w:t>
            </w:r>
            <w:r>
              <w:rPr>
                <w:rFonts w:hint="eastAsia"/>
                <w:bCs/>
                <w:color w:val="auto"/>
                <w:szCs w:val="21"/>
              </w:rPr>
              <w:t>运营期不涉及污染物排放</w:t>
            </w:r>
            <w:r>
              <w:rPr>
                <w:bCs/>
                <w:color w:val="auto"/>
                <w:szCs w:val="21"/>
              </w:rPr>
              <w:t>。</w:t>
            </w:r>
          </w:p>
        </w:tc>
        <w:tc>
          <w:tcPr>
            <w:tcW w:w="984" w:type="dxa"/>
            <w:vAlign w:val="center"/>
          </w:tcPr>
          <w:p w14:paraId="09142383">
            <w:pPr>
              <w:autoSpaceDE w:val="0"/>
              <w:autoSpaceDN w:val="0"/>
              <w:spacing w:line="240" w:lineRule="auto"/>
              <w:jc w:val="center"/>
              <w:rPr>
                <w:bCs/>
                <w:color w:val="auto"/>
                <w:spacing w:val="-5"/>
                <w:kern w:val="0"/>
                <w:szCs w:val="21"/>
              </w:rPr>
            </w:pPr>
            <w:r>
              <w:rPr>
                <w:bCs/>
                <w:color w:val="auto"/>
                <w:spacing w:val="-5"/>
                <w:kern w:val="0"/>
                <w:szCs w:val="21"/>
              </w:rPr>
              <w:t>符合</w:t>
            </w:r>
          </w:p>
        </w:tc>
      </w:tr>
      <w:tr w14:paraId="2F4C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1133" w:type="dxa"/>
            <w:vMerge w:val="continue"/>
            <w:vAlign w:val="center"/>
          </w:tcPr>
          <w:p w14:paraId="0D2B1905">
            <w:pPr>
              <w:widowControl/>
              <w:spacing w:line="240" w:lineRule="auto"/>
              <w:jc w:val="center"/>
              <w:rPr>
                <w:b/>
                <w:color w:val="auto"/>
                <w:szCs w:val="21"/>
              </w:rPr>
            </w:pPr>
          </w:p>
        </w:tc>
        <w:tc>
          <w:tcPr>
            <w:tcW w:w="1000" w:type="dxa"/>
            <w:vAlign w:val="center"/>
          </w:tcPr>
          <w:p w14:paraId="35A3A727">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bCs/>
                <w:color w:val="auto"/>
                <w:szCs w:val="21"/>
              </w:rPr>
            </w:pPr>
            <w:r>
              <w:rPr>
                <w:bCs/>
                <w:color w:val="auto"/>
                <w:szCs w:val="21"/>
              </w:rPr>
              <w:t>环境风险防控</w:t>
            </w:r>
          </w:p>
        </w:tc>
        <w:tc>
          <w:tcPr>
            <w:tcW w:w="7499" w:type="dxa"/>
            <w:vAlign w:val="center"/>
          </w:tcPr>
          <w:p w14:paraId="6C1A4140">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color w:val="auto"/>
              </w:rPr>
            </w:pPr>
            <w:r>
              <w:rPr>
                <w:rFonts w:hint="eastAsia" w:ascii="TimesNewRomanPSMT" w:hAnsi="TimesNewRomanPSMT" w:eastAsia="TimesNewRomanPSMT"/>
                <w:color w:val="auto"/>
              </w:rPr>
              <w:t>1</w:t>
            </w:r>
            <w:r>
              <w:rPr>
                <w:rFonts w:hint="eastAsia" w:ascii="宋体" w:hAnsi="宋体"/>
                <w:color w:val="auto"/>
              </w:rPr>
              <w:t>．建设项目应严格落实环境保护措施和环境风险防范措施，减缓对周边海域和陆域生态环境敏感区的不良环境影响。</w:t>
            </w:r>
          </w:p>
          <w:p w14:paraId="7769E631">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color w:val="auto"/>
              </w:rPr>
            </w:pPr>
            <w:r>
              <w:rPr>
                <w:rFonts w:hint="eastAsia" w:ascii="TimesNewRomanPSMT" w:hAnsi="TimesNewRomanPSMT" w:eastAsia="TimesNewRomanPSMT"/>
                <w:color w:val="auto"/>
              </w:rPr>
              <w:t>2</w:t>
            </w:r>
            <w:r>
              <w:rPr>
                <w:rFonts w:hint="eastAsia" w:ascii="宋体" w:hAnsi="宋体"/>
                <w:color w:val="auto"/>
              </w:rPr>
              <w:t>．三墩片区实行封闭式管理。开展环境风险评估，制定突发环境事件应急预案并备案，配备应急能力和物资，建设环境应急队伍，并定期演练。企业、园区与地方人民政府环境应急预案应当有机衔接。</w:t>
            </w:r>
          </w:p>
          <w:p w14:paraId="28438681">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rFonts w:hint="eastAsia" w:ascii="TimesNewRomanPSMT" w:hAnsi="TimesNewRomanPSMT" w:eastAsia="TimesNewRomanPSMT"/>
                <w:color w:val="auto"/>
              </w:rPr>
              <w:t>3</w:t>
            </w:r>
            <w:r>
              <w:rPr>
                <w:rFonts w:hint="eastAsia" w:ascii="宋体" w:hAnsi="宋体"/>
                <w:color w:val="auto"/>
              </w:rPr>
              <w:t>．土壤环境监管重点单位应当严格控制有毒有害物质排放，并按年度向所在地设区的市人民政府生态环境主管部门报告排放情况；建立土壤污染隐患排查制度，保证持续有效防止有毒有害物质渗漏、流失、扬散</w:t>
            </w:r>
            <w:r>
              <w:rPr>
                <w:bCs/>
                <w:color w:val="auto"/>
                <w:szCs w:val="21"/>
              </w:rPr>
              <w:t>。</w:t>
            </w:r>
          </w:p>
        </w:tc>
        <w:tc>
          <w:tcPr>
            <w:tcW w:w="2830" w:type="dxa"/>
            <w:vAlign w:val="center"/>
          </w:tcPr>
          <w:p w14:paraId="7EC51EED">
            <w:pPr>
              <w:pStyle w:val="50"/>
              <w:keepNext w:val="0"/>
              <w:keepLines w:val="0"/>
              <w:pageBreakBefore w:val="0"/>
              <w:widowControl/>
              <w:kinsoku/>
              <w:wordWrap/>
              <w:overflowPunct/>
              <w:topLinePunct w:val="0"/>
              <w:autoSpaceDE/>
              <w:autoSpaceDN/>
              <w:bidi w:val="0"/>
              <w:adjustRightInd/>
              <w:snapToGrid/>
              <w:spacing w:after="0" w:line="360" w:lineRule="auto"/>
              <w:textAlignment w:val="auto"/>
              <w:rPr>
                <w:color w:val="auto"/>
                <w:szCs w:val="21"/>
              </w:rPr>
            </w:pPr>
            <w:r>
              <w:rPr>
                <w:rFonts w:hint="eastAsia"/>
                <w:color w:val="auto"/>
              </w:rPr>
              <w:t>项目建立有完善的环境风险防控系统，本项目设有紧急切断阀，日常设专人巡查，防止管道泄漏引起环境次生问题。</w:t>
            </w:r>
          </w:p>
        </w:tc>
        <w:tc>
          <w:tcPr>
            <w:tcW w:w="984" w:type="dxa"/>
            <w:vAlign w:val="center"/>
          </w:tcPr>
          <w:p w14:paraId="26CC306C">
            <w:pPr>
              <w:autoSpaceDE w:val="0"/>
              <w:autoSpaceDN w:val="0"/>
              <w:spacing w:line="240" w:lineRule="auto"/>
              <w:jc w:val="center"/>
              <w:rPr>
                <w:bCs/>
                <w:color w:val="auto"/>
                <w:spacing w:val="-5"/>
                <w:kern w:val="0"/>
                <w:szCs w:val="21"/>
              </w:rPr>
            </w:pPr>
            <w:r>
              <w:rPr>
                <w:bCs/>
                <w:color w:val="auto"/>
                <w:spacing w:val="-5"/>
                <w:kern w:val="0"/>
                <w:szCs w:val="21"/>
              </w:rPr>
              <w:t>符合</w:t>
            </w:r>
          </w:p>
        </w:tc>
      </w:tr>
      <w:tr w14:paraId="097B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1133" w:type="dxa"/>
            <w:vMerge w:val="continue"/>
            <w:vAlign w:val="center"/>
          </w:tcPr>
          <w:p w14:paraId="382B48EA">
            <w:pPr>
              <w:widowControl/>
              <w:spacing w:line="240" w:lineRule="auto"/>
              <w:jc w:val="center"/>
              <w:rPr>
                <w:b/>
                <w:color w:val="auto"/>
                <w:szCs w:val="21"/>
              </w:rPr>
            </w:pPr>
          </w:p>
        </w:tc>
        <w:tc>
          <w:tcPr>
            <w:tcW w:w="1000" w:type="dxa"/>
            <w:vAlign w:val="center"/>
          </w:tcPr>
          <w:p w14:paraId="239257A4">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bCs/>
                <w:color w:val="auto"/>
                <w:szCs w:val="21"/>
              </w:rPr>
            </w:pPr>
            <w:r>
              <w:rPr>
                <w:bCs/>
                <w:color w:val="auto"/>
                <w:szCs w:val="21"/>
              </w:rPr>
              <w:t>资源开发利用要求</w:t>
            </w:r>
          </w:p>
        </w:tc>
        <w:tc>
          <w:tcPr>
            <w:tcW w:w="7499" w:type="dxa"/>
            <w:vAlign w:val="center"/>
          </w:tcPr>
          <w:p w14:paraId="17F0963B">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1．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p w14:paraId="299BD4C7">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2．加强水资源消耗总量与强度控制，推进节水减排，提升水资源利用效率和效益。</w:t>
            </w:r>
          </w:p>
          <w:p w14:paraId="73C1CB39">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3．坚持节约集约用地，提高土地利用效率。</w:t>
            </w:r>
          </w:p>
        </w:tc>
        <w:tc>
          <w:tcPr>
            <w:tcW w:w="2830" w:type="dxa"/>
            <w:vAlign w:val="center"/>
          </w:tcPr>
          <w:p w14:paraId="43BA09DA">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1.</w:t>
            </w:r>
            <w:r>
              <w:rPr>
                <w:rFonts w:hint="eastAsia"/>
                <w:bCs/>
                <w:color w:val="auto"/>
                <w:szCs w:val="21"/>
              </w:rPr>
              <w:t>项目运营期不涉及高污染燃料使用</w:t>
            </w:r>
            <w:r>
              <w:rPr>
                <w:bCs/>
                <w:color w:val="auto"/>
                <w:szCs w:val="21"/>
              </w:rPr>
              <w:t>；</w:t>
            </w:r>
          </w:p>
          <w:p w14:paraId="7634D081">
            <w:pPr>
              <w:keepNext w:val="0"/>
              <w:keepLines w:val="0"/>
              <w:pageBreakBefore w:val="0"/>
              <w:widowControl/>
              <w:kinsoku/>
              <w:wordWrap/>
              <w:overflowPunct/>
              <w:topLinePunct w:val="0"/>
              <w:autoSpaceDE/>
              <w:autoSpaceDN/>
              <w:bidi w:val="0"/>
              <w:adjustRightInd/>
              <w:snapToGrid/>
              <w:spacing w:after="0" w:line="360" w:lineRule="auto"/>
              <w:jc w:val="left"/>
              <w:textAlignment w:val="auto"/>
              <w:rPr>
                <w:bCs/>
                <w:color w:val="auto"/>
                <w:szCs w:val="21"/>
              </w:rPr>
            </w:pPr>
            <w:r>
              <w:rPr>
                <w:bCs/>
                <w:color w:val="auto"/>
                <w:szCs w:val="21"/>
              </w:rPr>
              <w:t>2.项目</w:t>
            </w:r>
            <w:r>
              <w:rPr>
                <w:rFonts w:hint="eastAsia"/>
                <w:bCs/>
                <w:color w:val="auto"/>
                <w:szCs w:val="21"/>
              </w:rPr>
              <w:t>运营期</w:t>
            </w:r>
            <w:r>
              <w:rPr>
                <w:bCs/>
                <w:color w:val="auto"/>
                <w:szCs w:val="21"/>
              </w:rPr>
              <w:t>不涉及</w:t>
            </w:r>
            <w:r>
              <w:rPr>
                <w:rFonts w:hint="eastAsia"/>
                <w:bCs/>
                <w:color w:val="auto"/>
                <w:szCs w:val="21"/>
              </w:rPr>
              <w:t>用水</w:t>
            </w:r>
            <w:r>
              <w:rPr>
                <w:bCs/>
                <w:color w:val="auto"/>
                <w:szCs w:val="21"/>
              </w:rPr>
              <w:t>；</w:t>
            </w:r>
          </w:p>
          <w:p w14:paraId="125F3043">
            <w:pPr>
              <w:keepNext w:val="0"/>
              <w:keepLines w:val="0"/>
              <w:pageBreakBefore w:val="0"/>
              <w:widowControl/>
              <w:kinsoku/>
              <w:wordWrap/>
              <w:overflowPunct/>
              <w:topLinePunct w:val="0"/>
              <w:autoSpaceDE/>
              <w:autoSpaceDN/>
              <w:bidi w:val="0"/>
              <w:adjustRightInd/>
              <w:snapToGrid/>
              <w:spacing w:after="0" w:line="360" w:lineRule="auto"/>
              <w:jc w:val="left"/>
              <w:textAlignment w:val="auto"/>
              <w:rPr>
                <w:color w:val="auto"/>
                <w:szCs w:val="21"/>
              </w:rPr>
            </w:pPr>
            <w:r>
              <w:rPr>
                <w:bCs/>
                <w:color w:val="auto"/>
                <w:szCs w:val="21"/>
              </w:rPr>
              <w:t>3.项目</w:t>
            </w:r>
            <w:r>
              <w:rPr>
                <w:rFonts w:hint="eastAsia"/>
                <w:bCs/>
                <w:color w:val="auto"/>
                <w:szCs w:val="21"/>
              </w:rPr>
              <w:t>合理布局，节约用地</w:t>
            </w:r>
            <w:r>
              <w:rPr>
                <w:bCs/>
                <w:color w:val="auto"/>
                <w:szCs w:val="21"/>
              </w:rPr>
              <w:t>。</w:t>
            </w:r>
          </w:p>
        </w:tc>
        <w:tc>
          <w:tcPr>
            <w:tcW w:w="984" w:type="dxa"/>
            <w:vAlign w:val="center"/>
          </w:tcPr>
          <w:p w14:paraId="2CB97FDE">
            <w:pPr>
              <w:autoSpaceDE w:val="0"/>
              <w:autoSpaceDN w:val="0"/>
              <w:spacing w:line="240" w:lineRule="auto"/>
              <w:jc w:val="center"/>
              <w:rPr>
                <w:bCs/>
                <w:color w:val="auto"/>
                <w:spacing w:val="-5"/>
                <w:kern w:val="0"/>
                <w:szCs w:val="21"/>
              </w:rPr>
            </w:pPr>
            <w:r>
              <w:rPr>
                <w:bCs/>
                <w:color w:val="auto"/>
                <w:spacing w:val="-5"/>
                <w:kern w:val="0"/>
                <w:szCs w:val="21"/>
              </w:rPr>
              <w:t>符合</w:t>
            </w:r>
          </w:p>
        </w:tc>
      </w:tr>
    </w:tbl>
    <w:p w14:paraId="1F3CD234">
      <w:pPr>
        <w:pStyle w:val="19"/>
        <w:ind w:firstLine="0" w:firstLineChars="0"/>
        <w:rPr>
          <w:color w:val="auto"/>
        </w:rPr>
      </w:pPr>
    </w:p>
    <w:p w14:paraId="3359ABA9">
      <w:pPr>
        <w:pStyle w:val="20"/>
        <w:ind w:firstLine="480"/>
        <w:rPr>
          <w:color w:val="auto"/>
        </w:rPr>
        <w:sectPr>
          <w:pgSz w:w="16838" w:h="11906" w:orient="landscape"/>
          <w:pgMar w:top="1418" w:right="1418" w:bottom="1418" w:left="1418" w:header="851" w:footer="1077" w:gutter="0"/>
          <w:cols w:space="720" w:num="1"/>
          <w:docGrid w:linePitch="312" w:charSpace="0"/>
        </w:sectPr>
      </w:pPr>
    </w:p>
    <w:p w14:paraId="61DFF714">
      <w:pPr>
        <w:pStyle w:val="17"/>
        <w:spacing w:before="0" w:beforeAutospacing="0" w:after="0" w:afterAutospacing="0" w:line="360" w:lineRule="auto"/>
        <w:jc w:val="center"/>
        <w:outlineLvl w:val="0"/>
        <w:rPr>
          <w:rFonts w:ascii="Times New Roman" w:hAnsi="Times New Roman"/>
          <w:b/>
          <w:snapToGrid w:val="0"/>
          <w:color w:val="auto"/>
          <w:sz w:val="30"/>
          <w:szCs w:val="30"/>
        </w:rPr>
      </w:pPr>
      <w:bookmarkStart w:id="9" w:name="_Toc152336002"/>
      <w:r>
        <w:rPr>
          <w:rFonts w:ascii="Times New Roman" w:hAnsi="Times New Roman"/>
          <w:b/>
          <w:snapToGrid w:val="0"/>
          <w:color w:val="auto"/>
          <w:sz w:val="30"/>
          <w:szCs w:val="30"/>
        </w:rPr>
        <w:t>二、建设内容</w:t>
      </w:r>
      <w:bookmarkEnd w:id="9"/>
    </w:p>
    <w:tbl>
      <w:tblPr>
        <w:tblStyle w:val="22"/>
        <w:tblpPr w:leftFromText="180" w:rightFromText="180" w:vertAnchor="text" w:tblpY="1"/>
        <w:tblOverlap w:val="never"/>
        <w:tblW w:w="928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8"/>
        <w:gridCol w:w="8378"/>
      </w:tblGrid>
      <w:tr w14:paraId="377EF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908" w:type="dxa"/>
            <w:vAlign w:val="center"/>
          </w:tcPr>
          <w:p w14:paraId="0FF591B9">
            <w:pPr>
              <w:pStyle w:val="17"/>
              <w:adjustRightInd w:val="0"/>
              <w:snapToGrid w:val="0"/>
              <w:spacing w:before="0" w:after="0"/>
              <w:jc w:val="center"/>
              <w:rPr>
                <w:rFonts w:ascii="Times New Roman" w:hAnsi="Times New Roman"/>
                <w:b/>
                <w:color w:val="auto"/>
                <w:szCs w:val="24"/>
              </w:rPr>
            </w:pPr>
            <w:r>
              <w:rPr>
                <w:rFonts w:ascii="Times New Roman" w:hAnsi="Times New Roman"/>
                <w:b/>
                <w:color w:val="auto"/>
                <w:szCs w:val="24"/>
              </w:rPr>
              <w:t>地理位置</w:t>
            </w:r>
          </w:p>
        </w:tc>
        <w:tc>
          <w:tcPr>
            <w:tcW w:w="8378" w:type="dxa"/>
            <w:vAlign w:val="center"/>
          </w:tcPr>
          <w:p w14:paraId="2CE57D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rPr>
            </w:pPr>
            <w:r>
              <w:rPr>
                <w:color w:val="auto"/>
                <w:sz w:val="24"/>
              </w:rPr>
              <w:t>项目位于</w:t>
            </w:r>
            <w:r>
              <w:rPr>
                <w:rFonts w:hint="eastAsia"/>
                <w:color w:val="auto"/>
                <w:sz w:val="24"/>
              </w:rPr>
              <w:t>广西钦州市钦州港区广西钦州泰兴石油化工有限公司西面空地</w:t>
            </w:r>
            <w:r>
              <w:rPr>
                <w:color w:val="auto"/>
                <w:sz w:val="24"/>
              </w:rPr>
              <w:t>，</w:t>
            </w:r>
            <w:r>
              <w:rPr>
                <w:rFonts w:hint="eastAsia"/>
                <w:color w:val="auto"/>
                <w:sz w:val="24"/>
              </w:rPr>
              <w:t>新建管廊起点坐标为：108.610343527°E，21.7373769°N，终点坐标为：108.609644811°E，21.7377135°N。</w:t>
            </w:r>
            <w:r>
              <w:rPr>
                <w:color w:val="auto"/>
                <w:sz w:val="24"/>
              </w:rPr>
              <w:t>项目地理位置见附图1。</w:t>
            </w:r>
          </w:p>
        </w:tc>
      </w:tr>
      <w:tr w14:paraId="45D65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19" w:hRule="atLeast"/>
        </w:trPr>
        <w:tc>
          <w:tcPr>
            <w:tcW w:w="908" w:type="dxa"/>
            <w:vAlign w:val="center"/>
          </w:tcPr>
          <w:p w14:paraId="182C9D0B">
            <w:pPr>
              <w:pStyle w:val="17"/>
              <w:adjustRightInd w:val="0"/>
              <w:snapToGrid w:val="0"/>
              <w:jc w:val="center"/>
              <w:rPr>
                <w:rFonts w:ascii="Times New Roman" w:hAnsi="Times New Roman"/>
                <w:b/>
                <w:color w:val="auto"/>
                <w:szCs w:val="24"/>
              </w:rPr>
            </w:pPr>
            <w:r>
              <w:rPr>
                <w:rFonts w:ascii="Times New Roman" w:hAnsi="Times New Roman"/>
                <w:b/>
                <w:color w:val="auto"/>
                <w:szCs w:val="24"/>
              </w:rPr>
              <w:t>项目组成及规模</w:t>
            </w:r>
          </w:p>
        </w:tc>
        <w:tc>
          <w:tcPr>
            <w:tcW w:w="8378" w:type="dxa"/>
          </w:tcPr>
          <w:p w14:paraId="4B21AE2D">
            <w:pPr>
              <w:pStyle w:val="2"/>
              <w:keepNext w:val="0"/>
              <w:keepLines w:val="0"/>
              <w:pageBreakBefore w:val="0"/>
              <w:kinsoku/>
              <w:wordWrap/>
              <w:overflowPunct/>
              <w:autoSpaceDE/>
              <w:autoSpaceDN/>
              <w:bidi w:val="0"/>
              <w:adjustRightInd/>
              <w:snapToGrid w:val="0"/>
              <w:spacing w:after="0"/>
              <w:ind w:firstLine="586" w:firstLineChars="200"/>
              <w:textAlignment w:val="auto"/>
              <w:rPr>
                <w:rFonts w:ascii="Times New Roman" w:hAnsi="Times New Roman"/>
                <w:b/>
                <w:color w:val="auto"/>
              </w:rPr>
            </w:pPr>
            <w:r>
              <w:rPr>
                <w:rFonts w:ascii="Times New Roman" w:hAnsi="Times New Roman"/>
                <w:b/>
                <w:color w:val="auto"/>
              </w:rPr>
              <w:t>2.1项目由来</w:t>
            </w:r>
          </w:p>
          <w:p w14:paraId="5FF4BE57">
            <w:pPr>
              <w:keepNext w:val="0"/>
              <w:keepLines w:val="0"/>
              <w:pageBreakBefore w:val="0"/>
              <w:kinsoku/>
              <w:wordWrap/>
              <w:overflowPunct/>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广西钦州泰兴石油化工有限公司（以下简称“泰兴石化”）的现有火炬位于泰兴石化西面117m，原有管廊和埋地消防水管（2根，DN250）从泰兴石化围墙接出，向西接至火炬，现泰兴石化西面的地块规划作为钦州天恒石化有限公司厂区（二），而泰兴石化的火炬配套管廊位于该地块内，严重影响了钦州天恒石化有限公司厂区（二）的厂区布置使用。因此，为了确保该地块能满足钦州天恒石化有限公司的用地要求，需要对泰兴石化的现有火炬配套管廊和埋地消防水管进行迁改，确保该地块满足钦州天恒石化有限公司的用地需求，并使园区土地资源得到充分利用。</w:t>
            </w:r>
            <w:r>
              <w:rPr>
                <w:rFonts w:hint="eastAsia"/>
                <w:color w:val="auto"/>
                <w:sz w:val="24"/>
                <w:u w:val="single"/>
              </w:rPr>
              <w:t>项目建设单位为广西钦州临海建设投资有限公司</w:t>
            </w:r>
            <w:r>
              <w:rPr>
                <w:rFonts w:hint="eastAsia"/>
                <w:color w:val="auto"/>
                <w:sz w:val="24"/>
                <w:u w:val="single"/>
                <w:lang w:eastAsia="zh-CN"/>
              </w:rPr>
              <w:t>，</w:t>
            </w:r>
            <w:r>
              <w:rPr>
                <w:rFonts w:hint="eastAsia"/>
                <w:color w:val="auto"/>
                <w:sz w:val="24"/>
                <w:u w:val="single"/>
              </w:rPr>
              <w:t>本工程的建设完成后，管廊及管道移交泰兴石化运营管理</w:t>
            </w:r>
            <w:r>
              <w:rPr>
                <w:rFonts w:hint="eastAsia"/>
                <w:color w:val="auto"/>
                <w:sz w:val="24"/>
                <w:u w:val="single"/>
                <w:lang w:eastAsia="zh-CN"/>
              </w:rPr>
              <w:t>，</w:t>
            </w:r>
            <w:r>
              <w:rPr>
                <w:rFonts w:hint="eastAsia"/>
                <w:color w:val="auto"/>
                <w:sz w:val="24"/>
                <w:u w:val="single"/>
                <w:lang w:val="en-US" w:eastAsia="zh-CN"/>
              </w:rPr>
              <w:t>后期</w:t>
            </w:r>
            <w:r>
              <w:rPr>
                <w:rFonts w:hint="eastAsia"/>
                <w:color w:val="auto"/>
                <w:sz w:val="24"/>
                <w:u w:val="single"/>
                <w:lang w:eastAsia="zh-CN"/>
              </w:rPr>
              <w:t>运营管理责任主体</w:t>
            </w:r>
            <w:r>
              <w:rPr>
                <w:rFonts w:hint="eastAsia"/>
                <w:color w:val="auto"/>
                <w:sz w:val="24"/>
                <w:u w:val="single"/>
                <w:lang w:val="en-US" w:eastAsia="zh-CN"/>
              </w:rPr>
              <w:t>为</w:t>
            </w:r>
            <w:r>
              <w:rPr>
                <w:rFonts w:hint="eastAsia"/>
                <w:color w:val="auto"/>
                <w:sz w:val="24"/>
                <w:u w:val="single"/>
              </w:rPr>
              <w:t>泰兴石化。</w:t>
            </w:r>
          </w:p>
          <w:p w14:paraId="0A99EF3D">
            <w:pPr>
              <w:keepNext w:val="0"/>
              <w:keepLines w:val="0"/>
              <w:pageBreakBefore w:val="0"/>
              <w:kinsoku/>
              <w:wordWrap/>
              <w:overflowPunct/>
              <w:autoSpaceDE/>
              <w:autoSpaceDN/>
              <w:bidi w:val="0"/>
              <w:adjustRightInd/>
              <w:snapToGrid w:val="0"/>
              <w:spacing w:after="0" w:line="360" w:lineRule="auto"/>
              <w:ind w:firstLine="480" w:firstLineChars="200"/>
              <w:textAlignment w:val="auto"/>
              <w:rPr>
                <w:bCs/>
                <w:color w:val="auto"/>
                <w:sz w:val="24"/>
              </w:rPr>
            </w:pPr>
            <w:r>
              <w:rPr>
                <w:bCs/>
                <w:color w:val="auto"/>
                <w:sz w:val="24"/>
              </w:rPr>
              <w:t>根据《中华人民共和国环境影响评价法》、《建设项目环境保护管理条例》、《建设项目环境影响评价分类管理名录（2021年版）》，本项目</w:t>
            </w:r>
            <w:r>
              <w:rPr>
                <w:rFonts w:hint="eastAsia"/>
                <w:bCs/>
                <w:color w:val="auto"/>
                <w:sz w:val="24"/>
              </w:rPr>
              <w:t>为</w:t>
            </w:r>
            <w:r>
              <w:rPr>
                <w:rFonts w:hint="eastAsia"/>
                <w:color w:val="auto"/>
                <w:sz w:val="24"/>
              </w:rPr>
              <w:t>管廊迁改工程</w:t>
            </w:r>
            <w:r>
              <w:rPr>
                <w:bCs/>
                <w:color w:val="auto"/>
                <w:sz w:val="24"/>
              </w:rPr>
              <w:t>，属于“五十二、交通运输业、管道运输业147 原油、成品油、天然气管线（不含城市天然气管线；不含城镇燃气管线；不含企业厂区内管道）”，应编制环境影响报告表。因此，广西钦州临海建设投资有限公司委托本单位编制“</w:t>
            </w:r>
            <w:r>
              <w:rPr>
                <w:rFonts w:hint="eastAsia"/>
                <w:color w:val="auto"/>
                <w:sz w:val="24"/>
              </w:rPr>
              <w:t>钦州泰兴石化管廊迁改工程</w:t>
            </w:r>
            <w:r>
              <w:rPr>
                <w:bCs/>
                <w:color w:val="auto"/>
                <w:sz w:val="24"/>
              </w:rPr>
              <w:t>环境影响报告表”。接受委托后，我公司立即安排有关环评人员进行现场踏勘，相关资料收集及其他相关工作，最终完成了该项目环境影响评价报告表的编制。</w:t>
            </w:r>
          </w:p>
          <w:p w14:paraId="20D3E650">
            <w:pPr>
              <w:pStyle w:val="10"/>
              <w:keepNext w:val="0"/>
              <w:keepLines w:val="0"/>
              <w:pageBreakBefore w:val="0"/>
              <w:kinsoku/>
              <w:wordWrap/>
              <w:overflowPunct/>
              <w:autoSpaceDE/>
              <w:autoSpaceDN/>
              <w:bidi w:val="0"/>
              <w:adjustRightInd/>
              <w:snapToGrid w:val="0"/>
              <w:spacing w:after="0" w:line="360" w:lineRule="auto"/>
              <w:ind w:firstLine="480" w:firstLineChars="200"/>
              <w:textAlignment w:val="auto"/>
              <w:rPr>
                <w:color w:val="auto"/>
              </w:rPr>
            </w:pPr>
            <w:r>
              <w:rPr>
                <w:rFonts w:hint="eastAsia"/>
                <w:bCs/>
                <w:color w:val="auto"/>
              </w:rPr>
              <w:t>现有管廊属于</w:t>
            </w:r>
            <w:bookmarkStart w:id="10" w:name="OLE_LINK13"/>
            <w:r>
              <w:rPr>
                <w:rFonts w:hint="eastAsia"/>
                <w:color w:val="auto"/>
              </w:rPr>
              <w:t>广西钦州泰兴石油化工有限公司工业白油及溶剂油项目的附属配套工程</w:t>
            </w:r>
            <w:bookmarkEnd w:id="10"/>
            <w:r>
              <w:rPr>
                <w:rFonts w:hint="eastAsia"/>
                <w:color w:val="auto"/>
              </w:rPr>
              <w:t>，该项目已取得环评批复并通过环保竣工验收。项目已取得的环评批复为《钦州市环境保护局关于广西钦州泰兴石油化工有限公司工业白油及溶剂油项目环境影响报告书的批复》（钦市环管字〔2009〕260号）、《钦州市环境保护局关于广西钦州泰兴石油化工有限公司工业白油及溶剂油配套工程项目环境影响报告书的批复》（钦港环管字〔2013〕1号），并取得环保验收意见《钦州市环境保护局关于广西钦州泰兴石油化工有限公司工业白油及溶剂油（一期）项目竣工环境保护验收意见》（钦港环验字〔2015〕7号）。</w:t>
            </w:r>
          </w:p>
          <w:p w14:paraId="4FF6E463">
            <w:pPr>
              <w:pStyle w:val="2"/>
              <w:keepNext w:val="0"/>
              <w:keepLines w:val="0"/>
              <w:pageBreakBefore w:val="0"/>
              <w:kinsoku/>
              <w:wordWrap/>
              <w:overflowPunct/>
              <w:autoSpaceDE/>
              <w:autoSpaceDN/>
              <w:bidi w:val="0"/>
              <w:adjustRightInd/>
              <w:snapToGrid w:val="0"/>
              <w:spacing w:after="0"/>
              <w:ind w:firstLine="586" w:firstLineChars="200"/>
              <w:textAlignment w:val="auto"/>
              <w:rPr>
                <w:rFonts w:ascii="Times New Roman" w:hAnsi="Times New Roman"/>
                <w:b/>
                <w:color w:val="auto"/>
                <w:u w:val="single"/>
              </w:rPr>
            </w:pPr>
            <w:r>
              <w:rPr>
                <w:rFonts w:ascii="Times New Roman" w:hAnsi="Times New Roman"/>
                <w:b/>
                <w:color w:val="auto"/>
                <w:u w:val="single"/>
              </w:rPr>
              <w:t>2.</w:t>
            </w:r>
            <w:r>
              <w:rPr>
                <w:rFonts w:hint="eastAsia" w:ascii="Times New Roman" w:hAnsi="Times New Roman"/>
                <w:b/>
                <w:color w:val="auto"/>
                <w:u w:val="single"/>
              </w:rPr>
              <w:t>2</w:t>
            </w:r>
            <w:r>
              <w:rPr>
                <w:rFonts w:hint="eastAsia" w:ascii="Times New Roman" w:hAnsi="Times New Roman"/>
                <w:b/>
                <w:color w:val="auto"/>
                <w:u w:val="single"/>
                <w:lang w:val="en-US" w:eastAsia="zh-CN"/>
              </w:rPr>
              <w:t>现有管道工程</w:t>
            </w:r>
            <w:r>
              <w:rPr>
                <w:rFonts w:ascii="Times New Roman" w:hAnsi="Times New Roman"/>
                <w:b/>
                <w:color w:val="auto"/>
                <w:u w:val="single"/>
              </w:rPr>
              <w:t>概况</w:t>
            </w:r>
          </w:p>
          <w:p w14:paraId="0F4DF8BF">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 w:val="24"/>
                <w:u w:val="single"/>
                <w:lang w:val="en-US" w:eastAsia="zh-CN"/>
              </w:rPr>
            </w:pPr>
            <w:r>
              <w:rPr>
                <w:rFonts w:hint="default" w:ascii="Times New Roman" w:hAnsi="Times New Roman" w:cs="Times New Roman"/>
                <w:color w:val="auto"/>
                <w:sz w:val="24"/>
                <w:u w:val="single"/>
              </w:rPr>
              <w:t>广西钦州泰兴石油化工有限公司火炬位于广西钦州泰兴石油化工有限公司西面117米，原有管廊和</w:t>
            </w:r>
            <w:r>
              <w:rPr>
                <w:rFonts w:hint="default" w:ascii="Times New Roman" w:hAnsi="Times New Roman" w:cs="Times New Roman"/>
                <w:color w:val="auto"/>
                <w:sz w:val="24"/>
                <w:u w:val="single"/>
                <w:lang w:val="en-US" w:eastAsia="zh-CN"/>
              </w:rPr>
              <w:t>露天</w:t>
            </w:r>
            <w:r>
              <w:rPr>
                <w:rFonts w:hint="eastAsia" w:cs="Times New Roman"/>
                <w:color w:val="auto"/>
                <w:sz w:val="24"/>
                <w:u w:val="single"/>
                <w:lang w:val="en-US" w:eastAsia="zh-CN"/>
              </w:rPr>
              <w:t>消防水管</w:t>
            </w:r>
            <w:r>
              <w:rPr>
                <w:rFonts w:hint="default" w:ascii="Times New Roman" w:hAnsi="Times New Roman" w:cs="Times New Roman"/>
                <w:color w:val="auto"/>
                <w:sz w:val="24"/>
                <w:u w:val="single"/>
              </w:rPr>
              <w:t>（2根，DN250）从广西钦州泰兴石油化工有限公司围墙接出，向西接至火炬</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single"/>
                <w:lang w:val="en-US" w:eastAsia="zh-CN"/>
              </w:rPr>
              <w:t>火炬区设施包括火炬炉膛、地面燃烧器、防风墙、地面火炬多级燃烧系统、长明灯及点火装置、冷凝罐等，火炬周边配备消防栓、高压水炮、灭火器、消防沙池等完善的消防设施。</w:t>
            </w:r>
          </w:p>
          <w:p w14:paraId="21F36940">
            <w:pPr>
              <w:pStyle w:val="2"/>
              <w:keepNext w:val="0"/>
              <w:keepLines w:val="0"/>
              <w:pageBreakBefore w:val="0"/>
              <w:widowControl/>
              <w:kinsoku/>
              <w:wordWrap/>
              <w:overflowPunct/>
              <w:topLinePunct/>
              <w:autoSpaceDE/>
              <w:autoSpaceDN/>
              <w:bidi w:val="0"/>
              <w:adjustRightInd/>
              <w:snapToGrid/>
              <w:spacing w:after="0"/>
              <w:ind w:firstLine="504" w:firstLineChars="200"/>
              <w:textAlignment w:val="auto"/>
              <w:rPr>
                <w:rFonts w:hint="default" w:ascii="Times New Roman" w:hAnsi="Times New Roman" w:eastAsia="宋体" w:cs="Times New Roman"/>
                <w:color w:val="auto"/>
                <w:spacing w:val="0"/>
                <w:kern w:val="2"/>
                <w:sz w:val="24"/>
                <w:szCs w:val="24"/>
                <w:u w:val="single"/>
                <w:lang w:val="en-US" w:eastAsia="zh-CN" w:bidi="ar-SA"/>
              </w:rPr>
            </w:pPr>
            <w:r>
              <w:rPr>
                <w:rFonts w:hint="default" w:ascii="Times New Roman" w:hAnsi="Times New Roman" w:cs="Times New Roman"/>
                <w:color w:val="auto"/>
                <w:sz w:val="24"/>
                <w:u w:val="single"/>
              </w:rPr>
              <w:t>原有管廊</w:t>
            </w:r>
            <w:r>
              <w:rPr>
                <w:rFonts w:hint="default" w:ascii="Times New Roman" w:hAnsi="Times New Roman" w:eastAsia="宋体" w:cs="Times New Roman"/>
                <w:color w:val="auto"/>
                <w:spacing w:val="0"/>
                <w:kern w:val="2"/>
                <w:sz w:val="24"/>
                <w:szCs w:val="24"/>
                <w:u w:val="single"/>
                <w:lang w:val="en-US" w:eastAsia="zh-CN" w:bidi="ar-SA"/>
              </w:rPr>
              <w:t>上敷设有管道和电缆桥架，管道包括：一根DN350火炬气管道、一根DN50燃料气管道、一根DN50</w:t>
            </w:r>
            <w:r>
              <w:rPr>
                <w:rFonts w:hint="eastAsia" w:ascii="Times New Roman" w:hAnsi="Times New Roman" w:cs="Times New Roman"/>
                <w:color w:val="auto"/>
                <w:spacing w:val="0"/>
                <w:kern w:val="2"/>
                <w:sz w:val="24"/>
                <w:szCs w:val="24"/>
                <w:u w:val="single"/>
                <w:lang w:val="en-US" w:eastAsia="zh-CN" w:bidi="ar-SA"/>
              </w:rPr>
              <w:t>凝缩油（属烃类冷凝液）</w:t>
            </w:r>
            <w:r>
              <w:rPr>
                <w:rFonts w:hint="default" w:ascii="Times New Roman" w:hAnsi="Times New Roman" w:eastAsia="宋体" w:cs="Times New Roman"/>
                <w:color w:val="auto"/>
                <w:spacing w:val="0"/>
                <w:kern w:val="2"/>
                <w:sz w:val="24"/>
                <w:szCs w:val="24"/>
                <w:u w:val="single"/>
                <w:lang w:val="en-US" w:eastAsia="zh-CN" w:bidi="ar-SA"/>
              </w:rPr>
              <w:t>管道、一根DN50仪表空气管道、一根DN50氮气管道和一根DN150蒸汽管道</w:t>
            </w:r>
            <w:r>
              <w:rPr>
                <w:rFonts w:hint="eastAsia" w:ascii="Times New Roman" w:hAnsi="Times New Roman" w:cs="Times New Roman"/>
                <w:color w:val="auto"/>
                <w:spacing w:val="0"/>
                <w:kern w:val="2"/>
                <w:sz w:val="24"/>
                <w:szCs w:val="24"/>
                <w:u w:val="single"/>
                <w:lang w:val="en-US" w:eastAsia="zh-CN" w:bidi="ar-SA"/>
              </w:rPr>
              <w:t>，</w:t>
            </w:r>
            <w:r>
              <w:rPr>
                <w:rFonts w:hint="default" w:ascii="Times New Roman" w:hAnsi="Times New Roman" w:cs="Times New Roman"/>
                <w:color w:val="auto"/>
                <w:sz w:val="24"/>
                <w:u w:val="single"/>
              </w:rPr>
              <w:t>2根DN250</w:t>
            </w:r>
            <w:r>
              <w:rPr>
                <w:rFonts w:hint="default" w:ascii="Times New Roman" w:hAnsi="Times New Roman" w:cs="Times New Roman"/>
                <w:color w:val="auto"/>
                <w:spacing w:val="0"/>
                <w:kern w:val="2"/>
                <w:sz w:val="24"/>
                <w:szCs w:val="24"/>
                <w:u w:val="single"/>
                <w:lang w:val="en-US" w:eastAsia="zh-CN" w:bidi="ar-SA"/>
              </w:rPr>
              <w:t>消防</w:t>
            </w:r>
            <w:r>
              <w:rPr>
                <w:rFonts w:hint="default" w:ascii="Times New Roman" w:hAnsi="Times New Roman" w:cs="Times New Roman"/>
                <w:color w:val="auto"/>
                <w:sz w:val="24"/>
                <w:u w:val="single"/>
                <w:lang w:val="en-US" w:eastAsia="zh-CN"/>
              </w:rPr>
              <w:t>水管。</w:t>
            </w:r>
          </w:p>
          <w:p w14:paraId="5E78AB1B">
            <w:pPr>
              <w:pStyle w:val="16"/>
              <w:keepNext w:val="0"/>
              <w:keepLines w:val="0"/>
              <w:pageBreakBefore w:val="0"/>
              <w:widowControl w:val="0"/>
              <w:kinsoku/>
              <w:wordWrap/>
              <w:overflowPunct/>
              <w:topLinePunct w:val="0"/>
              <w:autoSpaceDE/>
              <w:autoSpaceDN/>
              <w:bidi w:val="0"/>
              <w:adjustRightInd/>
              <w:snapToGrid/>
              <w:spacing w:after="0" w:line="360" w:lineRule="auto"/>
              <w:ind w:firstLine="504" w:firstLineChars="200"/>
              <w:textAlignment w:val="auto"/>
              <w:rPr>
                <w:rFonts w:hint="default" w:ascii="Times New Roman" w:hAnsi="Times New Roman" w:eastAsia="宋体" w:cs="Times New Roman"/>
                <w:color w:val="auto"/>
                <w:spacing w:val="6"/>
                <w:kern w:val="0"/>
                <w:sz w:val="24"/>
                <w:szCs w:val="20"/>
                <w:u w:val="single"/>
                <w:lang w:val="en-US" w:eastAsia="zh-CN" w:bidi="ar-SA"/>
              </w:rPr>
            </w:pPr>
            <w:r>
              <w:rPr>
                <w:rFonts w:hint="default" w:ascii="Times New Roman" w:hAnsi="Times New Roman" w:eastAsia="宋体" w:cs="Times New Roman"/>
                <w:color w:val="auto"/>
                <w:spacing w:val="6"/>
                <w:kern w:val="0"/>
                <w:sz w:val="24"/>
                <w:szCs w:val="20"/>
                <w:u w:val="single"/>
                <w:lang w:val="en-US" w:eastAsia="zh-CN" w:bidi="ar-SA"/>
              </w:rPr>
              <w:t>本次拟拆除的管段为位于天恒石化有限公司厂区（二）用地范围内的管廊管道，起点为泰兴石化西面围墙现有管廊端头，终点为泰兴石化地面火炬用地</w:t>
            </w:r>
            <w:r>
              <w:rPr>
                <w:rFonts w:hint="default" w:ascii="Times New Roman" w:hAnsi="Times New Roman" w:cs="Times New Roman"/>
                <w:color w:val="auto"/>
                <w:spacing w:val="6"/>
                <w:kern w:val="0"/>
                <w:sz w:val="24"/>
                <w:szCs w:val="20"/>
                <w:u w:val="single"/>
                <w:lang w:val="en-US" w:eastAsia="zh-CN" w:bidi="ar-SA"/>
              </w:rPr>
              <w:t>东面围墙。</w:t>
            </w:r>
          </w:p>
          <w:p w14:paraId="7F1AF70A">
            <w:pPr>
              <w:pStyle w:val="2"/>
              <w:keepNext w:val="0"/>
              <w:keepLines w:val="0"/>
              <w:pageBreakBefore w:val="0"/>
              <w:kinsoku/>
              <w:wordWrap/>
              <w:overflowPunct/>
              <w:autoSpaceDE/>
              <w:autoSpaceDN/>
              <w:bidi w:val="0"/>
              <w:adjustRightInd/>
              <w:snapToGrid w:val="0"/>
              <w:spacing w:after="0"/>
              <w:ind w:firstLine="586" w:firstLineChars="200"/>
              <w:textAlignment w:val="auto"/>
              <w:rPr>
                <w:rFonts w:ascii="Times New Roman" w:hAnsi="Times New Roman"/>
                <w:b/>
                <w:color w:val="auto"/>
              </w:rPr>
            </w:pPr>
            <w:r>
              <w:rPr>
                <w:rFonts w:ascii="Times New Roman" w:hAnsi="Times New Roman"/>
                <w:b/>
                <w:color w:val="auto"/>
              </w:rPr>
              <w:t>2.</w:t>
            </w:r>
            <w:r>
              <w:rPr>
                <w:rFonts w:hint="eastAsia" w:ascii="Times New Roman" w:hAnsi="Times New Roman"/>
                <w:b/>
                <w:color w:val="auto"/>
                <w:lang w:val="en-US" w:eastAsia="zh-CN"/>
              </w:rPr>
              <w:t>3</w:t>
            </w:r>
            <w:r>
              <w:rPr>
                <w:rFonts w:ascii="Times New Roman" w:hAnsi="Times New Roman"/>
                <w:b/>
                <w:color w:val="auto"/>
              </w:rPr>
              <w:t>本项目概况</w:t>
            </w:r>
          </w:p>
          <w:p w14:paraId="4C7E7A09">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 xml:space="preserve">项目名称：钦州泰兴石化管廊迁改工程； </w:t>
            </w:r>
          </w:p>
          <w:p w14:paraId="460C265E">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 xml:space="preserve">建设单位：广西钦州临海建设投资有限公司； </w:t>
            </w:r>
          </w:p>
          <w:p w14:paraId="299BD9DB">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 xml:space="preserve">项目性质：迁建； </w:t>
            </w:r>
          </w:p>
          <w:p w14:paraId="6B2E7005">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建设地点：广西钦州市钦州港区广西钦州泰兴石油化工有限公司西面空地；</w:t>
            </w:r>
          </w:p>
          <w:p w14:paraId="26E3D838">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 xml:space="preserve">投资总额：317.70万元； </w:t>
            </w:r>
          </w:p>
          <w:p w14:paraId="067C6457">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占地面积：</w:t>
            </w:r>
            <w:r>
              <w:rPr>
                <w:color w:val="auto"/>
                <w:sz w:val="24"/>
              </w:rPr>
              <w:t>694.75</w:t>
            </w:r>
            <w:r>
              <w:rPr>
                <w:rFonts w:hint="eastAsia"/>
                <w:color w:val="auto"/>
                <w:sz w:val="24"/>
              </w:rPr>
              <w:t>m</w:t>
            </w:r>
            <w:r>
              <w:rPr>
                <w:rFonts w:hint="eastAsia"/>
                <w:color w:val="auto"/>
                <w:sz w:val="24"/>
                <w:vertAlign w:val="superscript"/>
              </w:rPr>
              <w:t>2</w:t>
            </w:r>
            <w:r>
              <w:rPr>
                <w:rFonts w:hint="eastAsia"/>
                <w:color w:val="auto"/>
                <w:sz w:val="24"/>
              </w:rPr>
              <w:t>；</w:t>
            </w:r>
          </w:p>
          <w:p w14:paraId="4285E851">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项目</w:t>
            </w:r>
            <w:bookmarkStart w:id="11" w:name="OLE_LINK14"/>
            <w:r>
              <w:rPr>
                <w:rFonts w:hint="eastAsia"/>
                <w:color w:val="auto"/>
                <w:sz w:val="24"/>
              </w:rPr>
              <w:t>建设内容：包括管廊迁改、管廊上的管道迁改、消防水管迁改、电缆桥架迁改、建设火炬防护围墙、开设巡检门等</w:t>
            </w:r>
            <w:bookmarkEnd w:id="11"/>
            <w:r>
              <w:rPr>
                <w:rFonts w:hint="eastAsia"/>
                <w:color w:val="auto"/>
                <w:sz w:val="24"/>
              </w:rPr>
              <w:t>。本迁建工程</w:t>
            </w:r>
            <w:bookmarkStart w:id="12" w:name="OLE_LINK18"/>
            <w:r>
              <w:rPr>
                <w:rFonts w:hint="eastAsia"/>
                <w:color w:val="auto"/>
                <w:sz w:val="24"/>
              </w:rPr>
              <w:t>不涉及站场、截断阀室</w:t>
            </w:r>
            <w:bookmarkEnd w:id="12"/>
            <w:r>
              <w:rPr>
                <w:rFonts w:hint="eastAsia"/>
                <w:color w:val="auto"/>
                <w:sz w:val="24"/>
              </w:rPr>
              <w:t>。</w:t>
            </w:r>
            <w:bookmarkStart w:id="13" w:name="OLE_LINK17"/>
            <w:r>
              <w:rPr>
                <w:rFonts w:hint="eastAsia"/>
                <w:color w:val="auto"/>
                <w:sz w:val="24"/>
              </w:rPr>
              <w:t>具体如下：</w:t>
            </w:r>
            <w:bookmarkEnd w:id="13"/>
          </w:p>
          <w:p w14:paraId="2FBEF702">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bookmarkStart w:id="14" w:name="OLE_LINK15"/>
            <w:r>
              <w:rPr>
                <w:rFonts w:hint="eastAsia"/>
                <w:color w:val="auto"/>
                <w:sz w:val="24"/>
                <w:lang w:eastAsia="zh-CN"/>
              </w:rPr>
              <w:t>（</w:t>
            </w:r>
            <w:r>
              <w:rPr>
                <w:rFonts w:hint="eastAsia"/>
                <w:color w:val="auto"/>
                <w:sz w:val="24"/>
                <w:lang w:val="en-US" w:eastAsia="zh-CN"/>
              </w:rPr>
              <w:t>1）</w:t>
            </w:r>
            <w:r>
              <w:rPr>
                <w:rFonts w:hint="eastAsia"/>
                <w:color w:val="auto"/>
                <w:sz w:val="24"/>
              </w:rPr>
              <w:t>管廊迁改</w:t>
            </w:r>
          </w:p>
          <w:p w14:paraId="61A9186B">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将位于钦州天恒石化有限公司厂区（二）规划用地范围内的泰兴石化火炬配套管廊进行迁改，迁改后的管廊走向如下：</w:t>
            </w:r>
          </w:p>
          <w:p w14:paraId="5EFF5604">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迁改后的管廊以泰兴石化西面围墙现有管廊端头为起点，向北沿围墙边缘敷设68m至泰兴石化西北角，再沿着现有园区公共管廊平行向西82.5m，最后向南48m接至泰兴石化地面火炬用地。管廊全长198.5m，管廊宽度2m，层数2层</w:t>
            </w:r>
            <w:r>
              <w:rPr>
                <w:rFonts w:hint="eastAsia"/>
                <w:color w:val="auto"/>
                <w:sz w:val="24"/>
                <w:lang w:eastAsia="zh-CN"/>
              </w:rPr>
              <w:t>，</w:t>
            </w:r>
            <w:r>
              <w:rPr>
                <w:rFonts w:hint="eastAsia"/>
                <w:color w:val="auto"/>
                <w:sz w:val="24"/>
                <w:lang w:val="en-US" w:eastAsia="zh-CN"/>
              </w:rPr>
              <w:t>第一层离地高度6m，第二层离地高度8.4m</w:t>
            </w:r>
            <w:r>
              <w:rPr>
                <w:rFonts w:hint="eastAsia"/>
                <w:color w:val="auto"/>
                <w:sz w:val="24"/>
              </w:rPr>
              <w:t>。</w:t>
            </w:r>
          </w:p>
          <w:p w14:paraId="06E7A0DA">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rPr>
              <w:t>管廊上的管道迁改</w:t>
            </w:r>
          </w:p>
          <w:p w14:paraId="114CD3B3">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将界区内原有管廊变迁改造，同时将管廊上的管道做相应调整迁移，包括一根DN350火炬气管道、一根DN50燃料气管道、一根DN50</w:t>
            </w:r>
            <w:r>
              <w:rPr>
                <w:rFonts w:hint="eastAsia"/>
                <w:color w:val="auto"/>
                <w:sz w:val="24"/>
                <w:lang w:eastAsia="zh-CN"/>
              </w:rPr>
              <w:t>凝缩</w:t>
            </w:r>
            <w:r>
              <w:rPr>
                <w:rFonts w:hint="eastAsia"/>
                <w:color w:val="auto"/>
                <w:sz w:val="24"/>
                <w:lang w:val="en-US" w:eastAsia="zh-CN"/>
              </w:rPr>
              <w:t>油</w:t>
            </w:r>
            <w:r>
              <w:rPr>
                <w:rFonts w:hint="eastAsia"/>
                <w:color w:val="auto"/>
                <w:sz w:val="24"/>
                <w:lang w:eastAsia="zh-CN"/>
              </w:rPr>
              <w:t>（</w:t>
            </w:r>
            <w:r>
              <w:rPr>
                <w:rFonts w:hint="eastAsia"/>
                <w:color w:val="auto"/>
                <w:sz w:val="24"/>
                <w:lang w:val="en-US" w:eastAsia="zh-CN"/>
              </w:rPr>
              <w:t>属</w:t>
            </w:r>
            <w:r>
              <w:rPr>
                <w:rFonts w:hint="eastAsia"/>
                <w:color w:val="auto"/>
                <w:sz w:val="24"/>
                <w:lang w:eastAsia="zh-CN"/>
              </w:rPr>
              <w:t>烃类冷凝液）</w:t>
            </w:r>
            <w:r>
              <w:rPr>
                <w:rFonts w:hint="eastAsia"/>
                <w:color w:val="auto"/>
                <w:sz w:val="24"/>
              </w:rPr>
              <w:t>管道、一根DN50仪表空气管道、一根DN50氮气管道和一根DN150蒸汽管道。</w:t>
            </w:r>
          </w:p>
          <w:p w14:paraId="2AFDD705">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rPr>
              <w:t>消防水管迁改</w:t>
            </w:r>
          </w:p>
          <w:p w14:paraId="51887315">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将界区内原有管廊变迁改造，原管廊上的2根DN250消防给水管做相应调整，由原有露天敷设变更为埋地敷设。埋地消防水管从广西钦州泰兴石油化工有限公司西边围墙出来，沿钦州天恒石化有限公司厂区（二）用地北面向西埋地敷设79.5m，再向南埋地敷设30m。</w:t>
            </w:r>
          </w:p>
          <w:p w14:paraId="52493975">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lang w:eastAsia="zh-CN"/>
              </w:rPr>
              <w:t>（</w:t>
            </w:r>
            <w:r>
              <w:rPr>
                <w:rFonts w:hint="eastAsia"/>
                <w:color w:val="auto"/>
                <w:sz w:val="24"/>
                <w:lang w:val="en-US" w:eastAsia="zh-CN"/>
              </w:rPr>
              <w:t>4）</w:t>
            </w:r>
            <w:r>
              <w:rPr>
                <w:rFonts w:hint="eastAsia"/>
                <w:color w:val="auto"/>
                <w:sz w:val="24"/>
              </w:rPr>
              <w:t>电缆桥架迁改</w:t>
            </w:r>
          </w:p>
          <w:p w14:paraId="24321501">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火炬配套的动力电缆、通信电缆迁改，重新配线，从广西钦州泰兴石油化工有限公司的配电室或控制室沿迁改后管廊接至火炬装置。</w:t>
            </w:r>
          </w:p>
          <w:p w14:paraId="1BBE73E8">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lang w:eastAsia="zh-CN"/>
              </w:rPr>
              <w:t>（</w:t>
            </w:r>
            <w:r>
              <w:rPr>
                <w:rFonts w:hint="eastAsia"/>
                <w:color w:val="auto"/>
                <w:sz w:val="24"/>
                <w:lang w:val="en-US" w:eastAsia="zh-CN"/>
              </w:rPr>
              <w:t>5）</w:t>
            </w:r>
            <w:r>
              <w:rPr>
                <w:rFonts w:hint="eastAsia"/>
                <w:color w:val="auto"/>
                <w:sz w:val="24"/>
              </w:rPr>
              <w:t>建设火炬</w:t>
            </w:r>
            <w:r>
              <w:rPr>
                <w:rFonts w:hint="eastAsia"/>
                <w:color w:val="auto"/>
                <w:sz w:val="24"/>
                <w:lang w:val="en-US" w:eastAsia="zh-CN"/>
              </w:rPr>
              <w:t>区</w:t>
            </w:r>
            <w:r>
              <w:rPr>
                <w:rFonts w:hint="eastAsia"/>
                <w:color w:val="auto"/>
                <w:sz w:val="24"/>
              </w:rPr>
              <w:t>防护围墙</w:t>
            </w:r>
          </w:p>
          <w:p w14:paraId="6A52A19D">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在火炬北面和西面建设约90m围墙，东面和南面依托钦州天恒石化有限公司围墙对火炬区域进行防护，围墙高2.5m，北面围墙拟设置宽6m的消防大门，围墙转角处转弯半径R=12m，以满足消防车辆转弯半径要求。</w:t>
            </w:r>
          </w:p>
          <w:p w14:paraId="59DEC769">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lang w:eastAsia="zh-CN"/>
              </w:rPr>
              <w:t>（</w:t>
            </w:r>
            <w:r>
              <w:rPr>
                <w:rFonts w:hint="eastAsia"/>
                <w:color w:val="auto"/>
                <w:sz w:val="24"/>
                <w:lang w:val="en-US" w:eastAsia="zh-CN"/>
              </w:rPr>
              <w:t>6）</w:t>
            </w:r>
            <w:r>
              <w:rPr>
                <w:rFonts w:hint="eastAsia"/>
                <w:color w:val="auto"/>
                <w:sz w:val="24"/>
              </w:rPr>
              <w:t>开设巡检门</w:t>
            </w:r>
          </w:p>
          <w:p w14:paraId="58DF0059">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color w:val="auto"/>
                <w:sz w:val="24"/>
              </w:rPr>
            </w:pPr>
            <w:r>
              <w:rPr>
                <w:rFonts w:hint="eastAsia"/>
                <w:color w:val="auto"/>
                <w:sz w:val="24"/>
              </w:rPr>
              <w:t>在广西钦州泰兴石油化工有限公司西北角围墙处设置一个2m宽的</w:t>
            </w:r>
            <w:r>
              <w:rPr>
                <w:rFonts w:hint="eastAsia"/>
                <w:color w:val="auto"/>
                <w:sz w:val="24"/>
                <w:lang w:eastAsia="zh-CN"/>
              </w:rPr>
              <w:t>人形</w:t>
            </w:r>
            <w:r>
              <w:rPr>
                <w:rFonts w:hint="eastAsia"/>
                <w:color w:val="auto"/>
                <w:sz w:val="24"/>
              </w:rPr>
              <w:t>门，便于广西钦州泰兴石油化工有限公司对火炬装置及厂区外管道进行巡检。</w:t>
            </w:r>
          </w:p>
          <w:bookmarkEnd w:id="14"/>
          <w:p w14:paraId="1CF58574">
            <w:pPr>
              <w:keepNext w:val="0"/>
              <w:keepLines w:val="0"/>
              <w:pageBreakBefore w:val="0"/>
              <w:widowControl/>
              <w:kinsoku/>
              <w:wordWrap/>
              <w:overflowPunct/>
              <w:topLinePunct/>
              <w:autoSpaceDE/>
              <w:autoSpaceDN/>
              <w:bidi w:val="0"/>
              <w:adjustRightInd/>
              <w:snapToGrid/>
              <w:spacing w:after="0" w:line="360" w:lineRule="auto"/>
              <w:ind w:firstLine="446" w:firstLineChars="200"/>
              <w:jc w:val="center"/>
              <w:textAlignment w:val="auto"/>
              <w:rPr>
                <w:b/>
                <w:bCs/>
                <w:color w:val="auto"/>
                <w:spacing w:val="6"/>
                <w:kern w:val="0"/>
                <w:szCs w:val="21"/>
              </w:rPr>
            </w:pPr>
            <w:r>
              <w:rPr>
                <w:b/>
                <w:bCs/>
                <w:color w:val="auto"/>
                <w:spacing w:val="6"/>
                <w:kern w:val="0"/>
                <w:szCs w:val="21"/>
              </w:rPr>
              <w:t>表2-</w:t>
            </w:r>
            <w:r>
              <w:rPr>
                <w:rFonts w:hint="eastAsia"/>
                <w:b/>
                <w:bCs/>
                <w:color w:val="auto"/>
                <w:spacing w:val="6"/>
                <w:kern w:val="0"/>
                <w:szCs w:val="21"/>
              </w:rPr>
              <w:t>1</w:t>
            </w:r>
            <w:r>
              <w:rPr>
                <w:b/>
                <w:bCs/>
                <w:color w:val="auto"/>
                <w:spacing w:val="6"/>
                <w:kern w:val="0"/>
                <w:szCs w:val="21"/>
              </w:rPr>
              <w:t>本项目建设内容及规模一览表</w:t>
            </w:r>
          </w:p>
          <w:tbl>
            <w:tblPr>
              <w:tblStyle w:val="23"/>
              <w:tblW w:w="81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370"/>
              <w:gridCol w:w="5667"/>
            </w:tblGrid>
            <w:tr w14:paraId="3652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blHeader/>
              </w:trPr>
              <w:tc>
                <w:tcPr>
                  <w:tcW w:w="1115" w:type="dxa"/>
                  <w:vAlign w:val="center"/>
                </w:tcPr>
                <w:p w14:paraId="5313482B">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b/>
                      <w:bCs/>
                      <w:color w:val="auto"/>
                      <w:spacing w:val="6"/>
                      <w:kern w:val="0"/>
                      <w:szCs w:val="21"/>
                    </w:rPr>
                  </w:pPr>
                  <w:r>
                    <w:rPr>
                      <w:rFonts w:hint="default" w:ascii="Times New Roman" w:hAnsi="Times New Roman" w:cs="Times New Roman"/>
                      <w:b/>
                      <w:bCs/>
                      <w:color w:val="auto"/>
                      <w:spacing w:val="6"/>
                      <w:kern w:val="0"/>
                      <w:szCs w:val="21"/>
                    </w:rPr>
                    <w:t>工程类别</w:t>
                  </w:r>
                </w:p>
              </w:tc>
              <w:tc>
                <w:tcPr>
                  <w:tcW w:w="1370" w:type="dxa"/>
                  <w:vAlign w:val="center"/>
                </w:tcPr>
                <w:p w14:paraId="136EFD44">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b/>
                      <w:bCs/>
                      <w:color w:val="auto"/>
                      <w:spacing w:val="6"/>
                      <w:kern w:val="0"/>
                      <w:szCs w:val="21"/>
                    </w:rPr>
                  </w:pPr>
                  <w:r>
                    <w:rPr>
                      <w:rFonts w:hint="default" w:ascii="Times New Roman" w:hAnsi="Times New Roman" w:cs="Times New Roman"/>
                      <w:b/>
                      <w:bCs/>
                      <w:color w:val="auto"/>
                      <w:spacing w:val="6"/>
                      <w:kern w:val="0"/>
                      <w:szCs w:val="21"/>
                    </w:rPr>
                    <w:t>工程名称</w:t>
                  </w:r>
                </w:p>
              </w:tc>
              <w:tc>
                <w:tcPr>
                  <w:tcW w:w="5667" w:type="dxa"/>
                  <w:vAlign w:val="center"/>
                </w:tcPr>
                <w:p w14:paraId="2193E5CE">
                  <w:pPr>
                    <w:keepNext w:val="0"/>
                    <w:keepLines w:val="0"/>
                    <w:pageBreakBefore w:val="0"/>
                    <w:widowControl/>
                    <w:kinsoku/>
                    <w:wordWrap/>
                    <w:overflowPunct/>
                    <w:topLinePunct/>
                    <w:autoSpaceDE/>
                    <w:autoSpaceDN/>
                    <w:bidi w:val="0"/>
                    <w:adjustRightInd/>
                    <w:snapToGrid w:val="0"/>
                    <w:spacing w:after="0" w:line="240" w:lineRule="auto"/>
                    <w:jc w:val="center"/>
                    <w:textAlignment w:val="auto"/>
                    <w:rPr>
                      <w:rFonts w:hint="default" w:ascii="Times New Roman" w:hAnsi="Times New Roman" w:cs="Times New Roman"/>
                      <w:b/>
                      <w:bCs/>
                      <w:color w:val="auto"/>
                      <w:spacing w:val="6"/>
                      <w:kern w:val="0"/>
                      <w:szCs w:val="21"/>
                    </w:rPr>
                  </w:pPr>
                  <w:r>
                    <w:rPr>
                      <w:rFonts w:hint="default" w:ascii="Times New Roman" w:hAnsi="Times New Roman" w:cs="Times New Roman"/>
                      <w:b/>
                      <w:bCs/>
                      <w:color w:val="auto"/>
                      <w:spacing w:val="6"/>
                      <w:kern w:val="0"/>
                      <w:szCs w:val="21"/>
                    </w:rPr>
                    <w:t>建设内容及规模</w:t>
                  </w:r>
                </w:p>
              </w:tc>
            </w:tr>
            <w:tr w14:paraId="50E8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15" w:type="dxa"/>
                  <w:vMerge w:val="restart"/>
                  <w:vAlign w:val="center"/>
                </w:tcPr>
                <w:p w14:paraId="6AAA43EC">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主体工程</w:t>
                  </w:r>
                </w:p>
              </w:tc>
              <w:tc>
                <w:tcPr>
                  <w:tcW w:w="1370" w:type="dxa"/>
                  <w:vAlign w:val="center"/>
                </w:tcPr>
                <w:p w14:paraId="0AFEEF38">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管廊迁改</w:t>
                  </w:r>
                </w:p>
              </w:tc>
              <w:tc>
                <w:tcPr>
                  <w:tcW w:w="5667" w:type="dxa"/>
                  <w:vAlign w:val="center"/>
                </w:tcPr>
                <w:p w14:paraId="62EF629E">
                  <w:pPr>
                    <w:pStyle w:val="50"/>
                    <w:keepNext w:val="0"/>
                    <w:keepLines w:val="0"/>
                    <w:pageBreakBefore w:val="0"/>
                    <w:widowControl/>
                    <w:kinsoku/>
                    <w:wordWrap/>
                    <w:overflowPunct/>
                    <w:autoSpaceDE/>
                    <w:autoSpaceDN/>
                    <w:bidi w:val="0"/>
                    <w:adjustRightInd/>
                    <w:snapToGrid w:val="0"/>
                    <w:spacing w:after="0"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拆除原有管廊，新建钢结构管廊全长198.5m，管廊宽度2m，层数2层</w:t>
                  </w:r>
                  <w:r>
                    <w:rPr>
                      <w:rFonts w:hint="default" w:ascii="Times New Roman" w:hAnsi="Times New Roman" w:cs="Times New Roman"/>
                      <w:color w:val="auto"/>
                      <w:szCs w:val="21"/>
                      <w:lang w:eastAsia="zh-CN"/>
                    </w:rPr>
                    <w:t>，第一层离地高度6m，第二层离地高度8.4m</w:t>
                  </w:r>
                  <w:r>
                    <w:rPr>
                      <w:rFonts w:hint="default" w:ascii="Times New Roman" w:hAnsi="Times New Roman" w:cs="Times New Roman"/>
                      <w:color w:val="auto"/>
                      <w:szCs w:val="21"/>
                    </w:rPr>
                    <w:t>。</w:t>
                  </w:r>
                </w:p>
              </w:tc>
            </w:tr>
            <w:tr w14:paraId="7860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115" w:type="dxa"/>
                  <w:vMerge w:val="continue"/>
                  <w:vAlign w:val="center"/>
                </w:tcPr>
                <w:p w14:paraId="5D3FCD5C">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3D8CDB9C">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管廊上的管道迁改</w:t>
                  </w:r>
                </w:p>
              </w:tc>
              <w:tc>
                <w:tcPr>
                  <w:tcW w:w="5667" w:type="dxa"/>
                  <w:vAlign w:val="center"/>
                </w:tcPr>
                <w:p w14:paraId="577BCB60">
                  <w:pPr>
                    <w:pStyle w:val="50"/>
                    <w:keepNext w:val="0"/>
                    <w:keepLines w:val="0"/>
                    <w:pageBreakBefore w:val="0"/>
                    <w:widowControl/>
                    <w:kinsoku/>
                    <w:wordWrap/>
                    <w:overflowPunct/>
                    <w:autoSpaceDE/>
                    <w:autoSpaceDN/>
                    <w:bidi w:val="0"/>
                    <w:adjustRightInd/>
                    <w:snapToGrid w:val="0"/>
                    <w:spacing w:after="0" w:line="240" w:lineRule="auto"/>
                    <w:textAlignment w:val="auto"/>
                    <w:rPr>
                      <w:rStyle w:val="52"/>
                      <w:rFonts w:hint="default" w:ascii="Times New Roman" w:hAnsi="Times New Roman" w:cs="Times New Roman"/>
                      <w:color w:val="auto"/>
                      <w:sz w:val="21"/>
                    </w:rPr>
                  </w:pPr>
                  <w:r>
                    <w:rPr>
                      <w:rStyle w:val="52"/>
                      <w:rFonts w:hint="default" w:ascii="Times New Roman" w:hAnsi="Times New Roman" w:cs="Times New Roman"/>
                      <w:color w:val="auto"/>
                      <w:sz w:val="21"/>
                    </w:rPr>
                    <w:t>拆除原有管廊上的管道，新建一根DN350火炬气管道214m、一根DN50燃料气管道212m、一根DN50</w:t>
                  </w:r>
                  <w:r>
                    <w:rPr>
                      <w:rStyle w:val="52"/>
                      <w:rFonts w:hint="eastAsia" w:cs="Times New Roman"/>
                      <w:color w:val="auto"/>
                      <w:sz w:val="21"/>
                      <w:lang w:eastAsia="zh-CN"/>
                    </w:rPr>
                    <w:t>凝缩油（属烃类冷凝液）</w:t>
                  </w:r>
                  <w:r>
                    <w:rPr>
                      <w:rStyle w:val="52"/>
                      <w:rFonts w:hint="default" w:ascii="Times New Roman" w:hAnsi="Times New Roman" w:cs="Times New Roman"/>
                      <w:color w:val="auto"/>
                      <w:sz w:val="21"/>
                    </w:rPr>
                    <w:t>管道212m、一根DN50仪表空气管道212m、一根DN50氮气管道212m和一根DN150蒸汽管道193m。</w:t>
                  </w:r>
                </w:p>
              </w:tc>
            </w:tr>
            <w:tr w14:paraId="35D7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115" w:type="dxa"/>
                  <w:vMerge w:val="continue"/>
                  <w:vAlign w:val="center"/>
                </w:tcPr>
                <w:p w14:paraId="3DB5ECC5">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04976E79">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消防水管迁改</w:t>
                  </w:r>
                </w:p>
              </w:tc>
              <w:tc>
                <w:tcPr>
                  <w:tcW w:w="5667" w:type="dxa"/>
                  <w:vAlign w:val="center"/>
                </w:tcPr>
                <w:p w14:paraId="70E157B3">
                  <w:pPr>
                    <w:pStyle w:val="50"/>
                    <w:keepNext w:val="0"/>
                    <w:keepLines w:val="0"/>
                    <w:pageBreakBefore w:val="0"/>
                    <w:widowControl/>
                    <w:kinsoku/>
                    <w:wordWrap/>
                    <w:overflowPunct/>
                    <w:autoSpaceDE/>
                    <w:autoSpaceDN/>
                    <w:bidi w:val="0"/>
                    <w:adjustRightInd/>
                    <w:snapToGrid w:val="0"/>
                    <w:spacing w:after="0" w:line="240" w:lineRule="auto"/>
                    <w:textAlignment w:val="auto"/>
                    <w:rPr>
                      <w:rStyle w:val="52"/>
                      <w:rFonts w:hint="default" w:ascii="Times New Roman" w:hAnsi="Times New Roman" w:cs="Times New Roman"/>
                      <w:color w:val="auto"/>
                      <w:sz w:val="21"/>
                    </w:rPr>
                  </w:pPr>
                  <w:r>
                    <w:rPr>
                      <w:rStyle w:val="52"/>
                      <w:rFonts w:hint="default" w:ascii="Times New Roman" w:hAnsi="Times New Roman" w:cs="Times New Roman"/>
                      <w:color w:val="auto"/>
                      <w:sz w:val="21"/>
                    </w:rPr>
                    <w:t>拆除原管廊上的2根DN250消防给水管，新建2根埋地敷设的DN250消防水管，每根长109.5m。</w:t>
                  </w:r>
                </w:p>
              </w:tc>
            </w:tr>
            <w:tr w14:paraId="18BF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15" w:type="dxa"/>
                  <w:vMerge w:val="continue"/>
                  <w:vAlign w:val="center"/>
                </w:tcPr>
                <w:p w14:paraId="3256E71F">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212504E7">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电缆桥架迁改</w:t>
                  </w:r>
                </w:p>
              </w:tc>
              <w:tc>
                <w:tcPr>
                  <w:tcW w:w="5667" w:type="dxa"/>
                  <w:vAlign w:val="center"/>
                </w:tcPr>
                <w:p w14:paraId="557DF780">
                  <w:pPr>
                    <w:pStyle w:val="50"/>
                    <w:keepNext w:val="0"/>
                    <w:keepLines w:val="0"/>
                    <w:pageBreakBefore w:val="0"/>
                    <w:widowControl/>
                    <w:kinsoku/>
                    <w:wordWrap/>
                    <w:overflowPunct/>
                    <w:autoSpaceDE/>
                    <w:autoSpaceDN/>
                    <w:bidi w:val="0"/>
                    <w:adjustRightInd/>
                    <w:snapToGrid w:val="0"/>
                    <w:spacing w:after="0" w:line="240" w:lineRule="auto"/>
                    <w:textAlignment w:val="auto"/>
                    <w:rPr>
                      <w:rStyle w:val="52"/>
                      <w:rFonts w:hint="default" w:ascii="Times New Roman" w:hAnsi="Times New Roman" w:cs="Times New Roman"/>
                      <w:color w:val="auto"/>
                      <w:sz w:val="21"/>
                    </w:rPr>
                  </w:pPr>
                  <w:r>
                    <w:rPr>
                      <w:rStyle w:val="52"/>
                      <w:rFonts w:hint="default" w:ascii="Times New Roman" w:hAnsi="Times New Roman" w:cs="Times New Roman"/>
                      <w:color w:val="auto"/>
                      <w:sz w:val="21"/>
                    </w:rPr>
                    <w:t>迁改火炬配套的动力电缆、通信电缆，长度200m。</w:t>
                  </w:r>
                </w:p>
              </w:tc>
            </w:tr>
            <w:tr w14:paraId="0CC6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115" w:type="dxa"/>
                  <w:vMerge w:val="continue"/>
                  <w:vAlign w:val="center"/>
                </w:tcPr>
                <w:p w14:paraId="68EED96B">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5817D35C">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火炬</w:t>
                  </w:r>
                  <w:r>
                    <w:rPr>
                      <w:rFonts w:hint="eastAsia" w:ascii="Times New Roman" w:hAnsi="Times New Roman" w:cs="Times New Roman"/>
                      <w:color w:val="auto"/>
                      <w:spacing w:val="6"/>
                      <w:kern w:val="0"/>
                      <w:szCs w:val="21"/>
                      <w:lang w:val="en-US" w:eastAsia="zh-CN"/>
                    </w:rPr>
                    <w:t>区</w:t>
                  </w:r>
                  <w:r>
                    <w:rPr>
                      <w:rFonts w:hint="default" w:ascii="Times New Roman" w:hAnsi="Times New Roman" w:cs="Times New Roman"/>
                      <w:color w:val="auto"/>
                      <w:spacing w:val="6"/>
                      <w:kern w:val="0"/>
                      <w:szCs w:val="21"/>
                    </w:rPr>
                    <w:t>防护围墙</w:t>
                  </w:r>
                </w:p>
              </w:tc>
              <w:tc>
                <w:tcPr>
                  <w:tcW w:w="5667" w:type="dxa"/>
                  <w:vAlign w:val="center"/>
                </w:tcPr>
                <w:p w14:paraId="099B0012">
                  <w:pPr>
                    <w:pStyle w:val="50"/>
                    <w:keepNext w:val="0"/>
                    <w:keepLines w:val="0"/>
                    <w:pageBreakBefore w:val="0"/>
                    <w:widowControl/>
                    <w:kinsoku/>
                    <w:wordWrap/>
                    <w:overflowPunct/>
                    <w:autoSpaceDE/>
                    <w:autoSpaceDN/>
                    <w:bidi w:val="0"/>
                    <w:adjustRightInd/>
                    <w:snapToGrid w:val="0"/>
                    <w:spacing w:after="0" w:line="240" w:lineRule="auto"/>
                    <w:textAlignment w:val="auto"/>
                    <w:rPr>
                      <w:rStyle w:val="52"/>
                      <w:rFonts w:hint="default" w:ascii="Times New Roman" w:hAnsi="Times New Roman" w:cs="Times New Roman"/>
                      <w:color w:val="auto"/>
                      <w:sz w:val="21"/>
                    </w:rPr>
                  </w:pPr>
                  <w:r>
                    <w:rPr>
                      <w:rStyle w:val="52"/>
                      <w:rFonts w:hint="default" w:ascii="Times New Roman" w:hAnsi="Times New Roman" w:cs="Times New Roman"/>
                      <w:color w:val="auto"/>
                      <w:sz w:val="21"/>
                    </w:rPr>
                    <w:t>新建火炬北面和西面建设约90m围墙，围墙高2.5m，北面围墙拟设置宽6m的消防大门。</w:t>
                  </w:r>
                </w:p>
              </w:tc>
            </w:tr>
            <w:tr w14:paraId="0755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5" w:type="dxa"/>
                  <w:vMerge w:val="continue"/>
                  <w:vAlign w:val="center"/>
                </w:tcPr>
                <w:p w14:paraId="4803AF9E">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5D653443">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开设巡检门</w:t>
                  </w:r>
                </w:p>
              </w:tc>
              <w:tc>
                <w:tcPr>
                  <w:tcW w:w="5667" w:type="dxa"/>
                  <w:vAlign w:val="center"/>
                </w:tcPr>
                <w:p w14:paraId="7B02231B">
                  <w:pPr>
                    <w:pStyle w:val="50"/>
                    <w:keepNext w:val="0"/>
                    <w:keepLines w:val="0"/>
                    <w:pageBreakBefore w:val="0"/>
                    <w:widowControl/>
                    <w:kinsoku/>
                    <w:wordWrap/>
                    <w:overflowPunct/>
                    <w:autoSpaceDE/>
                    <w:autoSpaceDN/>
                    <w:bidi w:val="0"/>
                    <w:adjustRightInd/>
                    <w:snapToGrid w:val="0"/>
                    <w:spacing w:after="0" w:line="240" w:lineRule="auto"/>
                    <w:textAlignment w:val="auto"/>
                    <w:rPr>
                      <w:rStyle w:val="52"/>
                      <w:rFonts w:hint="default" w:ascii="Times New Roman" w:hAnsi="Times New Roman" w:cs="Times New Roman"/>
                      <w:color w:val="auto"/>
                      <w:sz w:val="21"/>
                    </w:rPr>
                  </w:pPr>
                  <w:r>
                    <w:rPr>
                      <w:rStyle w:val="52"/>
                      <w:rFonts w:hint="default" w:ascii="Times New Roman" w:hAnsi="Times New Roman" w:cs="Times New Roman"/>
                      <w:color w:val="auto"/>
                      <w:sz w:val="21"/>
                    </w:rPr>
                    <w:t>泰兴石化西北角围墙处设置一个2m宽的人行门。</w:t>
                  </w:r>
                </w:p>
              </w:tc>
            </w:tr>
            <w:tr w14:paraId="59A2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115" w:type="dxa"/>
                  <w:vMerge w:val="restart"/>
                  <w:vAlign w:val="center"/>
                </w:tcPr>
                <w:p w14:paraId="41F1B037">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公用工程</w:t>
                  </w:r>
                </w:p>
              </w:tc>
              <w:tc>
                <w:tcPr>
                  <w:tcW w:w="1370" w:type="dxa"/>
                  <w:vAlign w:val="center"/>
                </w:tcPr>
                <w:p w14:paraId="0750E949">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给水系统</w:t>
                  </w:r>
                </w:p>
              </w:tc>
              <w:tc>
                <w:tcPr>
                  <w:tcW w:w="5667" w:type="dxa"/>
                  <w:vAlign w:val="center"/>
                </w:tcPr>
                <w:p w14:paraId="564E40FD">
                  <w:pPr>
                    <w:keepNext w:val="0"/>
                    <w:keepLines w:val="0"/>
                    <w:pageBreakBefore w:val="0"/>
                    <w:widowControl/>
                    <w:kinsoku/>
                    <w:wordWrap/>
                    <w:overflowPunct/>
                    <w:autoSpaceDE/>
                    <w:autoSpaceDN/>
                    <w:bidi w:val="0"/>
                    <w:adjustRightInd/>
                    <w:snapToGrid w:val="0"/>
                    <w:spacing w:after="0" w:line="240" w:lineRule="auto"/>
                    <w:jc w:val="left"/>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项目施工期用水主要包括管道清洗用水以及施工完毕后进行试压检验用水，依托于</w:t>
                  </w:r>
                  <w:r>
                    <w:rPr>
                      <w:rStyle w:val="52"/>
                      <w:rFonts w:hint="default" w:ascii="Times New Roman" w:hAnsi="Times New Roman" w:cs="Times New Roman"/>
                      <w:color w:val="auto"/>
                      <w:sz w:val="21"/>
                    </w:rPr>
                    <w:t>园区</w:t>
                  </w:r>
                  <w:r>
                    <w:rPr>
                      <w:rFonts w:hint="default" w:ascii="Times New Roman" w:hAnsi="Times New Roman" w:cs="Times New Roman"/>
                      <w:color w:val="auto"/>
                      <w:spacing w:val="6"/>
                      <w:kern w:val="0"/>
                      <w:szCs w:val="21"/>
                    </w:rPr>
                    <w:t>现有供水设施。</w:t>
                  </w:r>
                </w:p>
              </w:tc>
            </w:tr>
            <w:tr w14:paraId="472B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115" w:type="dxa"/>
                  <w:vMerge w:val="continue"/>
                  <w:vAlign w:val="center"/>
                </w:tcPr>
                <w:p w14:paraId="3F4AF007">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7BC9077E">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kern w:val="0"/>
                      <w:szCs w:val="21"/>
                    </w:rPr>
                    <w:t>排水系统</w:t>
                  </w:r>
                </w:p>
              </w:tc>
              <w:tc>
                <w:tcPr>
                  <w:tcW w:w="5667" w:type="dxa"/>
                  <w:vAlign w:val="center"/>
                </w:tcPr>
                <w:p w14:paraId="0D95A985">
                  <w:pPr>
                    <w:pStyle w:val="50"/>
                    <w:keepNext w:val="0"/>
                    <w:keepLines w:val="0"/>
                    <w:pageBreakBefore w:val="0"/>
                    <w:widowControl/>
                    <w:kinsoku/>
                    <w:wordWrap/>
                    <w:overflowPunct/>
                    <w:autoSpaceDE/>
                    <w:autoSpaceDN/>
                    <w:bidi w:val="0"/>
                    <w:adjustRightInd/>
                    <w:snapToGrid w:val="0"/>
                    <w:spacing w:after="0" w:line="240" w:lineRule="auto"/>
                    <w:textAlignment w:val="auto"/>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项目施工期</w:t>
                  </w:r>
                  <w:r>
                    <w:rPr>
                      <w:rFonts w:hint="eastAsia" w:ascii="Times New Roman" w:hAnsi="Times New Roman" w:cs="Times New Roman"/>
                      <w:color w:val="auto"/>
                      <w:spacing w:val="6"/>
                      <w:szCs w:val="21"/>
                      <w:lang w:val="en-US" w:eastAsia="zh-CN"/>
                    </w:rPr>
                    <w:t>新</w:t>
                  </w:r>
                  <w:r>
                    <w:rPr>
                      <w:rFonts w:hint="default" w:ascii="Times New Roman" w:hAnsi="Times New Roman" w:cs="Times New Roman"/>
                      <w:color w:val="auto"/>
                      <w:spacing w:val="6"/>
                      <w:szCs w:val="21"/>
                    </w:rPr>
                    <w:t>管道清洗</w:t>
                  </w:r>
                  <w:r>
                    <w:rPr>
                      <w:rFonts w:hint="eastAsia" w:ascii="Times New Roman" w:hAnsi="Times New Roman" w:cs="Times New Roman"/>
                      <w:color w:val="auto"/>
                      <w:spacing w:val="6"/>
                      <w:szCs w:val="21"/>
                      <w:lang w:eastAsia="zh-CN"/>
                    </w:rPr>
                    <w:t>、</w:t>
                  </w:r>
                  <w:r>
                    <w:rPr>
                      <w:rFonts w:hint="default" w:ascii="Times New Roman" w:hAnsi="Times New Roman" w:cs="Times New Roman"/>
                      <w:color w:val="auto"/>
                      <w:spacing w:val="6"/>
                      <w:szCs w:val="21"/>
                    </w:rPr>
                    <w:t>试压废水等</w:t>
                  </w:r>
                  <w:r>
                    <w:rPr>
                      <w:rFonts w:hint="eastAsia" w:cs="Times New Roman"/>
                      <w:color w:val="auto"/>
                      <w:spacing w:val="6"/>
                      <w:szCs w:val="21"/>
                      <w:lang w:val="en-US" w:eastAsia="zh-CN"/>
                    </w:rPr>
                    <w:t>沉淀后用于洒水降尘，多余废水</w:t>
                  </w:r>
                  <w:r>
                    <w:rPr>
                      <w:rFonts w:hint="eastAsia" w:ascii="Times New Roman" w:hAnsi="Times New Roman" w:cs="Times New Roman"/>
                      <w:color w:val="auto"/>
                      <w:spacing w:val="6"/>
                      <w:szCs w:val="21"/>
                      <w:lang w:val="en-US" w:eastAsia="zh-CN"/>
                    </w:rPr>
                    <w:t>通过罐车收集进入泰兴石化污水收集系统处理</w:t>
                  </w:r>
                  <w:r>
                    <w:rPr>
                      <w:rFonts w:hint="default" w:ascii="Times New Roman" w:hAnsi="Times New Roman" w:cs="Times New Roman"/>
                      <w:color w:val="auto"/>
                      <w:spacing w:val="6"/>
                      <w:szCs w:val="21"/>
                    </w:rPr>
                    <w:t>。</w:t>
                  </w:r>
                </w:p>
              </w:tc>
            </w:tr>
            <w:tr w14:paraId="3A1F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15" w:type="dxa"/>
                  <w:vMerge w:val="continue"/>
                  <w:vAlign w:val="center"/>
                </w:tcPr>
                <w:p w14:paraId="0FFC66EF">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0CB2B99E">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供电系统</w:t>
                  </w:r>
                </w:p>
              </w:tc>
              <w:tc>
                <w:tcPr>
                  <w:tcW w:w="5667" w:type="dxa"/>
                  <w:vAlign w:val="center"/>
                </w:tcPr>
                <w:p w14:paraId="16F278CA">
                  <w:pPr>
                    <w:pStyle w:val="50"/>
                    <w:keepNext w:val="0"/>
                    <w:keepLines w:val="0"/>
                    <w:pageBreakBefore w:val="0"/>
                    <w:widowControl/>
                    <w:kinsoku/>
                    <w:wordWrap/>
                    <w:overflowPunct/>
                    <w:autoSpaceDE/>
                    <w:autoSpaceDN/>
                    <w:bidi w:val="0"/>
                    <w:adjustRightInd/>
                    <w:snapToGrid w:val="0"/>
                    <w:spacing w:after="0"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pacing w:val="6"/>
                      <w:szCs w:val="21"/>
                    </w:rPr>
                    <w:t>项目施工期用电依托</w:t>
                  </w:r>
                  <w:r>
                    <w:rPr>
                      <w:rStyle w:val="52"/>
                      <w:rFonts w:hint="default" w:ascii="Times New Roman" w:hAnsi="Times New Roman" w:cs="Times New Roman"/>
                      <w:color w:val="auto"/>
                      <w:sz w:val="21"/>
                    </w:rPr>
                    <w:t>园区供电系统。</w:t>
                  </w:r>
                </w:p>
              </w:tc>
            </w:tr>
            <w:tr w14:paraId="610C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15" w:type="dxa"/>
                  <w:vMerge w:val="restart"/>
                  <w:vAlign w:val="center"/>
                </w:tcPr>
                <w:p w14:paraId="140D66BB">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环保工程</w:t>
                  </w:r>
                </w:p>
              </w:tc>
              <w:tc>
                <w:tcPr>
                  <w:tcW w:w="1370" w:type="dxa"/>
                  <w:vAlign w:val="center"/>
                </w:tcPr>
                <w:p w14:paraId="2DD2C5BD">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施工期废气治理工程</w:t>
                  </w:r>
                </w:p>
              </w:tc>
              <w:tc>
                <w:tcPr>
                  <w:tcW w:w="5667" w:type="dxa"/>
                  <w:vAlign w:val="center"/>
                </w:tcPr>
                <w:p w14:paraId="2AB8F9D6">
                  <w:pPr>
                    <w:pStyle w:val="50"/>
                    <w:keepNext w:val="0"/>
                    <w:keepLines w:val="0"/>
                    <w:pageBreakBefore w:val="0"/>
                    <w:widowControl/>
                    <w:kinsoku/>
                    <w:wordWrap/>
                    <w:overflowPunct/>
                    <w:autoSpaceDE/>
                    <w:autoSpaceDN/>
                    <w:bidi w:val="0"/>
                    <w:adjustRightInd/>
                    <w:snapToGrid w:val="0"/>
                    <w:spacing w:after="0"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场地硬底化。保持车辆与路面清洁，运输车辆限速行驶，洒水抑尘。</w:t>
                  </w:r>
                </w:p>
              </w:tc>
            </w:tr>
            <w:tr w14:paraId="7608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15" w:type="dxa"/>
                  <w:vMerge w:val="continue"/>
                  <w:vAlign w:val="center"/>
                </w:tcPr>
                <w:p w14:paraId="1CD98E6C">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1DCDEF6D">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施工期废水治理工程</w:t>
                  </w:r>
                </w:p>
              </w:tc>
              <w:tc>
                <w:tcPr>
                  <w:tcW w:w="5667" w:type="dxa"/>
                  <w:vAlign w:val="center"/>
                </w:tcPr>
                <w:p w14:paraId="069E7627">
                  <w:pPr>
                    <w:pStyle w:val="50"/>
                    <w:keepNext w:val="0"/>
                    <w:keepLines w:val="0"/>
                    <w:pageBreakBefore w:val="0"/>
                    <w:widowControl/>
                    <w:kinsoku/>
                    <w:wordWrap/>
                    <w:overflowPunct/>
                    <w:autoSpaceDE/>
                    <w:autoSpaceDN/>
                    <w:bidi w:val="0"/>
                    <w:adjustRightInd/>
                    <w:snapToGrid w:val="0"/>
                    <w:spacing w:after="0"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工期不设置施工营地，施工人员依托泰兴石化卫生间，如厕废水依托泰兴生活污水处理设施，生活污水经化粪池处理后进入市政污水管网，送到胜科污水处理站处理，最后排入钦州湾。新管道清管、试压后排放废水中的污染物主要是悬浮物，收集沉淀后用于洒水降尘，多余水量通过罐车运至泰兴石化污水收集系统处理。</w:t>
                  </w:r>
                </w:p>
              </w:tc>
            </w:tr>
            <w:tr w14:paraId="60FE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15" w:type="dxa"/>
                  <w:vMerge w:val="continue"/>
                  <w:vAlign w:val="center"/>
                </w:tcPr>
                <w:p w14:paraId="694F516B">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255A4FA4">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施工期噪声治理</w:t>
                  </w:r>
                </w:p>
              </w:tc>
              <w:tc>
                <w:tcPr>
                  <w:tcW w:w="5667" w:type="dxa"/>
                  <w:vAlign w:val="center"/>
                </w:tcPr>
                <w:p w14:paraId="1E214780">
                  <w:pPr>
                    <w:keepNext w:val="0"/>
                    <w:keepLines w:val="0"/>
                    <w:pageBreakBefore w:val="0"/>
                    <w:widowControl/>
                    <w:kinsoku/>
                    <w:wordWrap/>
                    <w:overflowPunct/>
                    <w:topLinePunct/>
                    <w:autoSpaceDE/>
                    <w:autoSpaceDN/>
                    <w:bidi w:val="0"/>
                    <w:adjustRightInd/>
                    <w:snapToGrid w:val="0"/>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选用低噪声设备，加强设备的维护和保养，合理安排施工时间。</w:t>
                  </w:r>
                </w:p>
              </w:tc>
            </w:tr>
            <w:tr w14:paraId="4840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15" w:type="dxa"/>
                  <w:vMerge w:val="continue"/>
                  <w:vAlign w:val="center"/>
                </w:tcPr>
                <w:p w14:paraId="0C7AF22D">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Merge w:val="restart"/>
                  <w:vAlign w:val="center"/>
                </w:tcPr>
                <w:p w14:paraId="64EE5018">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施工期固废处理治理</w:t>
                  </w:r>
                </w:p>
              </w:tc>
              <w:tc>
                <w:tcPr>
                  <w:tcW w:w="5667" w:type="dxa"/>
                  <w:vAlign w:val="center"/>
                </w:tcPr>
                <w:p w14:paraId="34494D54">
                  <w:pPr>
                    <w:keepNext w:val="0"/>
                    <w:keepLines w:val="0"/>
                    <w:pageBreakBefore w:val="0"/>
                    <w:widowControl/>
                    <w:kinsoku/>
                    <w:wordWrap/>
                    <w:overflowPunct/>
                    <w:topLinePunct/>
                    <w:autoSpaceDE/>
                    <w:autoSpaceDN/>
                    <w:bidi w:val="0"/>
                    <w:adjustRightInd/>
                    <w:snapToGrid w:val="0"/>
                    <w:spacing w:after="0" w:line="240" w:lineRule="auto"/>
                    <w:textAlignment w:val="auto"/>
                    <w:rPr>
                      <w:rFonts w:hint="eastAsia" w:ascii="Times New Roman" w:hAnsi="Times New Roman" w:eastAsia="宋体" w:cs="Times New Roman"/>
                      <w:color w:val="auto"/>
                      <w:spacing w:val="6"/>
                      <w:kern w:val="0"/>
                      <w:szCs w:val="21"/>
                      <w:lang w:eastAsia="zh-CN"/>
                    </w:rPr>
                  </w:pPr>
                  <w:r>
                    <w:rPr>
                      <w:rFonts w:hint="eastAsia" w:ascii="Times New Roman" w:hAnsi="Times New Roman" w:cs="Times New Roman"/>
                      <w:color w:val="auto"/>
                      <w:spacing w:val="6"/>
                      <w:kern w:val="0"/>
                      <w:szCs w:val="21"/>
                      <w:lang w:val="en-US" w:eastAsia="zh-CN"/>
                    </w:rPr>
                    <w:t>建筑</w:t>
                  </w:r>
                  <w:r>
                    <w:rPr>
                      <w:rFonts w:hint="eastAsia" w:cs="Times New Roman"/>
                      <w:color w:val="auto"/>
                      <w:spacing w:val="6"/>
                      <w:kern w:val="0"/>
                      <w:szCs w:val="21"/>
                      <w:lang w:val="en-US" w:eastAsia="zh-CN"/>
                    </w:rPr>
                    <w:t>垃圾</w:t>
                  </w:r>
                  <w:r>
                    <w:rPr>
                      <w:rFonts w:hint="default" w:ascii="Times New Roman" w:hAnsi="Times New Roman" w:cs="Times New Roman"/>
                      <w:color w:val="auto"/>
                      <w:spacing w:val="6"/>
                      <w:kern w:val="0"/>
                      <w:szCs w:val="21"/>
                    </w:rPr>
                    <w:t>可再生利用的进行回收利用，不能回收的部分按一般工业固体废物送至当地主管部门</w:t>
                  </w:r>
                  <w:r>
                    <w:rPr>
                      <w:rFonts w:hint="eastAsia" w:cs="Times New Roman"/>
                      <w:color w:val="auto"/>
                      <w:spacing w:val="6"/>
                      <w:kern w:val="0"/>
                      <w:szCs w:val="21"/>
                      <w:lang w:val="en-US" w:eastAsia="zh-CN"/>
                    </w:rPr>
                    <w:t>指定的</w:t>
                  </w:r>
                  <w:r>
                    <w:rPr>
                      <w:rFonts w:hint="default" w:ascii="Times New Roman" w:hAnsi="Times New Roman" w:cs="Times New Roman"/>
                      <w:color w:val="auto"/>
                      <w:spacing w:val="6"/>
                      <w:kern w:val="0"/>
                      <w:szCs w:val="21"/>
                    </w:rPr>
                    <w:t>消纳场进行处置</w:t>
                  </w:r>
                  <w:r>
                    <w:rPr>
                      <w:rFonts w:hint="eastAsia" w:cs="Times New Roman"/>
                      <w:color w:val="auto"/>
                      <w:spacing w:val="6"/>
                      <w:kern w:val="0"/>
                      <w:szCs w:val="21"/>
                      <w:lang w:eastAsia="zh-CN"/>
                    </w:rPr>
                    <w:t>。废油漆桶、废油漆刷、凝缩油（属烃类冷凝液）废旧管道</w:t>
                  </w:r>
                  <w:r>
                    <w:rPr>
                      <w:rFonts w:hint="eastAsia" w:cs="Times New Roman"/>
                      <w:color w:val="auto"/>
                      <w:spacing w:val="6"/>
                      <w:kern w:val="0"/>
                      <w:szCs w:val="21"/>
                      <w:lang w:val="en-US" w:eastAsia="zh-CN"/>
                    </w:rPr>
                    <w:t>为危废</w:t>
                  </w:r>
                  <w:r>
                    <w:rPr>
                      <w:rFonts w:hint="default" w:ascii="Times New Roman" w:hAnsi="Times New Roman" w:cs="Times New Roman"/>
                      <w:color w:val="auto"/>
                      <w:spacing w:val="6"/>
                      <w:kern w:val="0"/>
                      <w:szCs w:val="21"/>
                    </w:rPr>
                    <w:t>委托有资质的单位处理</w:t>
                  </w:r>
                  <w:r>
                    <w:rPr>
                      <w:rFonts w:hint="eastAsia" w:ascii="Times New Roman" w:hAnsi="Times New Roman" w:cs="Times New Roman"/>
                      <w:color w:val="auto"/>
                      <w:spacing w:val="6"/>
                      <w:kern w:val="0"/>
                      <w:szCs w:val="21"/>
                      <w:lang w:eastAsia="zh-CN"/>
                    </w:rPr>
                    <w:t>。</w:t>
                  </w:r>
                </w:p>
              </w:tc>
            </w:tr>
            <w:tr w14:paraId="6226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15" w:type="dxa"/>
                  <w:vMerge w:val="continue"/>
                  <w:vAlign w:val="center"/>
                </w:tcPr>
                <w:p w14:paraId="3B32DDB1">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Merge w:val="continue"/>
                  <w:vAlign w:val="center"/>
                </w:tcPr>
                <w:p w14:paraId="554868CC">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5667" w:type="dxa"/>
                  <w:vAlign w:val="center"/>
                </w:tcPr>
                <w:p w14:paraId="7485A1D2">
                  <w:pPr>
                    <w:pStyle w:val="50"/>
                    <w:keepNext w:val="0"/>
                    <w:keepLines w:val="0"/>
                    <w:pageBreakBefore w:val="0"/>
                    <w:widowControl/>
                    <w:kinsoku/>
                    <w:wordWrap/>
                    <w:overflowPunct/>
                    <w:autoSpaceDE/>
                    <w:autoSpaceDN/>
                    <w:bidi w:val="0"/>
                    <w:adjustRightInd/>
                    <w:snapToGrid w:val="0"/>
                    <w:spacing w:after="0" w:line="240" w:lineRule="auto"/>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生活垃圾交由当地环卫部门清运</w:t>
                  </w:r>
                  <w:r>
                    <w:rPr>
                      <w:rFonts w:hint="eastAsia" w:ascii="Times New Roman" w:hAnsi="Times New Roman" w:cs="Times New Roman"/>
                      <w:color w:val="auto"/>
                      <w:szCs w:val="21"/>
                      <w:lang w:eastAsia="zh-CN"/>
                    </w:rPr>
                    <w:t>。</w:t>
                  </w:r>
                </w:p>
              </w:tc>
            </w:tr>
            <w:tr w14:paraId="6174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15" w:type="dxa"/>
                  <w:vMerge w:val="continue"/>
                  <w:vAlign w:val="center"/>
                </w:tcPr>
                <w:p w14:paraId="6A8814F3">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47DC6BCF">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运营期废气治理工程</w:t>
                  </w:r>
                </w:p>
              </w:tc>
              <w:tc>
                <w:tcPr>
                  <w:tcW w:w="5667" w:type="dxa"/>
                  <w:vAlign w:val="center"/>
                </w:tcPr>
                <w:p w14:paraId="5D9A744C">
                  <w:pPr>
                    <w:pStyle w:val="50"/>
                    <w:keepNext w:val="0"/>
                    <w:keepLines w:val="0"/>
                    <w:pageBreakBefore w:val="0"/>
                    <w:widowControl/>
                    <w:kinsoku/>
                    <w:wordWrap/>
                    <w:overflowPunct/>
                    <w:autoSpaceDE/>
                    <w:autoSpaceDN/>
                    <w:bidi w:val="0"/>
                    <w:adjustRightInd/>
                    <w:snapToGrid w:val="0"/>
                    <w:spacing w:after="0"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迁建工程正常运行不涉及废气的产生及排放。</w:t>
                  </w:r>
                </w:p>
              </w:tc>
            </w:tr>
            <w:tr w14:paraId="0803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15" w:type="dxa"/>
                  <w:vMerge w:val="continue"/>
                  <w:vAlign w:val="center"/>
                </w:tcPr>
                <w:p w14:paraId="38D61E5E">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21ACC3E4">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运营期废水治理工程</w:t>
                  </w:r>
                </w:p>
              </w:tc>
              <w:tc>
                <w:tcPr>
                  <w:tcW w:w="5667" w:type="dxa"/>
                  <w:vAlign w:val="center"/>
                </w:tcPr>
                <w:p w14:paraId="31BD1F79">
                  <w:pPr>
                    <w:pStyle w:val="50"/>
                    <w:keepNext w:val="0"/>
                    <w:keepLines w:val="0"/>
                    <w:pageBreakBefore w:val="0"/>
                    <w:widowControl/>
                    <w:kinsoku/>
                    <w:wordWrap/>
                    <w:overflowPunct/>
                    <w:autoSpaceDE/>
                    <w:autoSpaceDN/>
                    <w:bidi w:val="0"/>
                    <w:adjustRightInd/>
                    <w:snapToGrid w:val="0"/>
                    <w:spacing w:after="0"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迁建工程正常运行不涉及废水的产生及排放。</w:t>
                  </w:r>
                </w:p>
              </w:tc>
            </w:tr>
            <w:tr w14:paraId="758C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15" w:type="dxa"/>
                  <w:vMerge w:val="continue"/>
                  <w:vAlign w:val="center"/>
                </w:tcPr>
                <w:p w14:paraId="0ED59F57">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7F828135">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运营期噪声治理</w:t>
                  </w:r>
                </w:p>
              </w:tc>
              <w:tc>
                <w:tcPr>
                  <w:tcW w:w="5667" w:type="dxa"/>
                  <w:vAlign w:val="center"/>
                </w:tcPr>
                <w:p w14:paraId="7A320760">
                  <w:pPr>
                    <w:pStyle w:val="50"/>
                    <w:keepNext w:val="0"/>
                    <w:keepLines w:val="0"/>
                    <w:pageBreakBefore w:val="0"/>
                    <w:widowControl/>
                    <w:kinsoku/>
                    <w:wordWrap/>
                    <w:overflowPunct/>
                    <w:autoSpaceDE/>
                    <w:autoSpaceDN/>
                    <w:bidi w:val="0"/>
                    <w:adjustRightInd/>
                    <w:snapToGrid w:val="0"/>
                    <w:spacing w:after="0"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迁建工程正常运行不涉及噪声的产生及排放。</w:t>
                  </w:r>
                </w:p>
              </w:tc>
            </w:tr>
            <w:tr w14:paraId="403F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15" w:type="dxa"/>
                  <w:vMerge w:val="continue"/>
                  <w:vAlign w:val="center"/>
                </w:tcPr>
                <w:p w14:paraId="7F18DCD4">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p>
              </w:tc>
              <w:tc>
                <w:tcPr>
                  <w:tcW w:w="1370" w:type="dxa"/>
                  <w:vAlign w:val="center"/>
                </w:tcPr>
                <w:p w14:paraId="4C781CA3">
                  <w:pPr>
                    <w:keepNext w:val="0"/>
                    <w:keepLines w:val="0"/>
                    <w:pageBreakBefore w:val="0"/>
                    <w:widowControl/>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color w:val="auto"/>
                      <w:spacing w:val="6"/>
                      <w:kern w:val="0"/>
                      <w:szCs w:val="21"/>
                    </w:rPr>
                  </w:pPr>
                  <w:r>
                    <w:rPr>
                      <w:rFonts w:hint="default" w:ascii="Times New Roman" w:hAnsi="Times New Roman" w:cs="Times New Roman"/>
                      <w:color w:val="auto"/>
                      <w:spacing w:val="6"/>
                      <w:kern w:val="0"/>
                      <w:szCs w:val="21"/>
                    </w:rPr>
                    <w:t>运营期固废处理治理</w:t>
                  </w:r>
                </w:p>
              </w:tc>
              <w:tc>
                <w:tcPr>
                  <w:tcW w:w="5667" w:type="dxa"/>
                  <w:vAlign w:val="center"/>
                </w:tcPr>
                <w:p w14:paraId="0A48C9FE">
                  <w:pPr>
                    <w:pStyle w:val="50"/>
                    <w:keepNext w:val="0"/>
                    <w:keepLines w:val="0"/>
                    <w:pageBreakBefore w:val="0"/>
                    <w:widowControl/>
                    <w:kinsoku/>
                    <w:wordWrap/>
                    <w:overflowPunct/>
                    <w:autoSpaceDE/>
                    <w:autoSpaceDN/>
                    <w:bidi w:val="0"/>
                    <w:adjustRightInd/>
                    <w:snapToGrid w:val="0"/>
                    <w:spacing w:after="0" w:line="24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迁建工程正常运行不涉及固废的产生及排放</w:t>
                  </w:r>
                  <w:r>
                    <w:rPr>
                      <w:rFonts w:hint="eastAsia" w:cs="Times New Roman"/>
                      <w:color w:val="auto"/>
                      <w:szCs w:val="21"/>
                      <w:lang w:eastAsia="zh-CN"/>
                    </w:rPr>
                    <w:t>。</w:t>
                  </w:r>
                  <w:r>
                    <w:rPr>
                      <w:rFonts w:hint="default" w:ascii="Times New Roman" w:hAnsi="Times New Roman" w:cs="Times New Roman"/>
                      <w:color w:val="auto"/>
                      <w:szCs w:val="21"/>
                    </w:rPr>
                    <w:t>定期清管</w:t>
                  </w:r>
                  <w:r>
                    <w:rPr>
                      <w:rFonts w:hint="eastAsia" w:cs="Times New Roman"/>
                      <w:color w:val="auto"/>
                      <w:szCs w:val="21"/>
                      <w:lang w:val="en-US" w:eastAsia="zh-CN"/>
                    </w:rPr>
                    <w:t>会产生</w:t>
                  </w:r>
                  <w:r>
                    <w:rPr>
                      <w:rFonts w:hint="default" w:ascii="Times New Roman" w:hAnsi="Times New Roman" w:cs="Times New Roman"/>
                      <w:color w:val="auto"/>
                      <w:szCs w:val="21"/>
                    </w:rPr>
                    <w:t>管内污物和积液</w:t>
                  </w:r>
                  <w:r>
                    <w:rPr>
                      <w:rFonts w:hint="eastAsia" w:cs="Times New Roman"/>
                      <w:color w:val="auto"/>
                      <w:szCs w:val="21"/>
                      <w:lang w:eastAsia="zh-CN"/>
                    </w:rPr>
                    <w:t>，</w:t>
                  </w:r>
                  <w:r>
                    <w:rPr>
                      <w:rFonts w:hint="eastAsia" w:cs="Times New Roman"/>
                      <w:color w:val="auto"/>
                      <w:szCs w:val="21"/>
                      <w:lang w:val="en-US" w:eastAsia="zh-CN"/>
                    </w:rPr>
                    <w:t>暂存于泰兴石化危废暂存间，委托相关单位处理。</w:t>
                  </w:r>
                </w:p>
              </w:tc>
            </w:tr>
          </w:tbl>
          <w:p w14:paraId="2CF06725">
            <w:pPr>
              <w:keepNext w:val="0"/>
              <w:keepLines w:val="0"/>
              <w:pageBreakBefore w:val="0"/>
              <w:widowControl/>
              <w:kinsoku/>
              <w:wordWrap/>
              <w:overflowPunct/>
              <w:topLinePunct/>
              <w:autoSpaceDE/>
              <w:autoSpaceDN/>
              <w:bidi w:val="0"/>
              <w:adjustRightInd/>
              <w:snapToGrid/>
              <w:spacing w:after="0" w:line="360" w:lineRule="auto"/>
              <w:ind w:firstLine="562" w:firstLineChars="200"/>
              <w:textAlignment w:val="auto"/>
              <w:rPr>
                <w:b/>
                <w:color w:val="auto"/>
                <w:spacing w:val="6"/>
                <w:kern w:val="0"/>
                <w:sz w:val="28"/>
                <w:szCs w:val="28"/>
              </w:rPr>
            </w:pPr>
            <w:r>
              <w:rPr>
                <w:b/>
                <w:color w:val="auto"/>
                <w:sz w:val="28"/>
              </w:rPr>
              <w:t>2.</w:t>
            </w:r>
            <w:r>
              <w:rPr>
                <w:rFonts w:hint="eastAsia"/>
                <w:b/>
                <w:color w:val="auto"/>
                <w:sz w:val="28"/>
                <w:lang w:val="en-US" w:eastAsia="zh-CN"/>
              </w:rPr>
              <w:t>4</w:t>
            </w:r>
            <w:r>
              <w:rPr>
                <w:rFonts w:hint="eastAsia"/>
                <w:b/>
                <w:color w:val="auto"/>
                <w:sz w:val="28"/>
              </w:rPr>
              <w:t>主体工程</w:t>
            </w:r>
          </w:p>
          <w:p w14:paraId="730C74D2">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rPr>
              <w:t>（1）管道信息</w:t>
            </w:r>
          </w:p>
          <w:p w14:paraId="29CF7832">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rPr>
              <w:t>根据广西钦州泰兴石油化工有限公司提供的管道信息，公共管廊上拟敷设的管道详见下表：</w:t>
            </w:r>
          </w:p>
          <w:p w14:paraId="5D3562FF">
            <w:pPr>
              <w:keepNext w:val="0"/>
              <w:keepLines w:val="0"/>
              <w:pageBreakBefore w:val="0"/>
              <w:widowControl/>
              <w:kinsoku/>
              <w:wordWrap/>
              <w:overflowPunct/>
              <w:topLinePunct/>
              <w:autoSpaceDE/>
              <w:autoSpaceDN/>
              <w:bidi w:val="0"/>
              <w:adjustRightInd/>
              <w:snapToGrid/>
              <w:spacing w:after="0" w:line="360" w:lineRule="auto"/>
              <w:ind w:firstLine="446" w:firstLineChars="200"/>
              <w:jc w:val="center"/>
              <w:textAlignment w:val="auto"/>
              <w:rPr>
                <w:b/>
                <w:bCs/>
                <w:color w:val="auto"/>
                <w:spacing w:val="6"/>
                <w:kern w:val="0"/>
                <w:szCs w:val="21"/>
              </w:rPr>
            </w:pPr>
            <w:r>
              <w:rPr>
                <w:b/>
                <w:bCs/>
                <w:color w:val="auto"/>
                <w:spacing w:val="6"/>
                <w:kern w:val="0"/>
                <w:szCs w:val="21"/>
              </w:rPr>
              <w:t>表2-</w:t>
            </w:r>
            <w:r>
              <w:rPr>
                <w:rFonts w:hint="eastAsia"/>
                <w:b/>
                <w:bCs/>
                <w:color w:val="auto"/>
                <w:spacing w:val="6"/>
                <w:kern w:val="0"/>
                <w:szCs w:val="21"/>
              </w:rPr>
              <w:t>2拟敷设的管道信息表</w:t>
            </w:r>
          </w:p>
          <w:tbl>
            <w:tblPr>
              <w:tblStyle w:val="23"/>
              <w:tblW w:w="8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234"/>
              <w:gridCol w:w="1020"/>
              <w:gridCol w:w="1020"/>
              <w:gridCol w:w="1020"/>
              <w:gridCol w:w="1020"/>
              <w:gridCol w:w="1021"/>
              <w:gridCol w:w="1021"/>
            </w:tblGrid>
            <w:tr w14:paraId="4E2E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06" w:type="dxa"/>
                  <w:vMerge w:val="restart"/>
                  <w:vAlign w:val="center"/>
                </w:tcPr>
                <w:p w14:paraId="20322A1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序号</w:t>
                  </w:r>
                </w:p>
              </w:tc>
              <w:tc>
                <w:tcPr>
                  <w:tcW w:w="4294" w:type="dxa"/>
                  <w:gridSpan w:val="4"/>
                  <w:vAlign w:val="center"/>
                </w:tcPr>
                <w:p w14:paraId="1D503F1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color w:val="auto"/>
                      <w:szCs w:val="21"/>
                    </w:rPr>
                    <w:t>管道输送规格、参数</w:t>
                  </w:r>
                </w:p>
              </w:tc>
              <w:tc>
                <w:tcPr>
                  <w:tcW w:w="1020" w:type="dxa"/>
                  <w:vMerge w:val="restart"/>
                  <w:vAlign w:val="center"/>
                </w:tcPr>
                <w:p w14:paraId="21355E63">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color w:val="auto"/>
                      <w:szCs w:val="21"/>
                    </w:rPr>
                    <w:t>数量</w:t>
                  </w:r>
                </w:p>
              </w:tc>
              <w:tc>
                <w:tcPr>
                  <w:tcW w:w="1021" w:type="dxa"/>
                  <w:vMerge w:val="restart"/>
                  <w:vAlign w:val="center"/>
                </w:tcPr>
                <w:p w14:paraId="27C80265">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火灾危险性类别</w:t>
                  </w:r>
                </w:p>
              </w:tc>
              <w:tc>
                <w:tcPr>
                  <w:tcW w:w="1021" w:type="dxa"/>
                  <w:vMerge w:val="restart"/>
                  <w:vAlign w:val="center"/>
                </w:tcPr>
                <w:p w14:paraId="1F834DC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备注</w:t>
                  </w:r>
                </w:p>
              </w:tc>
            </w:tr>
            <w:tr w14:paraId="6C0F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Merge w:val="continue"/>
                  <w:vAlign w:val="center"/>
                </w:tcPr>
                <w:p w14:paraId="36E4E5E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p>
              </w:tc>
              <w:tc>
                <w:tcPr>
                  <w:tcW w:w="1234" w:type="dxa"/>
                  <w:vAlign w:val="center"/>
                </w:tcPr>
                <w:p w14:paraId="19C7CD4F">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color w:val="auto"/>
                      <w:szCs w:val="21"/>
                    </w:rPr>
                    <w:t>物料</w:t>
                  </w:r>
                </w:p>
              </w:tc>
              <w:tc>
                <w:tcPr>
                  <w:tcW w:w="1020" w:type="dxa"/>
                  <w:vAlign w:val="center"/>
                </w:tcPr>
                <w:p w14:paraId="499C2042">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color w:val="auto"/>
                      <w:szCs w:val="21"/>
                    </w:rPr>
                    <w:t>管径（DN）</w:t>
                  </w:r>
                </w:p>
              </w:tc>
              <w:tc>
                <w:tcPr>
                  <w:tcW w:w="1020" w:type="dxa"/>
                  <w:vAlign w:val="center"/>
                </w:tcPr>
                <w:p w14:paraId="0C421C1C">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color w:val="auto"/>
                      <w:szCs w:val="21"/>
                    </w:rPr>
                    <w:t>温度（</w:t>
                  </w:r>
                  <w:r>
                    <w:rPr>
                      <w:rFonts w:ascii="宋体"/>
                      <w:color w:val="auto"/>
                      <w:szCs w:val="21"/>
                    </w:rPr>
                    <w:t>℃</w:t>
                  </w:r>
                  <w:r>
                    <w:rPr>
                      <w:color w:val="auto"/>
                      <w:szCs w:val="21"/>
                    </w:rPr>
                    <w:t>）</w:t>
                  </w:r>
                </w:p>
              </w:tc>
              <w:tc>
                <w:tcPr>
                  <w:tcW w:w="1020" w:type="dxa"/>
                  <w:vAlign w:val="center"/>
                </w:tcPr>
                <w:p w14:paraId="7B1558A9">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color w:val="auto"/>
                      <w:szCs w:val="21"/>
                    </w:rPr>
                    <w:t>压力（MPa）</w:t>
                  </w:r>
                </w:p>
              </w:tc>
              <w:tc>
                <w:tcPr>
                  <w:tcW w:w="1020" w:type="dxa"/>
                  <w:vMerge w:val="continue"/>
                  <w:vAlign w:val="center"/>
                </w:tcPr>
                <w:p w14:paraId="25D6A7B8">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p>
              </w:tc>
              <w:tc>
                <w:tcPr>
                  <w:tcW w:w="1021" w:type="dxa"/>
                  <w:vMerge w:val="continue"/>
                  <w:vAlign w:val="center"/>
                </w:tcPr>
                <w:p w14:paraId="487325E2">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p>
              </w:tc>
              <w:tc>
                <w:tcPr>
                  <w:tcW w:w="1021" w:type="dxa"/>
                  <w:vMerge w:val="continue"/>
                  <w:vAlign w:val="center"/>
                </w:tcPr>
                <w:p w14:paraId="34AAFF0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p>
              </w:tc>
            </w:tr>
            <w:tr w14:paraId="7E24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5336E66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1</w:t>
                  </w:r>
                </w:p>
              </w:tc>
              <w:tc>
                <w:tcPr>
                  <w:tcW w:w="1234" w:type="dxa"/>
                  <w:vAlign w:val="center"/>
                </w:tcPr>
                <w:p w14:paraId="354C332D">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火炬气</w:t>
                  </w:r>
                </w:p>
              </w:tc>
              <w:tc>
                <w:tcPr>
                  <w:tcW w:w="1020" w:type="dxa"/>
                  <w:vAlign w:val="center"/>
                </w:tcPr>
                <w:p w14:paraId="6F97166F">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350</w:t>
                  </w:r>
                </w:p>
              </w:tc>
              <w:tc>
                <w:tcPr>
                  <w:tcW w:w="1020" w:type="dxa"/>
                  <w:vAlign w:val="center"/>
                </w:tcPr>
                <w:p w14:paraId="7F5356EA">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75</w:t>
                  </w:r>
                </w:p>
              </w:tc>
              <w:tc>
                <w:tcPr>
                  <w:tcW w:w="1020" w:type="dxa"/>
                  <w:vAlign w:val="center"/>
                </w:tcPr>
                <w:p w14:paraId="13E7B0D2">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0.1</w:t>
                  </w:r>
                </w:p>
              </w:tc>
              <w:tc>
                <w:tcPr>
                  <w:tcW w:w="1020" w:type="dxa"/>
                  <w:vAlign w:val="center"/>
                </w:tcPr>
                <w:p w14:paraId="3F7AC775">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1</w:t>
                  </w:r>
                </w:p>
              </w:tc>
              <w:tc>
                <w:tcPr>
                  <w:tcW w:w="1021" w:type="dxa"/>
                  <w:vAlign w:val="center"/>
                </w:tcPr>
                <w:p w14:paraId="6F7C25D9">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甲类</w:t>
                  </w:r>
                </w:p>
              </w:tc>
              <w:tc>
                <w:tcPr>
                  <w:tcW w:w="1021" w:type="dxa"/>
                  <w:vAlign w:val="center"/>
                </w:tcPr>
                <w:p w14:paraId="1C6880A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布置在管廊一层</w:t>
                  </w:r>
                </w:p>
              </w:tc>
            </w:tr>
            <w:tr w14:paraId="7E92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3A6F830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2</w:t>
                  </w:r>
                </w:p>
              </w:tc>
              <w:tc>
                <w:tcPr>
                  <w:tcW w:w="1234" w:type="dxa"/>
                  <w:vAlign w:val="center"/>
                </w:tcPr>
                <w:p w14:paraId="6823E008">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燃料气</w:t>
                  </w:r>
                </w:p>
              </w:tc>
              <w:tc>
                <w:tcPr>
                  <w:tcW w:w="1020" w:type="dxa"/>
                  <w:vAlign w:val="center"/>
                </w:tcPr>
                <w:p w14:paraId="281B864F">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50</w:t>
                  </w:r>
                </w:p>
              </w:tc>
              <w:tc>
                <w:tcPr>
                  <w:tcW w:w="1020" w:type="dxa"/>
                  <w:vAlign w:val="center"/>
                </w:tcPr>
                <w:p w14:paraId="6DD15110">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常温</w:t>
                  </w:r>
                </w:p>
              </w:tc>
              <w:tc>
                <w:tcPr>
                  <w:tcW w:w="1020" w:type="dxa"/>
                  <w:vAlign w:val="center"/>
                </w:tcPr>
                <w:p w14:paraId="6C108C5E">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0.4</w:t>
                  </w:r>
                </w:p>
              </w:tc>
              <w:tc>
                <w:tcPr>
                  <w:tcW w:w="1020" w:type="dxa"/>
                  <w:vAlign w:val="center"/>
                </w:tcPr>
                <w:p w14:paraId="1CB2EC9F">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1</w:t>
                  </w:r>
                </w:p>
              </w:tc>
              <w:tc>
                <w:tcPr>
                  <w:tcW w:w="1021" w:type="dxa"/>
                  <w:vAlign w:val="center"/>
                </w:tcPr>
                <w:p w14:paraId="08C7500B">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甲类</w:t>
                  </w:r>
                </w:p>
              </w:tc>
              <w:tc>
                <w:tcPr>
                  <w:tcW w:w="1021" w:type="dxa"/>
                  <w:vAlign w:val="center"/>
                </w:tcPr>
                <w:p w14:paraId="4325DCB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布置在管廊一层</w:t>
                  </w:r>
                </w:p>
              </w:tc>
            </w:tr>
            <w:tr w14:paraId="0B28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2A6F6B9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3</w:t>
                  </w:r>
                </w:p>
              </w:tc>
              <w:tc>
                <w:tcPr>
                  <w:tcW w:w="1234" w:type="dxa"/>
                  <w:vAlign w:val="center"/>
                </w:tcPr>
                <w:p w14:paraId="2A229B82">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color w:val="auto"/>
                      <w:szCs w:val="21"/>
                      <w:lang w:eastAsia="zh-CN"/>
                    </w:rPr>
                  </w:pPr>
                  <w:r>
                    <w:rPr>
                      <w:rFonts w:hint="eastAsia"/>
                      <w:iCs/>
                      <w:color w:val="auto"/>
                      <w:szCs w:val="21"/>
                      <w:lang w:eastAsia="zh-CN"/>
                    </w:rPr>
                    <w:t>凝缩油（属烃类冷凝液）</w:t>
                  </w:r>
                </w:p>
              </w:tc>
              <w:tc>
                <w:tcPr>
                  <w:tcW w:w="1020" w:type="dxa"/>
                  <w:vAlign w:val="center"/>
                </w:tcPr>
                <w:p w14:paraId="18AA219F">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50</w:t>
                  </w:r>
                </w:p>
              </w:tc>
              <w:tc>
                <w:tcPr>
                  <w:tcW w:w="1020" w:type="dxa"/>
                  <w:vAlign w:val="center"/>
                </w:tcPr>
                <w:p w14:paraId="1CF08265">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常温</w:t>
                  </w:r>
                </w:p>
              </w:tc>
              <w:tc>
                <w:tcPr>
                  <w:tcW w:w="1020" w:type="dxa"/>
                  <w:vAlign w:val="center"/>
                </w:tcPr>
                <w:p w14:paraId="49251DA9">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0.4</w:t>
                  </w:r>
                </w:p>
              </w:tc>
              <w:tc>
                <w:tcPr>
                  <w:tcW w:w="1020" w:type="dxa"/>
                  <w:vAlign w:val="center"/>
                </w:tcPr>
                <w:p w14:paraId="60E156EF">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1</w:t>
                  </w:r>
                </w:p>
              </w:tc>
              <w:tc>
                <w:tcPr>
                  <w:tcW w:w="1021" w:type="dxa"/>
                  <w:vAlign w:val="center"/>
                </w:tcPr>
                <w:p w14:paraId="4EFA84B6">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乙类</w:t>
                  </w:r>
                </w:p>
              </w:tc>
              <w:tc>
                <w:tcPr>
                  <w:tcW w:w="1021" w:type="dxa"/>
                  <w:vAlign w:val="center"/>
                </w:tcPr>
                <w:p w14:paraId="52CEEEE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布置在管廊一层</w:t>
                  </w:r>
                </w:p>
              </w:tc>
            </w:tr>
            <w:tr w14:paraId="2217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41A0898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4</w:t>
                  </w:r>
                </w:p>
              </w:tc>
              <w:tc>
                <w:tcPr>
                  <w:tcW w:w="1234" w:type="dxa"/>
                  <w:vAlign w:val="center"/>
                </w:tcPr>
                <w:p w14:paraId="6A6AAF67">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仪表空气</w:t>
                  </w:r>
                </w:p>
              </w:tc>
              <w:tc>
                <w:tcPr>
                  <w:tcW w:w="1020" w:type="dxa"/>
                  <w:vAlign w:val="center"/>
                </w:tcPr>
                <w:p w14:paraId="40304B70">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50</w:t>
                  </w:r>
                </w:p>
              </w:tc>
              <w:tc>
                <w:tcPr>
                  <w:tcW w:w="1020" w:type="dxa"/>
                  <w:vAlign w:val="center"/>
                </w:tcPr>
                <w:p w14:paraId="2D9E5511">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常温</w:t>
                  </w:r>
                </w:p>
              </w:tc>
              <w:tc>
                <w:tcPr>
                  <w:tcW w:w="1020" w:type="dxa"/>
                  <w:vAlign w:val="center"/>
                </w:tcPr>
                <w:p w14:paraId="62B6822C">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0.4</w:t>
                  </w:r>
                </w:p>
              </w:tc>
              <w:tc>
                <w:tcPr>
                  <w:tcW w:w="1020" w:type="dxa"/>
                  <w:vAlign w:val="center"/>
                </w:tcPr>
                <w:p w14:paraId="15A406A2">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1</w:t>
                  </w:r>
                </w:p>
              </w:tc>
              <w:tc>
                <w:tcPr>
                  <w:tcW w:w="1021" w:type="dxa"/>
                  <w:vAlign w:val="center"/>
                </w:tcPr>
                <w:p w14:paraId="1FB3AE6D">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戊类</w:t>
                  </w:r>
                </w:p>
              </w:tc>
              <w:tc>
                <w:tcPr>
                  <w:tcW w:w="1021" w:type="dxa"/>
                  <w:vAlign w:val="center"/>
                </w:tcPr>
                <w:p w14:paraId="58125BC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布置在管廊一层</w:t>
                  </w:r>
                </w:p>
              </w:tc>
            </w:tr>
            <w:tr w14:paraId="75FB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41646A7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5</w:t>
                  </w:r>
                </w:p>
              </w:tc>
              <w:tc>
                <w:tcPr>
                  <w:tcW w:w="1234" w:type="dxa"/>
                  <w:vAlign w:val="center"/>
                </w:tcPr>
                <w:p w14:paraId="7C08C98B">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氮气</w:t>
                  </w:r>
                </w:p>
              </w:tc>
              <w:tc>
                <w:tcPr>
                  <w:tcW w:w="1020" w:type="dxa"/>
                  <w:vAlign w:val="center"/>
                </w:tcPr>
                <w:p w14:paraId="3E449A9A">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50</w:t>
                  </w:r>
                </w:p>
              </w:tc>
              <w:tc>
                <w:tcPr>
                  <w:tcW w:w="1020" w:type="dxa"/>
                  <w:vAlign w:val="center"/>
                </w:tcPr>
                <w:p w14:paraId="5A628761">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常温</w:t>
                  </w:r>
                </w:p>
              </w:tc>
              <w:tc>
                <w:tcPr>
                  <w:tcW w:w="1020" w:type="dxa"/>
                  <w:vAlign w:val="center"/>
                </w:tcPr>
                <w:p w14:paraId="18367FFF">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0.4</w:t>
                  </w:r>
                </w:p>
              </w:tc>
              <w:tc>
                <w:tcPr>
                  <w:tcW w:w="1020" w:type="dxa"/>
                  <w:vAlign w:val="center"/>
                </w:tcPr>
                <w:p w14:paraId="4CCBD98F">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1</w:t>
                  </w:r>
                </w:p>
              </w:tc>
              <w:tc>
                <w:tcPr>
                  <w:tcW w:w="1021" w:type="dxa"/>
                  <w:vAlign w:val="center"/>
                </w:tcPr>
                <w:p w14:paraId="01878DA7">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戊类</w:t>
                  </w:r>
                </w:p>
              </w:tc>
              <w:tc>
                <w:tcPr>
                  <w:tcW w:w="1021" w:type="dxa"/>
                  <w:vAlign w:val="center"/>
                </w:tcPr>
                <w:p w14:paraId="55BFA67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布置在管廊一层</w:t>
                  </w:r>
                </w:p>
              </w:tc>
            </w:tr>
            <w:tr w14:paraId="2B08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188ECCD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6</w:t>
                  </w:r>
                </w:p>
              </w:tc>
              <w:tc>
                <w:tcPr>
                  <w:tcW w:w="1234" w:type="dxa"/>
                  <w:vAlign w:val="center"/>
                </w:tcPr>
                <w:p w14:paraId="72ADA7DD">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蒸汽</w:t>
                  </w:r>
                </w:p>
              </w:tc>
              <w:tc>
                <w:tcPr>
                  <w:tcW w:w="1020" w:type="dxa"/>
                  <w:vAlign w:val="center"/>
                </w:tcPr>
                <w:p w14:paraId="4CA32F45">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150</w:t>
                  </w:r>
                </w:p>
              </w:tc>
              <w:tc>
                <w:tcPr>
                  <w:tcW w:w="1020" w:type="dxa"/>
                  <w:vAlign w:val="center"/>
                </w:tcPr>
                <w:p w14:paraId="1176EB8D">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160</w:t>
                  </w:r>
                </w:p>
              </w:tc>
              <w:tc>
                <w:tcPr>
                  <w:tcW w:w="1020" w:type="dxa"/>
                  <w:vAlign w:val="center"/>
                </w:tcPr>
                <w:p w14:paraId="01FAD69F">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0.6</w:t>
                  </w:r>
                </w:p>
              </w:tc>
              <w:tc>
                <w:tcPr>
                  <w:tcW w:w="1020" w:type="dxa"/>
                  <w:vAlign w:val="center"/>
                </w:tcPr>
                <w:p w14:paraId="7640143D">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iCs/>
                      <w:color w:val="auto"/>
                      <w:szCs w:val="21"/>
                    </w:rPr>
                    <w:t>1</w:t>
                  </w:r>
                </w:p>
              </w:tc>
              <w:tc>
                <w:tcPr>
                  <w:tcW w:w="1021" w:type="dxa"/>
                  <w:vAlign w:val="center"/>
                </w:tcPr>
                <w:p w14:paraId="23C041F2">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戊类</w:t>
                  </w:r>
                </w:p>
              </w:tc>
              <w:tc>
                <w:tcPr>
                  <w:tcW w:w="1021" w:type="dxa"/>
                  <w:vAlign w:val="center"/>
                </w:tcPr>
                <w:p w14:paraId="52B67A0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布置在管廊一层</w:t>
                  </w:r>
                </w:p>
              </w:tc>
            </w:tr>
            <w:tr w14:paraId="771A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78D5A7B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7</w:t>
                  </w:r>
                </w:p>
              </w:tc>
              <w:tc>
                <w:tcPr>
                  <w:tcW w:w="1234" w:type="dxa"/>
                  <w:vAlign w:val="center"/>
                </w:tcPr>
                <w:p w14:paraId="2A6C9E46">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u w:val="single"/>
                    </w:rPr>
                  </w:pPr>
                  <w:bookmarkStart w:id="15" w:name="OLE_LINK3"/>
                  <w:r>
                    <w:rPr>
                      <w:rFonts w:hint="eastAsia"/>
                      <w:iCs/>
                      <w:color w:val="auto"/>
                      <w:szCs w:val="21"/>
                      <w:u w:val="single"/>
                      <w:lang w:val="en-US" w:eastAsia="zh-CN"/>
                    </w:rPr>
                    <w:t>通信电缆</w:t>
                  </w:r>
                  <w:bookmarkEnd w:id="15"/>
                  <w:r>
                    <w:rPr>
                      <w:iCs/>
                      <w:color w:val="auto"/>
                      <w:szCs w:val="21"/>
                      <w:u w:val="single"/>
                    </w:rPr>
                    <w:t>桥架</w:t>
                  </w:r>
                </w:p>
              </w:tc>
              <w:tc>
                <w:tcPr>
                  <w:tcW w:w="1020" w:type="dxa"/>
                  <w:vAlign w:val="center"/>
                </w:tcPr>
                <w:p w14:paraId="2DA28F83">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15</w:t>
                  </w:r>
                  <w:r>
                    <w:rPr>
                      <w:iCs/>
                      <w:color w:val="auto"/>
                      <w:szCs w:val="21"/>
                    </w:rPr>
                    <w:t>0×</w:t>
                  </w:r>
                  <w:r>
                    <w:rPr>
                      <w:rFonts w:hint="eastAsia"/>
                      <w:iCs/>
                      <w:color w:val="auto"/>
                      <w:szCs w:val="21"/>
                    </w:rPr>
                    <w:t>10</w:t>
                  </w:r>
                  <w:r>
                    <w:rPr>
                      <w:iCs/>
                      <w:color w:val="auto"/>
                      <w:szCs w:val="21"/>
                    </w:rPr>
                    <w:t>0</w:t>
                  </w:r>
                </w:p>
              </w:tc>
              <w:tc>
                <w:tcPr>
                  <w:tcW w:w="1020" w:type="dxa"/>
                  <w:vAlign w:val="center"/>
                </w:tcPr>
                <w:p w14:paraId="6E5063F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1020" w:type="dxa"/>
                  <w:vAlign w:val="center"/>
                </w:tcPr>
                <w:p w14:paraId="53DD49D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1020" w:type="dxa"/>
                  <w:vAlign w:val="center"/>
                </w:tcPr>
                <w:p w14:paraId="75AD684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1021" w:type="dxa"/>
                  <w:vAlign w:val="center"/>
                </w:tcPr>
                <w:p w14:paraId="5FC0FA5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1021" w:type="dxa"/>
                  <w:vAlign w:val="center"/>
                </w:tcPr>
                <w:p w14:paraId="575049F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布置</w:t>
                  </w:r>
                  <w:bookmarkStart w:id="16" w:name="OLE_LINK19"/>
                  <w:r>
                    <w:rPr>
                      <w:rFonts w:hint="eastAsia"/>
                      <w:color w:val="auto"/>
                      <w:szCs w:val="21"/>
                    </w:rPr>
                    <w:t>在管廊</w:t>
                  </w:r>
                  <w:r>
                    <w:rPr>
                      <w:rFonts w:hint="eastAsia"/>
                      <w:color w:val="auto"/>
                      <w:szCs w:val="21"/>
                      <w:lang w:val="en-US" w:eastAsia="zh-CN"/>
                    </w:rPr>
                    <w:t>二</w:t>
                  </w:r>
                  <w:r>
                    <w:rPr>
                      <w:rFonts w:hint="eastAsia"/>
                      <w:color w:val="auto"/>
                      <w:szCs w:val="21"/>
                    </w:rPr>
                    <w:t>层</w:t>
                  </w:r>
                  <w:bookmarkEnd w:id="16"/>
                </w:p>
              </w:tc>
            </w:tr>
            <w:tr w14:paraId="3C4D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072739E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8</w:t>
                  </w:r>
                </w:p>
              </w:tc>
              <w:tc>
                <w:tcPr>
                  <w:tcW w:w="1234" w:type="dxa"/>
                  <w:vAlign w:val="center"/>
                </w:tcPr>
                <w:p w14:paraId="17E2EB5D">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u w:val="single"/>
                    </w:rPr>
                  </w:pPr>
                  <w:r>
                    <w:rPr>
                      <w:rFonts w:hint="eastAsia"/>
                      <w:iCs/>
                      <w:color w:val="auto"/>
                      <w:szCs w:val="21"/>
                      <w:u w:val="single"/>
                      <w:lang w:val="en-US" w:eastAsia="zh-CN"/>
                    </w:rPr>
                    <w:t>动力</w:t>
                  </w:r>
                  <w:r>
                    <w:rPr>
                      <w:iCs/>
                      <w:color w:val="auto"/>
                      <w:szCs w:val="21"/>
                      <w:u w:val="single"/>
                    </w:rPr>
                    <w:t>电缆桥架</w:t>
                  </w:r>
                </w:p>
              </w:tc>
              <w:tc>
                <w:tcPr>
                  <w:tcW w:w="1020" w:type="dxa"/>
                  <w:vAlign w:val="center"/>
                </w:tcPr>
                <w:p w14:paraId="0D3D5F6D">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iCs/>
                      <w:color w:val="auto"/>
                      <w:szCs w:val="21"/>
                    </w:rPr>
                    <w:t>1</w:t>
                  </w:r>
                  <w:r>
                    <w:rPr>
                      <w:iCs/>
                      <w:color w:val="auto"/>
                      <w:szCs w:val="21"/>
                    </w:rPr>
                    <w:t>00×</w:t>
                  </w:r>
                  <w:r>
                    <w:rPr>
                      <w:rFonts w:hint="eastAsia"/>
                      <w:iCs/>
                      <w:color w:val="auto"/>
                      <w:szCs w:val="21"/>
                    </w:rPr>
                    <w:t>5</w:t>
                  </w:r>
                  <w:r>
                    <w:rPr>
                      <w:iCs/>
                      <w:color w:val="auto"/>
                      <w:szCs w:val="21"/>
                    </w:rPr>
                    <w:t>0</w:t>
                  </w:r>
                </w:p>
              </w:tc>
              <w:tc>
                <w:tcPr>
                  <w:tcW w:w="1020" w:type="dxa"/>
                  <w:vAlign w:val="center"/>
                </w:tcPr>
                <w:p w14:paraId="65638E4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1020" w:type="dxa"/>
                  <w:vAlign w:val="center"/>
                </w:tcPr>
                <w:p w14:paraId="317147A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p>
              </w:tc>
              <w:tc>
                <w:tcPr>
                  <w:tcW w:w="1020" w:type="dxa"/>
                  <w:vAlign w:val="center"/>
                </w:tcPr>
                <w:p w14:paraId="5C2FCCF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p>
              </w:tc>
              <w:tc>
                <w:tcPr>
                  <w:tcW w:w="1021" w:type="dxa"/>
                  <w:vAlign w:val="center"/>
                </w:tcPr>
                <w:p w14:paraId="2792D48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color w:val="auto"/>
                      <w:szCs w:val="21"/>
                      <w:lang w:val="en-US" w:eastAsia="zh-CN"/>
                    </w:rPr>
                  </w:pPr>
                  <w:r>
                    <w:rPr>
                      <w:rFonts w:hint="eastAsia"/>
                      <w:color w:val="auto"/>
                      <w:szCs w:val="21"/>
                      <w:lang w:val="en-US" w:eastAsia="zh-CN"/>
                    </w:rPr>
                    <w:t>/</w:t>
                  </w:r>
                </w:p>
              </w:tc>
              <w:tc>
                <w:tcPr>
                  <w:tcW w:w="1021" w:type="dxa"/>
                  <w:vAlign w:val="center"/>
                </w:tcPr>
                <w:p w14:paraId="2BEBA66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rPr>
                  </w:pPr>
                  <w:r>
                    <w:rPr>
                      <w:rFonts w:hint="eastAsia"/>
                      <w:color w:val="auto"/>
                      <w:szCs w:val="21"/>
                    </w:rPr>
                    <w:t>布置在管廊</w:t>
                  </w:r>
                  <w:r>
                    <w:rPr>
                      <w:rFonts w:hint="eastAsia"/>
                      <w:color w:val="auto"/>
                      <w:szCs w:val="21"/>
                      <w:lang w:val="en-US" w:eastAsia="zh-CN"/>
                    </w:rPr>
                    <w:t>二</w:t>
                  </w:r>
                  <w:r>
                    <w:rPr>
                      <w:rFonts w:hint="eastAsia"/>
                      <w:color w:val="auto"/>
                      <w:szCs w:val="21"/>
                    </w:rPr>
                    <w:t>层</w:t>
                  </w:r>
                </w:p>
              </w:tc>
            </w:tr>
            <w:tr w14:paraId="7B00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5903801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color w:val="auto"/>
                      <w:szCs w:val="21"/>
                      <w:u w:val="single"/>
                      <w:lang w:val="en-US" w:eastAsia="zh-CN"/>
                    </w:rPr>
                  </w:pPr>
                  <w:r>
                    <w:rPr>
                      <w:rFonts w:hint="eastAsia"/>
                      <w:color w:val="auto"/>
                      <w:szCs w:val="21"/>
                      <w:u w:val="single"/>
                      <w:lang w:val="en-US" w:eastAsia="zh-CN"/>
                    </w:rPr>
                    <w:t>9</w:t>
                  </w:r>
                </w:p>
              </w:tc>
              <w:tc>
                <w:tcPr>
                  <w:tcW w:w="1234" w:type="dxa"/>
                  <w:vAlign w:val="center"/>
                </w:tcPr>
                <w:p w14:paraId="498AC018">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iCs/>
                      <w:color w:val="auto"/>
                      <w:szCs w:val="21"/>
                      <w:u w:val="single"/>
                      <w:lang w:val="en-US" w:eastAsia="zh-CN"/>
                    </w:rPr>
                  </w:pPr>
                  <w:r>
                    <w:rPr>
                      <w:rFonts w:hint="eastAsia"/>
                      <w:iCs/>
                      <w:color w:val="auto"/>
                      <w:szCs w:val="21"/>
                      <w:u w:val="single"/>
                      <w:lang w:val="en-US" w:eastAsia="zh-CN"/>
                    </w:rPr>
                    <w:t>消防水管</w:t>
                  </w:r>
                </w:p>
              </w:tc>
              <w:tc>
                <w:tcPr>
                  <w:tcW w:w="1020" w:type="dxa"/>
                  <w:vAlign w:val="center"/>
                </w:tcPr>
                <w:p w14:paraId="2CD8491A">
                  <w:pPr>
                    <w:pStyle w:val="6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iCs/>
                      <w:color w:val="auto"/>
                      <w:szCs w:val="21"/>
                      <w:u w:val="single"/>
                      <w:lang w:val="en-US" w:eastAsia="zh-CN"/>
                    </w:rPr>
                  </w:pPr>
                  <w:r>
                    <w:rPr>
                      <w:rFonts w:hint="eastAsia"/>
                      <w:iCs/>
                      <w:color w:val="auto"/>
                      <w:szCs w:val="21"/>
                      <w:u w:val="single"/>
                      <w:lang w:val="en-US" w:eastAsia="zh-CN"/>
                    </w:rPr>
                    <w:t>250</w:t>
                  </w:r>
                </w:p>
              </w:tc>
              <w:tc>
                <w:tcPr>
                  <w:tcW w:w="1020" w:type="dxa"/>
                  <w:vAlign w:val="center"/>
                </w:tcPr>
                <w:p w14:paraId="601B19A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u w:val="single"/>
                    </w:rPr>
                  </w:pPr>
                </w:p>
              </w:tc>
              <w:tc>
                <w:tcPr>
                  <w:tcW w:w="1020" w:type="dxa"/>
                  <w:vAlign w:val="center"/>
                </w:tcPr>
                <w:p w14:paraId="1422627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u w:val="single"/>
                    </w:rPr>
                  </w:pPr>
                </w:p>
              </w:tc>
              <w:tc>
                <w:tcPr>
                  <w:tcW w:w="1020" w:type="dxa"/>
                  <w:vAlign w:val="center"/>
                </w:tcPr>
                <w:p w14:paraId="62893EE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u w:val="single"/>
                    </w:rPr>
                  </w:pPr>
                </w:p>
              </w:tc>
              <w:tc>
                <w:tcPr>
                  <w:tcW w:w="1021" w:type="dxa"/>
                  <w:vAlign w:val="center"/>
                </w:tcPr>
                <w:p w14:paraId="0FA4ABF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color w:val="auto"/>
                      <w:szCs w:val="21"/>
                      <w:u w:val="single"/>
                    </w:rPr>
                  </w:pPr>
                </w:p>
              </w:tc>
              <w:tc>
                <w:tcPr>
                  <w:tcW w:w="1021" w:type="dxa"/>
                  <w:vAlign w:val="center"/>
                </w:tcPr>
                <w:p w14:paraId="120E0E8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color w:val="auto"/>
                      <w:szCs w:val="21"/>
                      <w:u w:val="single"/>
                      <w:lang w:val="en-US" w:eastAsia="zh-CN"/>
                    </w:rPr>
                  </w:pPr>
                  <w:bookmarkStart w:id="17" w:name="OLE_LINK20"/>
                  <w:r>
                    <w:rPr>
                      <w:rFonts w:hint="eastAsia"/>
                      <w:color w:val="auto"/>
                      <w:szCs w:val="21"/>
                      <w:u w:val="single"/>
                      <w:lang w:val="en-US" w:eastAsia="zh-CN"/>
                    </w:rPr>
                    <w:t>埋地敷设</w:t>
                  </w:r>
                  <w:bookmarkEnd w:id="17"/>
                </w:p>
              </w:tc>
            </w:tr>
          </w:tbl>
          <w:p w14:paraId="6122B5A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rFonts w:hint="eastAsia"/>
                <w:color w:val="auto"/>
                <w:sz w:val="24"/>
              </w:rPr>
              <w:t>火炬气是泰兴石化生产的工艺废气，从泰兴石化厂区通过管道送至火炬区燃烧；燃料气是从泰兴石化厂区送至火炬区，</w:t>
            </w:r>
            <w:r>
              <w:rPr>
                <w:rFonts w:hint="eastAsia"/>
                <w:color w:val="auto"/>
                <w:sz w:val="24"/>
                <w:lang w:eastAsia="zh-CN"/>
              </w:rPr>
              <w:t>作为</w:t>
            </w:r>
            <w:r>
              <w:rPr>
                <w:rFonts w:hint="eastAsia"/>
                <w:color w:val="auto"/>
                <w:sz w:val="24"/>
              </w:rPr>
              <w:t>火炬系统的长明灯和点火燃料；</w:t>
            </w:r>
            <w:r>
              <w:rPr>
                <w:rFonts w:hint="eastAsia"/>
                <w:color w:val="auto"/>
                <w:sz w:val="24"/>
                <w:lang w:eastAsia="zh-CN"/>
              </w:rPr>
              <w:t>凝缩油（属烃类冷凝液）</w:t>
            </w:r>
            <w:r>
              <w:rPr>
                <w:rFonts w:hint="eastAsia"/>
                <w:color w:val="auto"/>
                <w:sz w:val="24"/>
              </w:rPr>
              <w:t>是火炬气经火炬区的冷凝灌冷凝收集到的</w:t>
            </w:r>
            <w:r>
              <w:rPr>
                <w:rFonts w:hint="eastAsia"/>
                <w:color w:val="auto"/>
                <w:sz w:val="24"/>
                <w:lang w:val="en-US" w:eastAsia="zh-CN"/>
              </w:rPr>
              <w:t>冷凝液</w:t>
            </w:r>
            <w:r>
              <w:rPr>
                <w:rFonts w:hint="eastAsia"/>
                <w:color w:val="auto"/>
                <w:sz w:val="24"/>
              </w:rPr>
              <w:t>，从火炬区通过管道输送回泰兴石化厂区；仪表空气是泰兴石化厂区输送至火炬区的压缩空气；氮气为泰兴石化厂区吹扫管道的气体，输送至火炬区排放；</w:t>
            </w:r>
            <w:bookmarkStart w:id="18" w:name="OLE_LINK1"/>
            <w:r>
              <w:rPr>
                <w:rFonts w:hint="eastAsia"/>
                <w:color w:val="auto"/>
                <w:sz w:val="24"/>
              </w:rPr>
              <w:t>蒸汽</w:t>
            </w:r>
            <w:bookmarkEnd w:id="18"/>
            <w:r>
              <w:rPr>
                <w:rFonts w:hint="eastAsia"/>
                <w:color w:val="auto"/>
                <w:sz w:val="24"/>
              </w:rPr>
              <w:t>由泰兴石化厂区输送至火炬系统，作为消烟蒸汽。</w:t>
            </w:r>
          </w:p>
          <w:p w14:paraId="5F23C2E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rFonts w:hint="eastAsia"/>
                <w:color w:val="auto"/>
                <w:sz w:val="24"/>
              </w:rPr>
              <w:t>（2）运输物料及理化性质</w:t>
            </w:r>
          </w:p>
          <w:p w14:paraId="456403A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color w:val="auto"/>
                <w:sz w:val="24"/>
              </w:rPr>
              <w:t>项目涉及的主要输送物质的理化性质详见表 2-</w:t>
            </w:r>
            <w:r>
              <w:rPr>
                <w:rFonts w:hint="eastAsia"/>
                <w:color w:val="auto"/>
                <w:sz w:val="24"/>
              </w:rPr>
              <w:t>3</w:t>
            </w:r>
            <w:r>
              <w:rPr>
                <w:color w:val="auto"/>
                <w:sz w:val="24"/>
              </w:rPr>
              <w:t>。</w:t>
            </w:r>
          </w:p>
          <w:p w14:paraId="2BCE93B6">
            <w:pPr>
              <w:widowControl/>
              <w:topLinePunct/>
              <w:spacing w:line="360" w:lineRule="auto"/>
              <w:ind w:firstLine="446" w:firstLineChars="200"/>
              <w:jc w:val="center"/>
              <w:rPr>
                <w:b/>
                <w:bCs/>
                <w:color w:val="auto"/>
                <w:spacing w:val="6"/>
                <w:kern w:val="0"/>
                <w:szCs w:val="21"/>
              </w:rPr>
            </w:pPr>
            <w:r>
              <w:rPr>
                <w:b/>
                <w:bCs/>
                <w:color w:val="auto"/>
                <w:spacing w:val="6"/>
                <w:kern w:val="0"/>
                <w:szCs w:val="21"/>
              </w:rPr>
              <w:t>表2-</w:t>
            </w:r>
            <w:r>
              <w:rPr>
                <w:rFonts w:hint="eastAsia"/>
                <w:b/>
                <w:bCs/>
                <w:color w:val="auto"/>
                <w:spacing w:val="6"/>
                <w:kern w:val="0"/>
                <w:szCs w:val="21"/>
              </w:rPr>
              <w:t>3输送物质的理化性质表</w:t>
            </w:r>
          </w:p>
          <w:tbl>
            <w:tblPr>
              <w:tblStyle w:val="23"/>
              <w:tblW w:w="8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187"/>
              <w:gridCol w:w="6156"/>
            </w:tblGrid>
            <w:tr w14:paraId="080F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42AF7AB2">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rFonts w:hint="eastAsia"/>
                      <w:color w:val="auto"/>
                    </w:rPr>
                    <w:t>序号</w:t>
                  </w:r>
                </w:p>
              </w:tc>
              <w:tc>
                <w:tcPr>
                  <w:tcW w:w="1187" w:type="dxa"/>
                  <w:vAlign w:val="center"/>
                </w:tcPr>
                <w:p w14:paraId="4526DF66">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rFonts w:hint="eastAsia"/>
                      <w:color w:val="auto"/>
                    </w:rPr>
                    <w:t>物料</w:t>
                  </w:r>
                </w:p>
              </w:tc>
              <w:tc>
                <w:tcPr>
                  <w:tcW w:w="6156" w:type="dxa"/>
                  <w:vAlign w:val="center"/>
                </w:tcPr>
                <w:p w14:paraId="2A8F5813">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rFonts w:hint="eastAsia"/>
                      <w:color w:val="auto"/>
                    </w:rPr>
                    <w:t>理化性质</w:t>
                  </w:r>
                </w:p>
              </w:tc>
            </w:tr>
            <w:tr w14:paraId="6D19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5291A8FE">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rFonts w:hint="eastAsia"/>
                      <w:color w:val="auto"/>
                      <w:szCs w:val="21"/>
                    </w:rPr>
                    <w:t>1</w:t>
                  </w:r>
                </w:p>
              </w:tc>
              <w:tc>
                <w:tcPr>
                  <w:tcW w:w="1187" w:type="dxa"/>
                  <w:vAlign w:val="center"/>
                </w:tcPr>
                <w:p w14:paraId="749B097F">
                  <w:pPr>
                    <w:pStyle w:val="6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iCs/>
                      <w:color w:val="auto"/>
                      <w:szCs w:val="21"/>
                    </w:rPr>
                    <w:t>火炬气</w:t>
                  </w:r>
                </w:p>
              </w:tc>
              <w:tc>
                <w:tcPr>
                  <w:tcW w:w="6156" w:type="dxa"/>
                </w:tcPr>
                <w:p w14:paraId="678E9A85">
                  <w:pPr>
                    <w:keepNext w:val="0"/>
                    <w:keepLines w:val="0"/>
                    <w:pageBreakBefore w:val="0"/>
                    <w:widowControl w:val="0"/>
                    <w:kinsoku/>
                    <w:wordWrap/>
                    <w:overflowPunct/>
                    <w:topLinePunct w:val="0"/>
                    <w:autoSpaceDE/>
                    <w:autoSpaceDN/>
                    <w:bidi w:val="0"/>
                    <w:adjustRightInd/>
                    <w:snapToGrid/>
                    <w:spacing w:after="0" w:line="360" w:lineRule="auto"/>
                    <w:textAlignment w:val="auto"/>
                    <w:rPr>
                      <w:color w:val="auto"/>
                    </w:rPr>
                  </w:pPr>
                  <w:r>
                    <w:rPr>
                      <w:color w:val="auto"/>
                    </w:rPr>
                    <w:t>主要成分</w:t>
                  </w:r>
                  <w:r>
                    <w:rPr>
                      <w:rFonts w:hint="eastAsia"/>
                      <w:color w:val="auto"/>
                    </w:rPr>
                    <w:t>为C1~C4有机物，</w:t>
                  </w:r>
                  <w:r>
                    <w:rPr>
                      <w:color w:val="auto"/>
                    </w:rPr>
                    <w:t>包括甲烷、乙烷、氢气、一氧化碳、乙烯等可燃性气体‌。</w:t>
                  </w:r>
                </w:p>
              </w:tc>
            </w:tr>
            <w:tr w14:paraId="7652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355BA4A1">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rFonts w:hint="eastAsia"/>
                      <w:color w:val="auto"/>
                      <w:szCs w:val="21"/>
                    </w:rPr>
                    <w:t>2</w:t>
                  </w:r>
                </w:p>
              </w:tc>
              <w:tc>
                <w:tcPr>
                  <w:tcW w:w="1187" w:type="dxa"/>
                  <w:vAlign w:val="center"/>
                </w:tcPr>
                <w:p w14:paraId="6D55B96D">
                  <w:pPr>
                    <w:pStyle w:val="6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iCs/>
                      <w:color w:val="auto"/>
                      <w:szCs w:val="21"/>
                    </w:rPr>
                    <w:t>燃料气</w:t>
                  </w:r>
                </w:p>
              </w:tc>
              <w:tc>
                <w:tcPr>
                  <w:tcW w:w="6156" w:type="dxa"/>
                </w:tcPr>
                <w:p w14:paraId="22B7FB55">
                  <w:pPr>
                    <w:keepNext w:val="0"/>
                    <w:keepLines w:val="0"/>
                    <w:pageBreakBefore w:val="0"/>
                    <w:widowControl w:val="0"/>
                    <w:kinsoku/>
                    <w:wordWrap/>
                    <w:overflowPunct/>
                    <w:topLinePunct w:val="0"/>
                    <w:autoSpaceDE/>
                    <w:autoSpaceDN/>
                    <w:bidi w:val="0"/>
                    <w:adjustRightInd/>
                    <w:snapToGrid/>
                    <w:spacing w:after="0" w:line="360" w:lineRule="auto"/>
                    <w:textAlignment w:val="auto"/>
                    <w:rPr>
                      <w:color w:val="auto"/>
                    </w:rPr>
                  </w:pPr>
                  <w:r>
                    <w:rPr>
                      <w:color w:val="auto"/>
                    </w:rPr>
                    <w:t>混合气体，主要含氢气、甲烷、乙烷、丙烷、乙烯、丙烯等烃类物质和氮气，也含有少量氧气、二氧化碳和一氧化碳。</w:t>
                  </w:r>
                </w:p>
              </w:tc>
            </w:tr>
            <w:tr w14:paraId="206B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1909D3C1">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rFonts w:hint="eastAsia"/>
                      <w:color w:val="auto"/>
                      <w:szCs w:val="21"/>
                    </w:rPr>
                    <w:t>3</w:t>
                  </w:r>
                </w:p>
              </w:tc>
              <w:tc>
                <w:tcPr>
                  <w:tcW w:w="1187" w:type="dxa"/>
                  <w:vAlign w:val="center"/>
                </w:tcPr>
                <w:p w14:paraId="0F777A1F">
                  <w:pPr>
                    <w:pStyle w:val="6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宋体"/>
                      <w:color w:val="auto"/>
                      <w:lang w:eastAsia="zh-CN"/>
                    </w:rPr>
                  </w:pPr>
                  <w:r>
                    <w:rPr>
                      <w:rFonts w:hint="eastAsia"/>
                      <w:iCs/>
                      <w:color w:val="auto"/>
                      <w:szCs w:val="21"/>
                      <w:lang w:eastAsia="zh-CN"/>
                    </w:rPr>
                    <w:t>凝缩油（属烃类冷凝液）</w:t>
                  </w:r>
                </w:p>
              </w:tc>
              <w:tc>
                <w:tcPr>
                  <w:tcW w:w="6156" w:type="dxa"/>
                </w:tcPr>
                <w:p w14:paraId="7B6B7C21">
                  <w:pPr>
                    <w:keepNext w:val="0"/>
                    <w:keepLines w:val="0"/>
                    <w:pageBreakBefore w:val="0"/>
                    <w:widowControl w:val="0"/>
                    <w:kinsoku/>
                    <w:wordWrap/>
                    <w:overflowPunct/>
                    <w:topLinePunct w:val="0"/>
                    <w:autoSpaceDE/>
                    <w:autoSpaceDN/>
                    <w:bidi w:val="0"/>
                    <w:adjustRightInd/>
                    <w:snapToGrid/>
                    <w:spacing w:after="0" w:line="360" w:lineRule="auto"/>
                    <w:textAlignment w:val="auto"/>
                    <w:rPr>
                      <w:color w:val="auto"/>
                    </w:rPr>
                  </w:pPr>
                  <w:r>
                    <w:rPr>
                      <w:color w:val="auto"/>
                    </w:rPr>
                    <w:t>主要组分</w:t>
                  </w:r>
                  <w:r>
                    <w:rPr>
                      <w:rFonts w:hint="eastAsia"/>
                      <w:color w:val="auto"/>
                    </w:rPr>
                    <w:t>为C4~C6</w:t>
                  </w:r>
                  <w:r>
                    <w:rPr>
                      <w:color w:val="auto"/>
                    </w:rPr>
                    <w:t>烃类</w:t>
                  </w:r>
                  <w:r>
                    <w:rPr>
                      <w:rFonts w:hint="eastAsia"/>
                      <w:color w:val="auto"/>
                      <w:lang w:val="en-US" w:eastAsia="zh-CN"/>
                    </w:rPr>
                    <w:t>化合物</w:t>
                  </w:r>
                  <w:r>
                    <w:rPr>
                      <w:color w:val="auto"/>
                    </w:rPr>
                    <w:t>‌。</w:t>
                  </w:r>
                  <w:r>
                    <w:rPr>
                      <w:rFonts w:hint="eastAsia"/>
                      <w:color w:val="auto"/>
                      <w:lang w:eastAsia="zh-CN"/>
                    </w:rPr>
                    <w:t>凝缩油（属烃类冷凝液）</w:t>
                  </w:r>
                  <w:r>
                    <w:rPr>
                      <w:color w:val="auto"/>
                    </w:rPr>
                    <w:t>是在气相物料中由于温度影响冷凝形成的有机物质，通常为烃类</w:t>
                  </w:r>
                  <w:r>
                    <w:rPr>
                      <w:rFonts w:hint="eastAsia"/>
                      <w:color w:val="auto"/>
                    </w:rPr>
                    <w:t>。</w:t>
                  </w:r>
                  <w:r>
                    <w:rPr>
                      <w:rFonts w:hint="eastAsia"/>
                      <w:color w:val="auto"/>
                      <w:lang w:eastAsia="zh-CN"/>
                    </w:rPr>
                    <w:t>凝缩油（属烃类冷凝液）</w:t>
                  </w:r>
                  <w:r>
                    <w:rPr>
                      <w:rFonts w:hint="eastAsia"/>
                      <w:color w:val="auto"/>
                    </w:rPr>
                    <w:t>具有易燃性。</w:t>
                  </w:r>
                  <w:r>
                    <w:rPr>
                      <w:rFonts w:hint="eastAsia"/>
                      <w:color w:val="auto"/>
                      <w:lang w:eastAsia="zh-CN"/>
                    </w:rPr>
                    <w:t>凝缩油（属烃类冷凝液）</w:t>
                  </w:r>
                  <w:r>
                    <w:rPr>
                      <w:rFonts w:hint="eastAsia"/>
                      <w:color w:val="auto"/>
                    </w:rPr>
                    <w:t>的密度在0.78~0.97g/cm³之间。</w:t>
                  </w:r>
                  <w:r>
                    <w:rPr>
                      <w:rFonts w:hint="eastAsia"/>
                      <w:color w:val="auto"/>
                      <w:lang w:eastAsia="zh-CN"/>
                    </w:rPr>
                    <w:t>凝缩油（属烃类冷凝液）</w:t>
                  </w:r>
                  <w:r>
                    <w:rPr>
                      <w:rFonts w:hint="eastAsia"/>
                      <w:color w:val="auto"/>
                    </w:rPr>
                    <w:t>不溶于水。</w:t>
                  </w:r>
                </w:p>
              </w:tc>
            </w:tr>
            <w:tr w14:paraId="6C56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6B73DCC3">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rFonts w:hint="eastAsia"/>
                      <w:color w:val="auto"/>
                      <w:szCs w:val="21"/>
                    </w:rPr>
                    <w:t>4</w:t>
                  </w:r>
                </w:p>
              </w:tc>
              <w:tc>
                <w:tcPr>
                  <w:tcW w:w="1187" w:type="dxa"/>
                  <w:vAlign w:val="center"/>
                </w:tcPr>
                <w:p w14:paraId="0FC2528D">
                  <w:pPr>
                    <w:pStyle w:val="6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iCs/>
                      <w:color w:val="auto"/>
                      <w:szCs w:val="21"/>
                    </w:rPr>
                    <w:t>仪表空气</w:t>
                  </w:r>
                </w:p>
              </w:tc>
              <w:tc>
                <w:tcPr>
                  <w:tcW w:w="6156" w:type="dxa"/>
                </w:tcPr>
                <w:p w14:paraId="348B6A67">
                  <w:pPr>
                    <w:keepNext w:val="0"/>
                    <w:keepLines w:val="0"/>
                    <w:pageBreakBefore w:val="0"/>
                    <w:widowControl w:val="0"/>
                    <w:kinsoku/>
                    <w:wordWrap/>
                    <w:overflowPunct/>
                    <w:topLinePunct w:val="0"/>
                    <w:autoSpaceDE/>
                    <w:autoSpaceDN/>
                    <w:bidi w:val="0"/>
                    <w:adjustRightInd/>
                    <w:snapToGrid/>
                    <w:spacing w:after="0" w:line="360" w:lineRule="auto"/>
                    <w:textAlignment w:val="auto"/>
                    <w:rPr>
                      <w:color w:val="auto"/>
                    </w:rPr>
                  </w:pPr>
                  <w:r>
                    <w:rPr>
                      <w:rFonts w:hint="eastAsia"/>
                      <w:color w:val="auto"/>
                    </w:rPr>
                    <w:t>为压缩空气，性质稳定。</w:t>
                  </w:r>
                </w:p>
              </w:tc>
            </w:tr>
            <w:tr w14:paraId="53B1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2B6B502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rFonts w:hint="eastAsia"/>
                      <w:color w:val="auto"/>
                      <w:szCs w:val="21"/>
                    </w:rPr>
                    <w:t>5</w:t>
                  </w:r>
                </w:p>
              </w:tc>
              <w:tc>
                <w:tcPr>
                  <w:tcW w:w="1187" w:type="dxa"/>
                  <w:vAlign w:val="center"/>
                </w:tcPr>
                <w:p w14:paraId="1066969D">
                  <w:pPr>
                    <w:pStyle w:val="6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iCs/>
                      <w:color w:val="auto"/>
                      <w:szCs w:val="21"/>
                    </w:rPr>
                    <w:t>氮气</w:t>
                  </w:r>
                </w:p>
              </w:tc>
              <w:tc>
                <w:tcPr>
                  <w:tcW w:w="6156" w:type="dxa"/>
                </w:tcPr>
                <w:p w14:paraId="683FAF04">
                  <w:pPr>
                    <w:keepNext w:val="0"/>
                    <w:keepLines w:val="0"/>
                    <w:pageBreakBefore w:val="0"/>
                    <w:widowControl w:val="0"/>
                    <w:kinsoku/>
                    <w:wordWrap/>
                    <w:overflowPunct/>
                    <w:topLinePunct w:val="0"/>
                    <w:autoSpaceDE/>
                    <w:autoSpaceDN/>
                    <w:bidi w:val="0"/>
                    <w:adjustRightInd/>
                    <w:snapToGrid/>
                    <w:spacing w:after="0" w:line="360" w:lineRule="auto"/>
                    <w:textAlignment w:val="auto"/>
                    <w:rPr>
                      <w:color w:val="auto"/>
                    </w:rPr>
                  </w:pPr>
                  <w:r>
                    <w:rPr>
                      <w:color w:val="auto"/>
                    </w:rPr>
                    <w:t>无色、无臭、无味、无毒的惰性气体。沸点-195.79℃；熔点-210.01℃；相对密度（气体）(0℃，101.325kPa)1.25046g/L。常温下呈惰性，微溶于水、酒精和醚。氮的化学性质不活泼，在平常的状态下表现为很大的惰性，不容易与其他的物质发生化学反应。氮不可燃。它可与一些特别活泼的金属，例如锂和镁结合生成氮化物，在高温下也可与氢、氧和其他元素结合。微溶于水和绝大部分其他液体，是热和电的不良导体。</w:t>
                  </w:r>
                </w:p>
              </w:tc>
            </w:tr>
            <w:tr w14:paraId="457C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23CAC342">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rFonts w:hint="eastAsia"/>
                      <w:color w:val="auto"/>
                      <w:szCs w:val="21"/>
                    </w:rPr>
                    <w:t>6</w:t>
                  </w:r>
                </w:p>
              </w:tc>
              <w:tc>
                <w:tcPr>
                  <w:tcW w:w="1187" w:type="dxa"/>
                  <w:vAlign w:val="center"/>
                </w:tcPr>
                <w:p w14:paraId="6C9B7DA9">
                  <w:pPr>
                    <w:pStyle w:val="6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color w:val="auto"/>
                    </w:rPr>
                  </w:pPr>
                  <w:r>
                    <w:rPr>
                      <w:iCs/>
                      <w:color w:val="auto"/>
                      <w:szCs w:val="21"/>
                    </w:rPr>
                    <w:t>蒸汽</w:t>
                  </w:r>
                </w:p>
              </w:tc>
              <w:tc>
                <w:tcPr>
                  <w:tcW w:w="6156" w:type="dxa"/>
                </w:tcPr>
                <w:p w14:paraId="67744238">
                  <w:pPr>
                    <w:keepNext w:val="0"/>
                    <w:keepLines w:val="0"/>
                    <w:pageBreakBefore w:val="0"/>
                    <w:widowControl w:val="0"/>
                    <w:kinsoku/>
                    <w:wordWrap/>
                    <w:overflowPunct/>
                    <w:topLinePunct w:val="0"/>
                    <w:autoSpaceDE/>
                    <w:autoSpaceDN/>
                    <w:bidi w:val="0"/>
                    <w:adjustRightInd/>
                    <w:snapToGrid/>
                    <w:spacing w:after="0" w:line="360" w:lineRule="auto"/>
                    <w:textAlignment w:val="auto"/>
                    <w:rPr>
                      <w:color w:val="auto"/>
                    </w:rPr>
                  </w:pPr>
                  <w:r>
                    <w:rPr>
                      <w:rFonts w:hint="eastAsia"/>
                      <w:color w:val="auto"/>
                    </w:rPr>
                    <w:t>温度</w:t>
                  </w:r>
                  <w:r>
                    <w:rPr>
                      <w:color w:val="auto"/>
                    </w:rPr>
                    <w:t>160</w:t>
                  </w:r>
                  <w:r>
                    <w:rPr>
                      <w:rFonts w:ascii="宋体"/>
                      <w:color w:val="auto"/>
                      <w:szCs w:val="21"/>
                    </w:rPr>
                    <w:t>℃</w:t>
                  </w:r>
                  <w:r>
                    <w:rPr>
                      <w:rFonts w:hint="eastAsia" w:ascii="宋体"/>
                      <w:color w:val="auto"/>
                      <w:szCs w:val="21"/>
                    </w:rPr>
                    <w:t>，压力</w:t>
                  </w:r>
                  <w:r>
                    <w:rPr>
                      <w:rFonts w:hint="eastAsia"/>
                      <w:iCs/>
                      <w:color w:val="auto"/>
                      <w:szCs w:val="21"/>
                    </w:rPr>
                    <w:t>0.6</w:t>
                  </w:r>
                  <w:r>
                    <w:rPr>
                      <w:color w:val="auto"/>
                      <w:szCs w:val="21"/>
                    </w:rPr>
                    <w:t>MPa</w:t>
                  </w:r>
                  <w:r>
                    <w:rPr>
                      <w:rFonts w:hint="eastAsia"/>
                      <w:color w:val="auto"/>
                      <w:szCs w:val="21"/>
                    </w:rPr>
                    <w:t>。</w:t>
                  </w:r>
                </w:p>
              </w:tc>
            </w:tr>
          </w:tbl>
          <w:p w14:paraId="0AB8AD3E">
            <w:pPr>
              <w:keepNext w:val="0"/>
              <w:keepLines w:val="0"/>
              <w:pageBreakBefore w:val="0"/>
              <w:kinsoku/>
              <w:wordWrap/>
              <w:overflowPunct/>
              <w:topLinePunct w:val="0"/>
              <w:autoSpaceDE/>
              <w:autoSpaceDN/>
              <w:bidi w:val="0"/>
              <w:adjustRightInd/>
              <w:spacing w:after="0" w:line="360" w:lineRule="auto"/>
              <w:ind w:firstLine="562" w:firstLineChars="200"/>
              <w:textAlignment w:val="auto"/>
              <w:rPr>
                <w:b/>
                <w:color w:val="auto"/>
                <w:sz w:val="28"/>
              </w:rPr>
            </w:pPr>
            <w:r>
              <w:rPr>
                <w:b/>
                <w:color w:val="auto"/>
                <w:sz w:val="28"/>
              </w:rPr>
              <w:t>2.</w:t>
            </w:r>
            <w:r>
              <w:rPr>
                <w:rFonts w:hint="eastAsia"/>
                <w:b/>
                <w:color w:val="auto"/>
                <w:sz w:val="28"/>
                <w:lang w:val="en-US" w:eastAsia="zh-CN"/>
              </w:rPr>
              <w:t>5</w:t>
            </w:r>
            <w:r>
              <w:rPr>
                <w:rFonts w:hint="eastAsia"/>
                <w:b/>
                <w:color w:val="auto"/>
                <w:sz w:val="28"/>
              </w:rPr>
              <w:t>管廊及管道迁改方案</w:t>
            </w:r>
          </w:p>
          <w:p w14:paraId="7D0AD520">
            <w:pPr>
              <w:pStyle w:val="8"/>
              <w:keepNext w:val="0"/>
              <w:keepLines w:val="0"/>
              <w:pageBreakBefore w:val="0"/>
              <w:numPr>
                <w:ilvl w:val="0"/>
                <w:numId w:val="5"/>
              </w:numPr>
              <w:kinsoku/>
              <w:wordWrap/>
              <w:overflowPunct/>
              <w:topLinePunct w:val="0"/>
              <w:autoSpaceDE/>
              <w:autoSpaceDN/>
              <w:bidi w:val="0"/>
              <w:adjustRightInd/>
              <w:spacing w:before="0" w:after="0" w:line="360" w:lineRule="auto"/>
              <w:ind w:right="0" w:firstLine="480" w:firstLineChars="200"/>
              <w:textAlignment w:val="auto"/>
              <w:rPr>
                <w:color w:val="auto"/>
                <w:sz w:val="24"/>
                <w:szCs w:val="24"/>
              </w:rPr>
            </w:pPr>
            <w:r>
              <w:rPr>
                <w:rFonts w:hint="eastAsia"/>
                <w:color w:val="auto"/>
                <w:sz w:val="24"/>
                <w:szCs w:val="24"/>
              </w:rPr>
              <w:t>走向布置</w:t>
            </w:r>
          </w:p>
          <w:p w14:paraId="3DF62003">
            <w:pPr>
              <w:keepNext w:val="0"/>
              <w:keepLines w:val="0"/>
              <w:pageBreakBefore w:val="0"/>
              <w:kinsoku/>
              <w:wordWrap/>
              <w:overflowPunct/>
              <w:topLinePunct w:val="0"/>
              <w:autoSpaceDE/>
              <w:autoSpaceDN/>
              <w:bidi w:val="0"/>
              <w:adjustRightInd/>
              <w:spacing w:after="0" w:line="360" w:lineRule="auto"/>
              <w:ind w:firstLine="480" w:firstLineChars="200"/>
              <w:textAlignment w:val="auto"/>
              <w:rPr>
                <w:color w:val="auto"/>
                <w:sz w:val="24"/>
              </w:rPr>
            </w:pPr>
            <w:r>
              <w:rPr>
                <w:rFonts w:hint="eastAsia"/>
                <w:color w:val="auto"/>
                <w:sz w:val="24"/>
              </w:rPr>
              <w:t>项目迁改后的管廊以泰兴化工西面围墙现有管廊端头为起点，向北沿围墙边缘敷设68m至泰兴石化西北角，再沿着现有园区公共管廊平行向西82.5m，最后向南48m接至广西钦州泰兴石油化工有限公司地面火炬用地。管廊全长198.5m，管廊宽度2m，层数2层。管廊上敷设有迁改后的管道和电缆桥架。</w:t>
            </w:r>
          </w:p>
          <w:p w14:paraId="5779E77B">
            <w:pPr>
              <w:pStyle w:val="9"/>
              <w:keepNext w:val="0"/>
              <w:keepLines w:val="0"/>
              <w:pageBreakBefore w:val="0"/>
              <w:numPr>
                <w:ilvl w:val="0"/>
                <w:numId w:val="5"/>
              </w:numPr>
              <w:kinsoku/>
              <w:wordWrap/>
              <w:overflowPunct/>
              <w:topLinePunct w:val="0"/>
              <w:autoSpaceDE/>
              <w:autoSpaceDN/>
              <w:bidi w:val="0"/>
              <w:adjustRightInd/>
              <w:spacing w:after="0" w:line="360" w:lineRule="auto"/>
              <w:textAlignment w:val="auto"/>
              <w:rPr>
                <w:color w:val="auto"/>
              </w:rPr>
            </w:pPr>
            <w:r>
              <w:rPr>
                <w:color w:val="auto"/>
              </w:rPr>
              <w:t>管廊的结构形式</w:t>
            </w:r>
          </w:p>
          <w:p w14:paraId="47EC125D">
            <w:pPr>
              <w:pStyle w:val="10"/>
              <w:keepNext w:val="0"/>
              <w:keepLines w:val="0"/>
              <w:pageBreakBefore w:val="0"/>
              <w:kinsoku/>
              <w:wordWrap/>
              <w:overflowPunct/>
              <w:topLinePunct w:val="0"/>
              <w:autoSpaceDE/>
              <w:autoSpaceDN/>
              <w:bidi w:val="0"/>
              <w:adjustRightInd/>
              <w:spacing w:after="0" w:line="360" w:lineRule="auto"/>
              <w:textAlignment w:val="auto"/>
              <w:rPr>
                <w:color w:val="auto"/>
              </w:rPr>
            </w:pPr>
            <w:r>
              <w:rPr>
                <w:color w:val="auto"/>
              </w:rPr>
              <w:t>管廊采用纵梁式管架，每榀管架的梁、柱采用钢结构，管架纵向采用钢梁连接，大跨度区采用钢桁架结构。</w:t>
            </w:r>
          </w:p>
          <w:p w14:paraId="01E9CA90">
            <w:pPr>
              <w:pStyle w:val="9"/>
              <w:keepNext w:val="0"/>
              <w:keepLines w:val="0"/>
              <w:pageBreakBefore w:val="0"/>
              <w:numPr>
                <w:ilvl w:val="0"/>
                <w:numId w:val="5"/>
              </w:numPr>
              <w:kinsoku/>
              <w:wordWrap/>
              <w:overflowPunct/>
              <w:topLinePunct w:val="0"/>
              <w:autoSpaceDE/>
              <w:autoSpaceDN/>
              <w:bidi w:val="0"/>
              <w:adjustRightInd/>
              <w:spacing w:after="0" w:line="360" w:lineRule="auto"/>
              <w:textAlignment w:val="auto"/>
              <w:rPr>
                <w:color w:val="auto"/>
              </w:rPr>
            </w:pPr>
            <w:r>
              <w:rPr>
                <w:rFonts w:hint="eastAsia"/>
                <w:color w:val="auto"/>
              </w:rPr>
              <w:t>管道布置</w:t>
            </w:r>
          </w:p>
          <w:p w14:paraId="1CE1A7D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rFonts w:hint="eastAsia"/>
                <w:color w:val="auto"/>
                <w:sz w:val="24"/>
                <w:lang w:val="en-US" w:eastAsia="zh-CN"/>
              </w:rPr>
              <w:t>①</w:t>
            </w:r>
            <w:r>
              <w:rPr>
                <w:color w:val="auto"/>
                <w:sz w:val="24"/>
              </w:rPr>
              <w:t>大直径和重的管道应靠近管廊柱子布置。</w:t>
            </w:r>
          </w:p>
          <w:p w14:paraId="6012F58E">
            <w:pPr>
              <w:keepNext w:val="0"/>
              <w:keepLines w:val="0"/>
              <w:pageBreakBefore w:val="0"/>
              <w:kinsoku/>
              <w:wordWrap/>
              <w:overflowPunct/>
              <w:topLinePunct w:val="0"/>
              <w:autoSpaceDE/>
              <w:autoSpaceDN/>
              <w:bidi w:val="0"/>
              <w:adjustRightInd/>
              <w:spacing w:after="0" w:line="360" w:lineRule="auto"/>
              <w:ind w:firstLine="480" w:firstLineChars="200"/>
              <w:textAlignment w:val="auto"/>
              <w:rPr>
                <w:color w:val="auto"/>
                <w:sz w:val="24"/>
              </w:rPr>
            </w:pPr>
            <w:r>
              <w:rPr>
                <w:rFonts w:hint="eastAsia"/>
                <w:color w:val="auto"/>
                <w:sz w:val="24"/>
                <w:lang w:val="en-US" w:eastAsia="zh-CN"/>
              </w:rPr>
              <w:t>②</w:t>
            </w:r>
            <w:r>
              <w:rPr>
                <w:color w:val="auto"/>
                <w:sz w:val="24"/>
              </w:rPr>
              <w:t>小直径、气体管道、公用工程管道宜布置在管廊中间。</w:t>
            </w:r>
          </w:p>
          <w:p w14:paraId="3CCE95A8">
            <w:pPr>
              <w:keepNext w:val="0"/>
              <w:keepLines w:val="0"/>
              <w:pageBreakBefore w:val="0"/>
              <w:kinsoku/>
              <w:wordWrap/>
              <w:overflowPunct/>
              <w:topLinePunct w:val="0"/>
              <w:autoSpaceDE/>
              <w:autoSpaceDN/>
              <w:bidi w:val="0"/>
              <w:adjustRightInd/>
              <w:spacing w:after="0" w:line="360" w:lineRule="auto"/>
              <w:ind w:firstLine="480" w:firstLineChars="200"/>
              <w:textAlignment w:val="auto"/>
              <w:rPr>
                <w:color w:val="auto"/>
                <w:sz w:val="24"/>
              </w:rPr>
            </w:pPr>
            <w:r>
              <w:rPr>
                <w:rFonts w:hint="eastAsia"/>
                <w:color w:val="auto"/>
                <w:sz w:val="24"/>
                <w:lang w:val="en-US" w:eastAsia="zh-CN"/>
              </w:rPr>
              <w:t>③</w:t>
            </w:r>
            <w:r>
              <w:rPr>
                <w:color w:val="auto"/>
                <w:sz w:val="24"/>
              </w:rPr>
              <w:t>管廊上热管道布置在外侧。</w:t>
            </w:r>
          </w:p>
          <w:p w14:paraId="670F1A03">
            <w:pPr>
              <w:keepNext w:val="0"/>
              <w:keepLines w:val="0"/>
              <w:pageBreakBefore w:val="0"/>
              <w:kinsoku/>
              <w:wordWrap/>
              <w:overflowPunct/>
              <w:topLinePunct w:val="0"/>
              <w:autoSpaceDE/>
              <w:autoSpaceDN/>
              <w:bidi w:val="0"/>
              <w:adjustRightInd/>
              <w:spacing w:after="0" w:line="360" w:lineRule="auto"/>
              <w:ind w:firstLine="480" w:firstLineChars="200"/>
              <w:textAlignment w:val="auto"/>
              <w:rPr>
                <w:color w:val="auto"/>
                <w:sz w:val="24"/>
              </w:rPr>
            </w:pPr>
            <w:r>
              <w:rPr>
                <w:rFonts w:hint="eastAsia"/>
                <w:color w:val="auto"/>
                <w:sz w:val="24"/>
                <w:lang w:val="en-US" w:eastAsia="zh-CN"/>
              </w:rPr>
              <w:t>④</w:t>
            </w:r>
            <w:r>
              <w:rPr>
                <w:color w:val="auto"/>
                <w:sz w:val="24"/>
              </w:rPr>
              <w:t>仪表桥架、电缆桥架布置在管廊上层；气体管道、热管道、公用工程管道布置在管廊下层。</w:t>
            </w:r>
          </w:p>
          <w:p w14:paraId="709DFA4D">
            <w:pPr>
              <w:keepNext w:val="0"/>
              <w:keepLines w:val="0"/>
              <w:pageBreakBefore w:val="0"/>
              <w:kinsoku/>
              <w:wordWrap/>
              <w:overflowPunct/>
              <w:topLinePunct w:val="0"/>
              <w:autoSpaceDE/>
              <w:autoSpaceDN/>
              <w:bidi w:val="0"/>
              <w:adjustRightInd/>
              <w:spacing w:after="0" w:line="360" w:lineRule="auto"/>
              <w:ind w:firstLine="480" w:firstLineChars="200"/>
              <w:textAlignment w:val="auto"/>
              <w:rPr>
                <w:color w:val="auto"/>
                <w:sz w:val="24"/>
              </w:rPr>
            </w:pPr>
            <w:r>
              <w:rPr>
                <w:rFonts w:hint="eastAsia"/>
                <w:color w:val="auto"/>
                <w:sz w:val="24"/>
                <w:lang w:val="en-US" w:eastAsia="zh-CN"/>
              </w:rPr>
              <w:t>⑤</w:t>
            </w:r>
            <w:r>
              <w:rPr>
                <w:color w:val="auto"/>
                <w:sz w:val="24"/>
              </w:rPr>
              <w:t>管廊及管道跨越石化园区各企业物流进出口的净空高度大于5m，不影响下方车辆通行。</w:t>
            </w:r>
          </w:p>
          <w:p w14:paraId="4BD00022">
            <w:pPr>
              <w:keepNext w:val="0"/>
              <w:keepLines w:val="0"/>
              <w:pageBreakBefore w:val="0"/>
              <w:kinsoku/>
              <w:wordWrap/>
              <w:overflowPunct/>
              <w:topLinePunct w:val="0"/>
              <w:autoSpaceDE/>
              <w:autoSpaceDN/>
              <w:bidi w:val="0"/>
              <w:adjustRightInd/>
              <w:spacing w:after="0" w:line="360" w:lineRule="auto"/>
              <w:ind w:firstLine="480" w:firstLineChars="200"/>
              <w:textAlignment w:val="auto"/>
              <w:rPr>
                <w:color w:val="auto"/>
                <w:sz w:val="24"/>
              </w:rPr>
            </w:pPr>
            <w:r>
              <w:rPr>
                <w:rFonts w:hint="eastAsia"/>
                <w:color w:val="auto"/>
                <w:sz w:val="24"/>
                <w:lang w:val="en-US" w:eastAsia="zh-CN"/>
              </w:rPr>
              <w:t>⑥</w:t>
            </w:r>
            <w:r>
              <w:rPr>
                <w:color w:val="auto"/>
                <w:sz w:val="24"/>
              </w:rPr>
              <w:t>为限制风载、地震、温差变形等引起的横向位移，避免因不平衡内压、热胀推力以及</w:t>
            </w:r>
            <w:r>
              <w:rPr>
                <w:rFonts w:hint="eastAsia"/>
                <w:color w:val="auto"/>
                <w:sz w:val="24"/>
                <w:lang w:eastAsia="zh-CN"/>
              </w:rPr>
              <w:t>支撑点</w:t>
            </w:r>
            <w:r>
              <w:rPr>
                <w:color w:val="auto"/>
                <w:sz w:val="24"/>
              </w:rPr>
              <w:t>摩擦力造成的管道轴向失稳时，热管道需要设置固定架和导向架，其他管道适当设置导向架。</w:t>
            </w:r>
          </w:p>
          <w:p w14:paraId="693545E0">
            <w:pPr>
              <w:keepNext w:val="0"/>
              <w:keepLines w:val="0"/>
              <w:pageBreakBefore w:val="0"/>
              <w:kinsoku/>
              <w:wordWrap/>
              <w:overflowPunct/>
              <w:topLinePunct w:val="0"/>
              <w:autoSpaceDE/>
              <w:autoSpaceDN/>
              <w:bidi w:val="0"/>
              <w:adjustRightInd/>
              <w:spacing w:after="0" w:line="360" w:lineRule="auto"/>
              <w:ind w:firstLine="480" w:firstLineChars="200"/>
              <w:textAlignment w:val="auto"/>
              <w:rPr>
                <w:color w:val="auto"/>
                <w:sz w:val="24"/>
              </w:rPr>
            </w:pPr>
            <w:r>
              <w:rPr>
                <w:rFonts w:hint="eastAsia"/>
                <w:color w:val="auto"/>
                <w:sz w:val="24"/>
                <w:lang w:val="en-US" w:eastAsia="zh-CN"/>
              </w:rPr>
              <w:t>⑦</w:t>
            </w:r>
            <w:r>
              <w:rPr>
                <w:color w:val="auto"/>
                <w:sz w:val="24"/>
              </w:rPr>
              <w:t>蒸汽管道热补偿采用自然补偿。</w:t>
            </w:r>
          </w:p>
          <w:p w14:paraId="1C9FC352">
            <w:pPr>
              <w:spacing w:line="360" w:lineRule="auto"/>
              <w:jc w:val="center"/>
              <w:rPr>
                <w:color w:val="auto"/>
              </w:rPr>
            </w:pPr>
            <w:r>
              <w:rPr>
                <w:color w:val="auto"/>
              </w:rPr>
              <w:drawing>
                <wp:inline distT="0" distB="0" distL="114935" distR="114935">
                  <wp:extent cx="3886200" cy="693166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3886200" cy="6931660"/>
                          </a:xfrm>
                          <a:prstGeom prst="rect">
                            <a:avLst/>
                          </a:prstGeom>
                          <a:noFill/>
                          <a:ln>
                            <a:noFill/>
                          </a:ln>
                        </pic:spPr>
                      </pic:pic>
                    </a:graphicData>
                  </a:graphic>
                </wp:inline>
              </w:drawing>
            </w:r>
          </w:p>
          <w:p w14:paraId="35BFB24C">
            <w:pPr>
              <w:pStyle w:val="2"/>
              <w:keepNext w:val="0"/>
              <w:keepLines w:val="0"/>
              <w:pageBreakBefore w:val="0"/>
              <w:kinsoku/>
              <w:wordWrap/>
              <w:overflowPunct/>
              <w:autoSpaceDE/>
              <w:autoSpaceDN/>
              <w:bidi w:val="0"/>
              <w:adjustRightInd/>
              <w:snapToGrid/>
              <w:spacing w:after="0" w:line="360" w:lineRule="auto"/>
              <w:jc w:val="center"/>
              <w:textAlignment w:val="auto"/>
              <w:rPr>
                <w:rFonts w:ascii="Times New Roman" w:hAnsi="Times New Roman"/>
                <w:b/>
                <w:color w:val="auto"/>
                <w:spacing w:val="0"/>
                <w:kern w:val="2"/>
                <w:sz w:val="21"/>
                <w:szCs w:val="24"/>
              </w:rPr>
            </w:pPr>
            <w:r>
              <w:rPr>
                <w:rFonts w:hint="eastAsia" w:ascii="Times New Roman" w:hAnsi="Times New Roman"/>
                <w:b/>
                <w:color w:val="auto"/>
                <w:spacing w:val="0"/>
                <w:kern w:val="2"/>
                <w:sz w:val="21"/>
                <w:szCs w:val="24"/>
              </w:rPr>
              <w:t>图</w:t>
            </w:r>
            <w:r>
              <w:rPr>
                <w:rFonts w:ascii="Times New Roman" w:hAnsi="Times New Roman"/>
                <w:b/>
                <w:color w:val="auto"/>
                <w:spacing w:val="0"/>
                <w:kern w:val="2"/>
                <w:sz w:val="21"/>
                <w:szCs w:val="24"/>
              </w:rPr>
              <w:t>2-</w:t>
            </w:r>
            <w:r>
              <w:rPr>
                <w:rFonts w:hint="eastAsia" w:ascii="Times New Roman" w:hAnsi="Times New Roman"/>
                <w:b/>
                <w:color w:val="auto"/>
                <w:spacing w:val="0"/>
                <w:kern w:val="2"/>
                <w:sz w:val="21"/>
                <w:szCs w:val="24"/>
              </w:rPr>
              <w:t>1管道布设界面图</w:t>
            </w:r>
          </w:p>
          <w:p w14:paraId="2A588B46">
            <w:pPr>
              <w:pStyle w:val="9"/>
              <w:keepNext w:val="0"/>
              <w:keepLines w:val="0"/>
              <w:pageBreakBefore w:val="0"/>
              <w:numPr>
                <w:ilvl w:val="0"/>
                <w:numId w:val="5"/>
              </w:numPr>
              <w:kinsoku/>
              <w:wordWrap/>
              <w:overflowPunct/>
              <w:autoSpaceDE/>
              <w:autoSpaceDN/>
              <w:bidi w:val="0"/>
              <w:adjustRightInd/>
              <w:snapToGrid/>
              <w:spacing w:after="0" w:line="360" w:lineRule="auto"/>
              <w:textAlignment w:val="auto"/>
              <w:rPr>
                <w:color w:val="auto"/>
              </w:rPr>
            </w:pPr>
            <w:r>
              <w:rPr>
                <w:rFonts w:hint="eastAsia"/>
                <w:color w:val="auto"/>
              </w:rPr>
              <w:t>管道设计</w:t>
            </w:r>
          </w:p>
          <w:p w14:paraId="6B45668E">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lang w:val="en-US" w:eastAsia="zh-CN"/>
              </w:rPr>
              <w:t>①</w:t>
            </w:r>
            <w:r>
              <w:rPr>
                <w:color w:val="auto"/>
                <w:sz w:val="24"/>
              </w:rPr>
              <w:t>本项目的管道材料应符合《输送流体用无缝钢管》GB/T 8163-2018的要求，选用的材质为20。</w:t>
            </w:r>
          </w:p>
          <w:p w14:paraId="466558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rFonts w:hint="eastAsia"/>
                <w:color w:val="auto"/>
                <w:sz w:val="24"/>
                <w:lang w:val="en-US" w:eastAsia="zh-CN"/>
              </w:rPr>
              <w:t>②</w:t>
            </w:r>
            <w:r>
              <w:rPr>
                <w:color w:val="auto"/>
                <w:sz w:val="24"/>
              </w:rPr>
              <w:t>热管道需要进行保温设计。隔热管道施工应按《工业设备及管道绝热工程施工规范》GB50126-2008执行。保温结构如下：磷化底漆-硅酸铝毡-石油沥青油毡-电镀锌铁丝-玻纤增强铝板-自攻螺钉。</w:t>
            </w:r>
          </w:p>
          <w:p w14:paraId="5F3E9B7D">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lang w:val="en-US" w:eastAsia="zh-CN"/>
              </w:rPr>
              <w:t>③</w:t>
            </w:r>
            <w:r>
              <w:rPr>
                <w:color w:val="auto"/>
                <w:sz w:val="24"/>
              </w:rPr>
              <w:t>管道、管件等材料应有制造厂产品质量合格证书、产品性能试验报告和说明书，应无裂纹、鳞皮、夹渣、气孔等缺陷。</w:t>
            </w:r>
          </w:p>
          <w:p w14:paraId="72B3D165">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lang w:val="en-US" w:eastAsia="zh-CN"/>
              </w:rPr>
              <w:t>④</w:t>
            </w:r>
            <w:r>
              <w:rPr>
                <w:color w:val="auto"/>
                <w:sz w:val="24"/>
              </w:rPr>
              <w:t>管道应进行强度试验和泄漏性试验。强度试验介质为洁净水，试验压力为1.5倍设计压力；管道泄漏性试验采用压缩空气进行，试验压力为设计压力。</w:t>
            </w:r>
          </w:p>
          <w:p w14:paraId="148C3381">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lang w:val="en-US" w:eastAsia="zh-CN"/>
              </w:rPr>
              <w:t>⑤</w:t>
            </w:r>
            <w:r>
              <w:rPr>
                <w:color w:val="auto"/>
                <w:sz w:val="24"/>
              </w:rPr>
              <w:t>管道的防腐施工按《工业设备及管道防腐蚀工程技术标准》（GB</w:t>
            </w:r>
            <w:r>
              <w:rPr>
                <w:rFonts w:hint="eastAsia"/>
                <w:color w:val="auto"/>
                <w:sz w:val="24"/>
              </w:rPr>
              <w:t xml:space="preserve">/T </w:t>
            </w:r>
            <w:r>
              <w:rPr>
                <w:color w:val="auto"/>
                <w:sz w:val="24"/>
              </w:rPr>
              <w:t>50726-2023）及防腐材料生产厂的施工说明执行。凡需刷涂的管道、钢结构及设备表面均需进行除锈处理。管道的除锈质量应达到Sa2 1/2级。现场制造的钢结构的除锈质量应</w:t>
            </w:r>
            <w:r>
              <w:rPr>
                <w:rFonts w:hint="eastAsia"/>
                <w:color w:val="auto"/>
                <w:sz w:val="24"/>
                <w:lang w:eastAsia="zh-CN"/>
              </w:rPr>
              <w:t>达到</w:t>
            </w:r>
            <w:r>
              <w:rPr>
                <w:color w:val="auto"/>
                <w:sz w:val="24"/>
              </w:rPr>
              <w:t>St3级。工厂制造的设备除锈质量按设备制造图要求。</w:t>
            </w:r>
          </w:p>
          <w:p w14:paraId="1EE38C5F">
            <w:pPr>
              <w:keepNext w:val="0"/>
              <w:keepLines w:val="0"/>
              <w:pageBreakBefore w:val="0"/>
              <w:kinsoku/>
              <w:wordWrap/>
              <w:overflowPunct/>
              <w:autoSpaceDE/>
              <w:autoSpaceDN/>
              <w:bidi w:val="0"/>
              <w:adjustRightInd/>
              <w:snapToGrid/>
              <w:spacing w:after="0" w:line="360" w:lineRule="auto"/>
              <w:ind w:firstLine="562" w:firstLineChars="200"/>
              <w:textAlignment w:val="auto"/>
              <w:rPr>
                <w:b/>
                <w:color w:val="auto"/>
                <w:sz w:val="28"/>
              </w:rPr>
            </w:pPr>
            <w:r>
              <w:rPr>
                <w:b/>
                <w:color w:val="auto"/>
                <w:sz w:val="28"/>
              </w:rPr>
              <w:t>2.</w:t>
            </w:r>
            <w:r>
              <w:rPr>
                <w:rFonts w:hint="eastAsia"/>
                <w:b/>
                <w:color w:val="auto"/>
                <w:sz w:val="28"/>
                <w:lang w:val="en-US" w:eastAsia="zh-CN"/>
              </w:rPr>
              <w:t>6</w:t>
            </w:r>
            <w:r>
              <w:rPr>
                <w:rFonts w:hint="eastAsia"/>
                <w:b/>
                <w:color w:val="auto"/>
                <w:sz w:val="28"/>
              </w:rPr>
              <w:t>消防给水管道迁改方案</w:t>
            </w:r>
          </w:p>
          <w:p w14:paraId="57BAA24A">
            <w:pPr>
              <w:pStyle w:val="2"/>
              <w:keepNext w:val="0"/>
              <w:keepLines w:val="0"/>
              <w:pageBreakBefore w:val="0"/>
              <w:kinsoku/>
              <w:wordWrap/>
              <w:overflowPunct/>
              <w:autoSpaceDE/>
              <w:autoSpaceDN/>
              <w:bidi w:val="0"/>
              <w:adjustRightInd/>
              <w:snapToGrid/>
              <w:spacing w:after="0" w:line="360" w:lineRule="auto"/>
              <w:textAlignment w:val="auto"/>
              <w:rPr>
                <w:color w:val="auto"/>
                <w:sz w:val="24"/>
                <w:szCs w:val="24"/>
              </w:rPr>
            </w:pPr>
            <w:r>
              <w:rPr>
                <w:rFonts w:hint="eastAsia"/>
                <w:color w:val="auto"/>
                <w:sz w:val="24"/>
                <w:szCs w:val="24"/>
              </w:rPr>
              <w:t>本项目对界区内室外消防给水管网进行变更改造，拆除现有管廊上消防给水管道，沿北面围墙埋地敷设新的消防管道，界区所依托原有消防供水设施不做变更。</w:t>
            </w:r>
          </w:p>
          <w:p w14:paraId="31A43F7A">
            <w:pPr>
              <w:pStyle w:val="2"/>
              <w:keepNext w:val="0"/>
              <w:keepLines w:val="0"/>
              <w:pageBreakBefore w:val="0"/>
              <w:kinsoku/>
              <w:wordWrap/>
              <w:overflowPunct/>
              <w:autoSpaceDE/>
              <w:autoSpaceDN/>
              <w:bidi w:val="0"/>
              <w:adjustRightInd/>
              <w:snapToGrid/>
              <w:spacing w:after="0" w:line="360" w:lineRule="auto"/>
              <w:textAlignment w:val="auto"/>
              <w:rPr>
                <w:rFonts w:ascii="Times New Roman" w:hAnsi="Times New Roman"/>
                <w:color w:val="auto"/>
                <w:sz w:val="24"/>
                <w:szCs w:val="24"/>
              </w:rPr>
            </w:pPr>
            <w:r>
              <w:rPr>
                <w:rFonts w:ascii="Times New Roman" w:hAnsi="Times New Roman"/>
                <w:color w:val="auto"/>
                <w:sz w:val="24"/>
                <w:szCs w:val="24"/>
              </w:rPr>
              <w:t>埋地消防给水管采用焊接钢管，卡箍连接；埋地钢管采用环氧煤沥青加强级防腐，防腐材料及施工技术应按《石油化工设备和管道涂料防腐蚀技术规范》（SH3022-201</w:t>
            </w:r>
            <w:r>
              <w:rPr>
                <w:rFonts w:hint="eastAsia" w:ascii="Times New Roman" w:hAnsi="Times New Roman"/>
                <w:color w:val="auto"/>
                <w:sz w:val="24"/>
                <w:szCs w:val="24"/>
              </w:rPr>
              <w:t>9</w:t>
            </w:r>
            <w:r>
              <w:rPr>
                <w:rFonts w:ascii="Times New Roman" w:hAnsi="Times New Roman"/>
                <w:color w:val="auto"/>
                <w:sz w:val="24"/>
                <w:szCs w:val="24"/>
              </w:rPr>
              <w:t>）和《埋地钢质管道环氧煤沥青防腐层技术标准》(SY/T0457-2000)的规定执行。</w:t>
            </w:r>
          </w:p>
          <w:p w14:paraId="242B2A5D">
            <w:pPr>
              <w:pStyle w:val="2"/>
              <w:keepNext w:val="0"/>
              <w:keepLines w:val="0"/>
              <w:pageBreakBefore w:val="0"/>
              <w:kinsoku/>
              <w:wordWrap/>
              <w:overflowPunct/>
              <w:autoSpaceDE/>
              <w:autoSpaceDN/>
              <w:bidi w:val="0"/>
              <w:adjustRightInd/>
              <w:snapToGrid/>
              <w:spacing w:after="0" w:line="360" w:lineRule="auto"/>
              <w:textAlignment w:val="auto"/>
              <w:rPr>
                <w:rFonts w:ascii="Times New Roman" w:hAnsi="Times New Roman"/>
                <w:color w:val="auto"/>
                <w:sz w:val="24"/>
                <w:szCs w:val="24"/>
              </w:rPr>
            </w:pPr>
            <w:r>
              <w:rPr>
                <w:rFonts w:ascii="Times New Roman" w:hAnsi="Times New Roman"/>
                <w:color w:val="auto"/>
                <w:sz w:val="24"/>
                <w:szCs w:val="24"/>
              </w:rPr>
              <w:t>消防给水管试验压力为1.4MPa。管网安装完毕后，应对其进行强度试验、冲洗和严密性试验。</w:t>
            </w:r>
          </w:p>
          <w:p w14:paraId="18FA76E3">
            <w:pPr>
              <w:pStyle w:val="2"/>
              <w:keepNext w:val="0"/>
              <w:keepLines w:val="0"/>
              <w:pageBreakBefore w:val="0"/>
              <w:kinsoku/>
              <w:wordWrap/>
              <w:overflowPunct/>
              <w:autoSpaceDE/>
              <w:autoSpaceDN/>
              <w:bidi w:val="0"/>
              <w:adjustRightInd/>
              <w:snapToGrid/>
              <w:spacing w:after="0" w:line="360" w:lineRule="auto"/>
              <w:textAlignment w:val="auto"/>
              <w:rPr>
                <w:rFonts w:ascii="Times New Roman" w:hAnsi="Times New Roman"/>
                <w:color w:val="auto"/>
                <w:sz w:val="24"/>
                <w:szCs w:val="24"/>
              </w:rPr>
            </w:pPr>
            <w:r>
              <w:rPr>
                <w:rFonts w:ascii="Times New Roman" w:hAnsi="Times New Roman"/>
                <w:color w:val="auto"/>
                <w:sz w:val="24"/>
                <w:szCs w:val="24"/>
              </w:rPr>
              <w:t>本项目按抗震设防烈度6度考虑给排水抗震措施，消防给水管采用钢管，消防给水管埋地敷设。</w:t>
            </w:r>
          </w:p>
          <w:p w14:paraId="0202EB46">
            <w:pPr>
              <w:pStyle w:val="2"/>
              <w:keepNext w:val="0"/>
              <w:keepLines w:val="0"/>
              <w:pageBreakBefore w:val="0"/>
              <w:kinsoku/>
              <w:wordWrap/>
              <w:overflowPunct/>
              <w:autoSpaceDE/>
              <w:autoSpaceDN/>
              <w:bidi w:val="0"/>
              <w:adjustRightInd/>
              <w:snapToGrid/>
              <w:spacing w:after="0" w:line="360" w:lineRule="auto"/>
              <w:textAlignment w:val="auto"/>
              <w:rPr>
                <w:rFonts w:ascii="Times New Roman" w:hAnsi="Times New Roman"/>
                <w:color w:val="auto"/>
                <w:sz w:val="24"/>
                <w:szCs w:val="24"/>
              </w:rPr>
            </w:pPr>
            <w:r>
              <w:rPr>
                <w:rFonts w:ascii="Times New Roman" w:hAnsi="Times New Roman"/>
                <w:color w:val="auto"/>
                <w:sz w:val="24"/>
                <w:szCs w:val="24"/>
              </w:rPr>
              <w:t>消防给水管管中心埋深为0.9m，管道过路埋深不足0.7m处，采用满包200后砼加固。</w:t>
            </w:r>
          </w:p>
          <w:p w14:paraId="19485C84">
            <w:pPr>
              <w:keepNext w:val="0"/>
              <w:keepLines w:val="0"/>
              <w:pageBreakBefore w:val="0"/>
              <w:widowControl/>
              <w:kinsoku/>
              <w:wordWrap/>
              <w:overflowPunct/>
              <w:topLinePunct/>
              <w:autoSpaceDE/>
              <w:autoSpaceDN/>
              <w:bidi w:val="0"/>
              <w:adjustRightInd/>
              <w:snapToGrid/>
              <w:spacing w:after="0" w:line="360" w:lineRule="auto"/>
              <w:ind w:firstLine="586" w:firstLineChars="200"/>
              <w:textAlignment w:val="auto"/>
              <w:rPr>
                <w:b/>
                <w:color w:val="auto"/>
                <w:spacing w:val="6"/>
                <w:kern w:val="0"/>
                <w:sz w:val="28"/>
                <w:szCs w:val="28"/>
              </w:rPr>
            </w:pPr>
            <w:r>
              <w:rPr>
                <w:b/>
                <w:color w:val="auto"/>
                <w:spacing w:val="6"/>
                <w:kern w:val="0"/>
                <w:sz w:val="28"/>
                <w:szCs w:val="28"/>
              </w:rPr>
              <w:t>2.</w:t>
            </w:r>
            <w:r>
              <w:rPr>
                <w:rFonts w:hint="eastAsia"/>
                <w:b/>
                <w:color w:val="auto"/>
                <w:spacing w:val="6"/>
                <w:kern w:val="0"/>
                <w:sz w:val="28"/>
                <w:szCs w:val="28"/>
                <w:lang w:val="en-US" w:eastAsia="zh-CN"/>
              </w:rPr>
              <w:t>7</w:t>
            </w:r>
            <w:r>
              <w:rPr>
                <w:b/>
                <w:color w:val="auto"/>
                <w:spacing w:val="6"/>
                <w:kern w:val="0"/>
                <w:sz w:val="28"/>
                <w:szCs w:val="28"/>
              </w:rPr>
              <w:t>公用工程</w:t>
            </w:r>
          </w:p>
          <w:p w14:paraId="3165F4DB">
            <w:pPr>
              <w:keepNext w:val="0"/>
              <w:keepLines w:val="0"/>
              <w:pageBreakBefore w:val="0"/>
              <w:widowControl/>
              <w:kinsoku/>
              <w:wordWrap/>
              <w:overflowPunct/>
              <w:topLinePunct/>
              <w:autoSpaceDE/>
              <w:autoSpaceDN/>
              <w:bidi w:val="0"/>
              <w:adjustRightInd/>
              <w:snapToGrid/>
              <w:spacing w:after="0" w:line="360" w:lineRule="auto"/>
              <w:ind w:firstLine="506" w:firstLineChars="200"/>
              <w:textAlignment w:val="auto"/>
              <w:rPr>
                <w:b/>
                <w:color w:val="auto"/>
                <w:spacing w:val="6"/>
                <w:kern w:val="0"/>
                <w:sz w:val="24"/>
                <w:szCs w:val="28"/>
              </w:rPr>
            </w:pPr>
            <w:r>
              <w:rPr>
                <w:b/>
                <w:color w:val="auto"/>
                <w:spacing w:val="6"/>
                <w:kern w:val="0"/>
                <w:sz w:val="24"/>
                <w:szCs w:val="28"/>
              </w:rPr>
              <w:t>（1）给水</w:t>
            </w:r>
          </w:p>
          <w:p w14:paraId="6A7E769B">
            <w:pPr>
              <w:keepNext w:val="0"/>
              <w:keepLines w:val="0"/>
              <w:pageBreakBefore w:val="0"/>
              <w:widowControl/>
              <w:kinsoku/>
              <w:wordWrap/>
              <w:overflowPunct/>
              <w:topLinePunct/>
              <w:autoSpaceDE/>
              <w:autoSpaceDN/>
              <w:bidi w:val="0"/>
              <w:adjustRightInd/>
              <w:snapToGrid/>
              <w:spacing w:after="0" w:line="360" w:lineRule="auto"/>
              <w:ind w:firstLine="504" w:firstLineChars="200"/>
              <w:textAlignment w:val="auto"/>
              <w:rPr>
                <w:color w:val="auto"/>
                <w:spacing w:val="6"/>
                <w:kern w:val="0"/>
                <w:sz w:val="24"/>
              </w:rPr>
            </w:pPr>
            <w:r>
              <w:rPr>
                <w:rFonts w:hint="eastAsia"/>
                <w:color w:val="auto"/>
                <w:spacing w:val="6"/>
                <w:kern w:val="0"/>
                <w:sz w:val="24"/>
              </w:rPr>
              <w:t>项目施工期用水主要包括管道清洗用水以及施工完毕后进行试压检验用水，依托于园区现有供水设施。</w:t>
            </w:r>
          </w:p>
          <w:p w14:paraId="6EC04A51">
            <w:pPr>
              <w:keepNext w:val="0"/>
              <w:keepLines w:val="0"/>
              <w:pageBreakBefore w:val="0"/>
              <w:widowControl/>
              <w:kinsoku/>
              <w:wordWrap/>
              <w:overflowPunct/>
              <w:topLinePunct/>
              <w:autoSpaceDE/>
              <w:autoSpaceDN/>
              <w:bidi w:val="0"/>
              <w:adjustRightInd/>
              <w:snapToGrid/>
              <w:spacing w:after="0" w:line="360" w:lineRule="auto"/>
              <w:ind w:firstLine="506" w:firstLineChars="200"/>
              <w:textAlignment w:val="auto"/>
              <w:rPr>
                <w:b/>
                <w:color w:val="auto"/>
                <w:spacing w:val="6"/>
                <w:kern w:val="0"/>
                <w:sz w:val="24"/>
                <w:szCs w:val="28"/>
              </w:rPr>
            </w:pPr>
            <w:r>
              <w:rPr>
                <w:b/>
                <w:color w:val="auto"/>
                <w:spacing w:val="6"/>
                <w:kern w:val="0"/>
                <w:sz w:val="24"/>
                <w:szCs w:val="28"/>
              </w:rPr>
              <w:t>（2）排水</w:t>
            </w:r>
          </w:p>
          <w:p w14:paraId="57F3BEF3">
            <w:pPr>
              <w:keepNext w:val="0"/>
              <w:keepLines w:val="0"/>
              <w:pageBreakBefore w:val="0"/>
              <w:widowControl/>
              <w:kinsoku/>
              <w:wordWrap/>
              <w:overflowPunct/>
              <w:topLinePunct/>
              <w:autoSpaceDE/>
              <w:autoSpaceDN/>
              <w:bidi w:val="0"/>
              <w:adjustRightInd/>
              <w:snapToGrid/>
              <w:spacing w:after="0" w:line="360" w:lineRule="auto"/>
              <w:ind w:firstLine="504" w:firstLineChars="200"/>
              <w:textAlignment w:val="auto"/>
              <w:rPr>
                <w:rFonts w:hint="eastAsia" w:eastAsia="宋体"/>
                <w:color w:val="auto"/>
                <w:spacing w:val="6"/>
                <w:kern w:val="0"/>
                <w:sz w:val="24"/>
                <w:szCs w:val="28"/>
                <w:lang w:eastAsia="zh-CN"/>
              </w:rPr>
            </w:pPr>
            <w:r>
              <w:rPr>
                <w:rFonts w:hint="eastAsia"/>
                <w:color w:val="auto"/>
                <w:spacing w:val="6"/>
                <w:kern w:val="0"/>
                <w:sz w:val="24"/>
                <w:szCs w:val="28"/>
              </w:rPr>
              <w:t>项目施工期新管道清洗、试压废水等</w:t>
            </w:r>
            <w:r>
              <w:rPr>
                <w:rFonts w:hint="eastAsia"/>
                <w:color w:val="auto"/>
                <w:spacing w:val="6"/>
                <w:kern w:val="0"/>
                <w:sz w:val="24"/>
                <w:szCs w:val="28"/>
                <w:lang w:val="en-US" w:eastAsia="zh-CN"/>
              </w:rPr>
              <w:t>沉淀后用于洒水降尘，多余废水</w:t>
            </w:r>
            <w:r>
              <w:rPr>
                <w:rFonts w:hint="eastAsia"/>
                <w:color w:val="auto"/>
                <w:spacing w:val="6"/>
                <w:kern w:val="0"/>
                <w:sz w:val="24"/>
                <w:szCs w:val="28"/>
              </w:rPr>
              <w:t>通过罐车收集进入泰兴石化污水收集系统处理。</w:t>
            </w:r>
            <w:r>
              <w:rPr>
                <w:rFonts w:hint="eastAsia"/>
                <w:color w:val="auto"/>
                <w:spacing w:val="6"/>
                <w:kern w:val="0"/>
                <w:sz w:val="24"/>
                <w:szCs w:val="28"/>
                <w:lang w:val="en-US" w:eastAsia="zh-CN"/>
              </w:rPr>
              <w:t>施工期施工人员生活污水</w:t>
            </w:r>
            <w:r>
              <w:rPr>
                <w:rFonts w:hint="eastAsia"/>
                <w:color w:val="auto"/>
                <w:spacing w:val="6"/>
                <w:kern w:val="0"/>
                <w:sz w:val="24"/>
                <w:szCs w:val="28"/>
              </w:rPr>
              <w:t>依托泰兴</w:t>
            </w:r>
            <w:r>
              <w:rPr>
                <w:rFonts w:hint="eastAsia"/>
                <w:color w:val="auto"/>
                <w:spacing w:val="6"/>
                <w:kern w:val="0"/>
                <w:sz w:val="24"/>
                <w:szCs w:val="28"/>
                <w:lang w:val="en-US" w:eastAsia="zh-CN"/>
              </w:rPr>
              <w:t>石化</w:t>
            </w:r>
            <w:r>
              <w:rPr>
                <w:rFonts w:hint="eastAsia"/>
                <w:color w:val="auto"/>
                <w:spacing w:val="6"/>
                <w:kern w:val="0"/>
                <w:sz w:val="24"/>
                <w:szCs w:val="28"/>
              </w:rPr>
              <w:t>生活污水处理</w:t>
            </w:r>
            <w:r>
              <w:rPr>
                <w:rFonts w:hint="eastAsia"/>
                <w:color w:val="auto"/>
                <w:spacing w:val="6"/>
                <w:kern w:val="0"/>
                <w:sz w:val="24"/>
                <w:szCs w:val="28"/>
                <w:lang w:val="en-US" w:eastAsia="zh-CN"/>
              </w:rPr>
              <w:t>设施</w:t>
            </w:r>
            <w:r>
              <w:rPr>
                <w:rFonts w:hint="eastAsia"/>
                <w:color w:val="auto"/>
                <w:spacing w:val="6"/>
                <w:kern w:val="0"/>
                <w:sz w:val="24"/>
                <w:szCs w:val="28"/>
                <w:lang w:eastAsia="zh-CN"/>
              </w:rPr>
              <w:t>，生活污水经化粪池处理后进入市政污水管网，送到胜科污水处理站处理，最后排入钦州湾。</w:t>
            </w:r>
          </w:p>
          <w:p w14:paraId="0DE947C5">
            <w:pPr>
              <w:keepNext w:val="0"/>
              <w:keepLines w:val="0"/>
              <w:pageBreakBefore w:val="0"/>
              <w:widowControl/>
              <w:kinsoku/>
              <w:wordWrap/>
              <w:overflowPunct/>
              <w:topLinePunct/>
              <w:autoSpaceDE/>
              <w:autoSpaceDN/>
              <w:bidi w:val="0"/>
              <w:adjustRightInd/>
              <w:snapToGrid/>
              <w:spacing w:after="0" w:line="360" w:lineRule="auto"/>
              <w:ind w:firstLine="506" w:firstLineChars="200"/>
              <w:textAlignment w:val="auto"/>
              <w:rPr>
                <w:b/>
                <w:color w:val="auto"/>
                <w:spacing w:val="6"/>
                <w:kern w:val="0"/>
                <w:sz w:val="24"/>
              </w:rPr>
            </w:pPr>
            <w:r>
              <w:rPr>
                <w:b/>
                <w:color w:val="auto"/>
                <w:spacing w:val="6"/>
                <w:kern w:val="0"/>
                <w:sz w:val="24"/>
              </w:rPr>
              <w:t>（3）供电</w:t>
            </w:r>
          </w:p>
          <w:p w14:paraId="0B30D07F">
            <w:pPr>
              <w:pStyle w:val="2"/>
              <w:keepNext w:val="0"/>
              <w:keepLines w:val="0"/>
              <w:pageBreakBefore w:val="0"/>
              <w:kinsoku/>
              <w:wordWrap/>
              <w:overflowPunct/>
              <w:autoSpaceDE/>
              <w:autoSpaceDN/>
              <w:bidi w:val="0"/>
              <w:adjustRightInd/>
              <w:snapToGrid/>
              <w:spacing w:after="0" w:line="360" w:lineRule="auto"/>
              <w:textAlignment w:val="auto"/>
              <w:rPr>
                <w:color w:val="auto"/>
                <w:sz w:val="24"/>
              </w:rPr>
            </w:pPr>
            <w:r>
              <w:rPr>
                <w:rFonts w:hint="eastAsia"/>
                <w:color w:val="auto"/>
                <w:sz w:val="24"/>
              </w:rPr>
              <w:t>项目施工期用电依托园区供电系统</w:t>
            </w:r>
            <w:r>
              <w:rPr>
                <w:color w:val="auto"/>
                <w:sz w:val="24"/>
              </w:rPr>
              <w:t>。</w:t>
            </w:r>
          </w:p>
          <w:p w14:paraId="58DCD345">
            <w:pPr>
              <w:pStyle w:val="2"/>
              <w:keepNext w:val="0"/>
              <w:keepLines w:val="0"/>
              <w:pageBreakBefore w:val="0"/>
              <w:kinsoku/>
              <w:wordWrap/>
              <w:overflowPunct/>
              <w:autoSpaceDE/>
              <w:autoSpaceDN/>
              <w:bidi w:val="0"/>
              <w:adjustRightInd/>
              <w:snapToGrid/>
              <w:spacing w:after="0" w:line="360" w:lineRule="auto"/>
              <w:textAlignment w:val="auto"/>
              <w:rPr>
                <w:rFonts w:ascii="Times New Roman" w:hAnsi="Times New Roman" w:eastAsia="宋体" w:cs="Times New Roman"/>
                <w:b/>
                <w:color w:val="auto"/>
                <w:spacing w:val="6"/>
                <w:kern w:val="0"/>
                <w:sz w:val="28"/>
                <w:szCs w:val="28"/>
                <w:lang w:val="en-US" w:eastAsia="zh-CN" w:bidi="ar-SA"/>
              </w:rPr>
            </w:pPr>
            <w:r>
              <w:rPr>
                <w:rFonts w:ascii="Times New Roman" w:hAnsi="Times New Roman" w:eastAsia="宋体" w:cs="Times New Roman"/>
                <w:b/>
                <w:color w:val="auto"/>
                <w:spacing w:val="6"/>
                <w:kern w:val="0"/>
                <w:sz w:val="28"/>
                <w:szCs w:val="28"/>
                <w:lang w:val="en-US" w:eastAsia="zh-CN" w:bidi="ar-SA"/>
              </w:rPr>
              <w:t>2.</w:t>
            </w:r>
            <w:r>
              <w:rPr>
                <w:rFonts w:hint="eastAsia" w:ascii="Times New Roman" w:hAnsi="Times New Roman" w:cs="Times New Roman"/>
                <w:b/>
                <w:color w:val="auto"/>
                <w:spacing w:val="6"/>
                <w:kern w:val="0"/>
                <w:sz w:val="28"/>
                <w:szCs w:val="28"/>
                <w:lang w:val="en-US" w:eastAsia="zh-CN" w:bidi="ar-SA"/>
              </w:rPr>
              <w:t>8</w:t>
            </w:r>
            <w:r>
              <w:rPr>
                <w:rFonts w:hint="eastAsia" w:ascii="Times New Roman" w:hAnsi="Times New Roman" w:eastAsia="宋体" w:cs="Times New Roman"/>
                <w:b/>
                <w:color w:val="auto"/>
                <w:spacing w:val="6"/>
                <w:kern w:val="0"/>
                <w:sz w:val="28"/>
                <w:szCs w:val="28"/>
                <w:lang w:val="en-US" w:eastAsia="zh-CN" w:bidi="ar-SA"/>
              </w:rPr>
              <w:t>项目环境风险防控及消防力量依托工程</w:t>
            </w:r>
          </w:p>
          <w:p w14:paraId="3B76F0E3">
            <w:pPr>
              <w:pStyle w:val="2"/>
              <w:keepNext w:val="0"/>
              <w:keepLines w:val="0"/>
              <w:pageBreakBefore w:val="0"/>
              <w:kinsoku/>
              <w:wordWrap/>
              <w:overflowPunct/>
              <w:autoSpaceDE/>
              <w:autoSpaceDN/>
              <w:bidi w:val="0"/>
              <w:adjustRightInd/>
              <w:snapToGrid/>
              <w:spacing w:after="0" w:line="360" w:lineRule="auto"/>
              <w:textAlignment w:val="auto"/>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b/>
                <w:color w:val="auto"/>
                <w:spacing w:val="6"/>
                <w:kern w:val="0"/>
                <w:sz w:val="28"/>
                <w:u w:val="single"/>
                <w:lang w:val="en-US" w:eastAsia="zh-CN"/>
              </w:rPr>
              <w:t>区域环境风险设施现状</w:t>
            </w:r>
          </w:p>
          <w:p w14:paraId="1BBB6966">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color w:val="auto"/>
                <w:sz w:val="24"/>
                <w:u w:val="single"/>
                <w:lang w:val="en-US" w:eastAsia="zh-CN"/>
              </w:rPr>
            </w:pPr>
            <w:r>
              <w:rPr>
                <w:rFonts w:hint="default"/>
                <w:color w:val="auto"/>
                <w:sz w:val="24"/>
                <w:u w:val="single"/>
                <w:lang w:val="en-US" w:eastAsia="zh-CN"/>
              </w:rPr>
              <w:t>项目用地东面为广西钦州泰兴石油化工有限公司，南面为钦州天恒石化有限公司厂区二（现状为空地），西南面为广西钦州泰兴石油化工有限公司地面火炬。西面为</w:t>
            </w:r>
            <w:r>
              <w:rPr>
                <w:rFonts w:hint="eastAsia"/>
                <w:color w:val="auto"/>
                <w:sz w:val="24"/>
                <w:u w:val="single"/>
                <w:lang w:val="en-US" w:eastAsia="zh-CN"/>
              </w:rPr>
              <w:t>广西</w:t>
            </w:r>
            <w:r>
              <w:rPr>
                <w:rFonts w:hint="default"/>
                <w:color w:val="auto"/>
                <w:sz w:val="24"/>
                <w:u w:val="single"/>
                <w:lang w:val="en-US" w:eastAsia="zh-CN"/>
              </w:rPr>
              <w:t>永盛石油化工有限公司</w:t>
            </w:r>
            <w:r>
              <w:rPr>
                <w:rFonts w:hint="eastAsia"/>
                <w:color w:val="auto"/>
                <w:sz w:val="24"/>
                <w:u w:val="single"/>
                <w:lang w:val="en-US" w:eastAsia="zh-CN"/>
              </w:rPr>
              <w:t>油罐区</w:t>
            </w:r>
            <w:r>
              <w:rPr>
                <w:rFonts w:hint="default"/>
                <w:color w:val="auto"/>
                <w:sz w:val="24"/>
                <w:u w:val="single"/>
                <w:lang w:val="en-US" w:eastAsia="zh-CN"/>
              </w:rPr>
              <w:t>，北面为园区道路、架空电力线及现有园区公共管廊</w:t>
            </w:r>
            <w:r>
              <w:rPr>
                <w:rFonts w:hint="eastAsia"/>
                <w:color w:val="auto"/>
                <w:sz w:val="24"/>
                <w:u w:val="single"/>
                <w:lang w:val="en-US" w:eastAsia="zh-CN"/>
              </w:rPr>
              <w:t>，现有园区公共管廊布设有两根永盛石化DN300输油管（柴油和汽油）、两根天恒石化DN300成品油输送管以及两根蒸汽管道。</w:t>
            </w:r>
            <w:r>
              <w:rPr>
                <w:rFonts w:hint="default"/>
                <w:color w:val="auto"/>
                <w:sz w:val="24"/>
                <w:u w:val="single"/>
                <w:lang w:val="en-US" w:eastAsia="zh-CN"/>
              </w:rPr>
              <w:t>钦州天恒石化</w:t>
            </w:r>
            <w:r>
              <w:rPr>
                <w:rFonts w:hint="eastAsia"/>
                <w:color w:val="auto"/>
                <w:sz w:val="24"/>
                <w:u w:val="single"/>
                <w:lang w:val="en-US" w:eastAsia="zh-CN"/>
              </w:rPr>
              <w:t>现有厂区位于项目北面。</w:t>
            </w:r>
          </w:p>
          <w:p w14:paraId="4855A72F">
            <w:pPr>
              <w:pStyle w:val="29"/>
              <w:keepNext w:val="0"/>
              <w:keepLines w:val="0"/>
              <w:pageBreakBefore w:val="0"/>
              <w:widowControl w:val="0"/>
              <w:kinsoku/>
              <w:wordWrap/>
              <w:overflowPunct/>
              <w:topLinePunct w:val="0"/>
              <w:autoSpaceDE w:val="0"/>
              <w:autoSpaceDN w:val="0"/>
              <w:bidi w:val="0"/>
              <w:adjustRightInd w:val="0"/>
              <w:snapToGrid/>
              <w:spacing w:after="0" w:line="360" w:lineRule="auto"/>
              <w:ind w:firstLine="504" w:firstLineChars="200"/>
              <w:textAlignment w:val="auto"/>
              <w:rPr>
                <w:rFonts w:hint="eastAsia" w:ascii="宋体" w:hAnsi="Arial Narrow" w:eastAsia="宋体" w:cs="Times New Roman"/>
                <w:color w:val="auto"/>
                <w:spacing w:val="6"/>
                <w:kern w:val="0"/>
                <w:sz w:val="24"/>
                <w:szCs w:val="24"/>
                <w:u w:val="single"/>
                <w:lang w:val="en-US" w:eastAsia="zh-CN" w:bidi="ar-SA"/>
              </w:rPr>
            </w:pPr>
            <w:r>
              <w:rPr>
                <w:rFonts w:hint="eastAsia" w:ascii="宋体" w:hAnsi="Arial Narrow" w:eastAsia="宋体" w:cs="Times New Roman"/>
                <w:color w:val="auto"/>
                <w:spacing w:val="6"/>
                <w:kern w:val="0"/>
                <w:sz w:val="24"/>
                <w:szCs w:val="24"/>
                <w:u w:val="single"/>
                <w:lang w:val="en-US" w:eastAsia="zh-CN" w:bidi="ar-SA"/>
              </w:rPr>
              <w:t>项目施工期在切割、焊接过程中会出现火花，参照《石油库设计规范》（GB5007-2014）中“表5.1.3 设备、建筑物平面布置的防火间距”装置储罐组与明火设备的间距要求，项目施工场地与周边环境风险设施满足防火间距要求，详见表3-5。</w:t>
            </w:r>
          </w:p>
          <w:p w14:paraId="22D2D37C">
            <w:pPr>
              <w:pStyle w:val="66"/>
              <w:numPr>
                <w:ilvl w:val="4"/>
                <w:numId w:val="0"/>
              </w:numPr>
              <w:suppressLineNumbers w:val="0"/>
              <w:spacing w:before="0" w:beforeAutospacing="0" w:after="0" w:afterAutospacing="0"/>
              <w:ind w:left="2268" w:leftChars="0" w:right="0" w:rightChars="0" w:firstLine="632" w:firstLineChars="300"/>
              <w:jc w:val="both"/>
              <w:rPr>
                <w:rFonts w:hint="eastAsia" w:ascii="Times New Roman" w:hAnsi="Times New Roman" w:eastAsia="宋体" w:cs="Times New Roman"/>
                <w:caps w:val="0"/>
                <w:color w:val="auto"/>
                <w:u w:val="single"/>
                <w:lang w:eastAsia="zh-CN"/>
              </w:rPr>
            </w:pPr>
            <w:r>
              <w:rPr>
                <w:rFonts w:hint="eastAsia" w:ascii="Times New Roman" w:hAnsi="Times New Roman" w:eastAsia="宋体" w:cs="Times New Roman"/>
                <w:caps w:val="0"/>
                <w:color w:val="auto"/>
                <w:u w:val="single"/>
                <w:lang w:eastAsia="zh-CN"/>
              </w:rPr>
              <w:t>表3-</w:t>
            </w:r>
            <w:r>
              <w:rPr>
                <w:rFonts w:hint="eastAsia" w:ascii="Times New Roman" w:hAnsi="Times New Roman" w:eastAsia="宋体" w:cs="Times New Roman"/>
                <w:caps w:val="0"/>
                <w:color w:val="auto"/>
                <w:u w:val="single"/>
                <w:lang w:val="en-US" w:eastAsia="zh-CN"/>
              </w:rPr>
              <w:t>5</w:t>
            </w:r>
            <w:r>
              <w:rPr>
                <w:rFonts w:hint="eastAsia" w:ascii="Times New Roman" w:hAnsi="Times New Roman" w:eastAsia="宋体" w:cs="Times New Roman"/>
                <w:caps w:val="0"/>
                <w:color w:val="auto"/>
                <w:u w:val="single"/>
                <w:lang w:eastAsia="zh-CN"/>
              </w:rPr>
              <w:t>区域环境风险设施现状</w:t>
            </w:r>
          </w:p>
          <w:tbl>
            <w:tblPr>
              <w:tblStyle w:val="23"/>
              <w:tblW w:w="7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969"/>
              <w:gridCol w:w="1586"/>
              <w:gridCol w:w="2124"/>
              <w:gridCol w:w="1036"/>
            </w:tblGrid>
            <w:tr w14:paraId="1403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5F27F30F">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序号</w:t>
                  </w:r>
                </w:p>
              </w:tc>
              <w:tc>
                <w:tcPr>
                  <w:tcW w:w="1969" w:type="dxa"/>
                  <w:vAlign w:val="center"/>
                </w:tcPr>
                <w:p w14:paraId="1F7EBDA8">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企业</w:t>
                  </w:r>
                </w:p>
              </w:tc>
              <w:tc>
                <w:tcPr>
                  <w:tcW w:w="1586" w:type="dxa"/>
                  <w:vAlign w:val="center"/>
                </w:tcPr>
                <w:p w14:paraId="60AE3002">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风险设施</w:t>
                  </w:r>
                </w:p>
              </w:tc>
              <w:tc>
                <w:tcPr>
                  <w:tcW w:w="2124" w:type="dxa"/>
                  <w:vAlign w:val="center"/>
                </w:tcPr>
                <w:p w14:paraId="49E93B35">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《石油化工企业设计防火规范》（GB50160-2008）中与明火地点的安全距离</w:t>
                  </w:r>
                </w:p>
              </w:tc>
              <w:tc>
                <w:tcPr>
                  <w:tcW w:w="1036" w:type="dxa"/>
                  <w:vAlign w:val="center"/>
                </w:tcPr>
                <w:p w14:paraId="705CDAA4">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项目与罐区距离</w:t>
                  </w:r>
                </w:p>
              </w:tc>
            </w:tr>
            <w:tr w14:paraId="0DD5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19F381B7">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w:t>
                  </w:r>
                </w:p>
              </w:tc>
              <w:tc>
                <w:tcPr>
                  <w:tcW w:w="1969" w:type="dxa"/>
                  <w:vAlign w:val="center"/>
                </w:tcPr>
                <w:p w14:paraId="4ADF5C10">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default"/>
                      <w:color w:val="auto"/>
                      <w:sz w:val="21"/>
                      <w:szCs w:val="21"/>
                      <w:u w:val="single"/>
                      <w:lang w:val="en-US" w:eastAsia="zh-CN"/>
                    </w:rPr>
                    <w:t>广西钦州泰兴石油化工有限公司</w:t>
                  </w:r>
                </w:p>
              </w:tc>
              <w:tc>
                <w:tcPr>
                  <w:tcW w:w="1586" w:type="dxa"/>
                  <w:vAlign w:val="center"/>
                </w:tcPr>
                <w:p w14:paraId="24525F37">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default"/>
                      <w:color w:val="auto"/>
                      <w:sz w:val="21"/>
                      <w:szCs w:val="21"/>
                      <w:u w:val="single"/>
                      <w:vertAlign w:val="baseline"/>
                      <w:lang w:val="en-US" w:eastAsia="zh-CN"/>
                    </w:rPr>
                    <w:t>储油罐区</w:t>
                  </w:r>
                </w:p>
              </w:tc>
              <w:tc>
                <w:tcPr>
                  <w:tcW w:w="2124" w:type="dxa"/>
                  <w:vAlign w:val="center"/>
                </w:tcPr>
                <w:p w14:paraId="4FE888BB">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26m</w:t>
                  </w:r>
                </w:p>
              </w:tc>
              <w:tc>
                <w:tcPr>
                  <w:tcW w:w="1036" w:type="dxa"/>
                  <w:vAlign w:val="center"/>
                </w:tcPr>
                <w:p w14:paraId="627A5030">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东面40m</w:t>
                  </w:r>
                </w:p>
              </w:tc>
            </w:tr>
            <w:tr w14:paraId="35D3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A0DC6FD">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w:t>
                  </w:r>
                </w:p>
              </w:tc>
              <w:tc>
                <w:tcPr>
                  <w:tcW w:w="1969" w:type="dxa"/>
                  <w:vAlign w:val="center"/>
                </w:tcPr>
                <w:p w14:paraId="6CFA29B6">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lang w:val="en-US" w:eastAsia="zh-CN"/>
                    </w:rPr>
                    <w:t>广西永盛</w:t>
                  </w:r>
                  <w:r>
                    <w:rPr>
                      <w:rFonts w:hint="default"/>
                      <w:color w:val="auto"/>
                      <w:sz w:val="21"/>
                      <w:szCs w:val="21"/>
                      <w:u w:val="single"/>
                      <w:lang w:val="en-US" w:eastAsia="zh-CN"/>
                    </w:rPr>
                    <w:t>石油化工有限公司</w:t>
                  </w:r>
                </w:p>
              </w:tc>
              <w:tc>
                <w:tcPr>
                  <w:tcW w:w="1586" w:type="dxa"/>
                  <w:vAlign w:val="center"/>
                </w:tcPr>
                <w:p w14:paraId="0C4FDC09">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default"/>
                      <w:color w:val="auto"/>
                      <w:sz w:val="21"/>
                      <w:szCs w:val="21"/>
                      <w:u w:val="single"/>
                      <w:vertAlign w:val="baseline"/>
                      <w:lang w:val="en-US" w:eastAsia="zh-CN"/>
                    </w:rPr>
                    <w:t>储油罐区</w:t>
                  </w:r>
                </w:p>
              </w:tc>
              <w:tc>
                <w:tcPr>
                  <w:tcW w:w="2124" w:type="dxa"/>
                  <w:vAlign w:val="center"/>
                </w:tcPr>
                <w:p w14:paraId="2C5AFD39">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26m</w:t>
                  </w:r>
                </w:p>
              </w:tc>
              <w:tc>
                <w:tcPr>
                  <w:tcW w:w="1036" w:type="dxa"/>
                  <w:vAlign w:val="center"/>
                </w:tcPr>
                <w:p w14:paraId="1DD9942B">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西面95m</w:t>
                  </w:r>
                </w:p>
              </w:tc>
            </w:tr>
            <w:tr w14:paraId="6EC5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62582D0C">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3</w:t>
                  </w:r>
                </w:p>
              </w:tc>
              <w:tc>
                <w:tcPr>
                  <w:tcW w:w="1969" w:type="dxa"/>
                  <w:vAlign w:val="center"/>
                </w:tcPr>
                <w:p w14:paraId="3B25CBCC">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default"/>
                      <w:color w:val="auto"/>
                      <w:sz w:val="21"/>
                      <w:szCs w:val="21"/>
                      <w:u w:val="single"/>
                      <w:lang w:val="en-US" w:eastAsia="zh-CN"/>
                    </w:rPr>
                    <w:t>园区公共管廊</w:t>
                  </w:r>
                </w:p>
              </w:tc>
              <w:tc>
                <w:tcPr>
                  <w:tcW w:w="1586" w:type="dxa"/>
                  <w:vAlign w:val="center"/>
                </w:tcPr>
                <w:p w14:paraId="6F5D221D">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lang w:val="en-US" w:eastAsia="zh-CN"/>
                    </w:rPr>
                    <w:t>两根永盛石化DN300输油管（柴油和汽油）、两根天恒石化DN300成品油输送管以及两根蒸汽管道</w:t>
                  </w:r>
                </w:p>
              </w:tc>
              <w:tc>
                <w:tcPr>
                  <w:tcW w:w="2124" w:type="dxa"/>
                  <w:vAlign w:val="center"/>
                </w:tcPr>
                <w:p w14:paraId="184B93A2">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lang w:val="en-US" w:eastAsia="zh-CN"/>
                    </w:rPr>
                  </w:pPr>
                  <w:r>
                    <w:rPr>
                      <w:rFonts w:hint="eastAsia"/>
                      <w:color w:val="auto"/>
                      <w:sz w:val="21"/>
                      <w:szCs w:val="21"/>
                      <w:u w:val="single"/>
                      <w:lang w:val="en-US" w:eastAsia="zh-CN"/>
                    </w:rPr>
                    <w:t>/</w:t>
                  </w:r>
                </w:p>
              </w:tc>
              <w:tc>
                <w:tcPr>
                  <w:tcW w:w="1036" w:type="dxa"/>
                  <w:vAlign w:val="center"/>
                </w:tcPr>
                <w:p w14:paraId="79C458C1">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lang w:val="en-US" w:eastAsia="zh-CN"/>
                    </w:rPr>
                  </w:pPr>
                  <w:r>
                    <w:rPr>
                      <w:rFonts w:hint="eastAsia"/>
                      <w:color w:val="auto"/>
                      <w:sz w:val="21"/>
                      <w:szCs w:val="21"/>
                      <w:u w:val="single"/>
                      <w:lang w:val="en-US" w:eastAsia="zh-CN"/>
                    </w:rPr>
                    <w:t>北面2.8m</w:t>
                  </w:r>
                </w:p>
              </w:tc>
            </w:tr>
            <w:tr w14:paraId="3A6D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32FFFDA">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4</w:t>
                  </w:r>
                </w:p>
              </w:tc>
              <w:tc>
                <w:tcPr>
                  <w:tcW w:w="1969" w:type="dxa"/>
                  <w:vAlign w:val="center"/>
                </w:tcPr>
                <w:p w14:paraId="06D5A4D4">
                  <w:pPr>
                    <w:keepNext w:val="0"/>
                    <w:keepLines w:val="0"/>
                    <w:pageBreakBefore w:val="0"/>
                    <w:kinsoku/>
                    <w:wordWrap/>
                    <w:overflowPunct/>
                    <w:autoSpaceDE w:val="0"/>
                    <w:autoSpaceDN w:val="0"/>
                    <w:bidi w:val="0"/>
                    <w:adjustRightInd w:val="0"/>
                    <w:spacing w:after="0" w:line="360" w:lineRule="auto"/>
                    <w:jc w:val="center"/>
                    <w:textAlignment w:val="auto"/>
                    <w:rPr>
                      <w:rFonts w:hint="default"/>
                      <w:color w:val="auto"/>
                      <w:sz w:val="21"/>
                      <w:szCs w:val="21"/>
                      <w:u w:val="single"/>
                      <w:vertAlign w:val="baseline"/>
                      <w:lang w:val="en-US" w:eastAsia="zh-CN"/>
                    </w:rPr>
                  </w:pPr>
                  <w:r>
                    <w:rPr>
                      <w:rFonts w:hint="default"/>
                      <w:color w:val="auto"/>
                      <w:sz w:val="21"/>
                      <w:szCs w:val="21"/>
                      <w:u w:val="single"/>
                      <w:vertAlign w:val="baseline"/>
                      <w:lang w:val="en-US" w:eastAsia="zh-CN"/>
                    </w:rPr>
                    <w:t>钦州天恒石化有限公司</w:t>
                  </w:r>
                </w:p>
              </w:tc>
              <w:tc>
                <w:tcPr>
                  <w:tcW w:w="1586" w:type="dxa"/>
                  <w:vAlign w:val="center"/>
                </w:tcPr>
                <w:p w14:paraId="189140B6">
                  <w:pPr>
                    <w:keepNext w:val="0"/>
                    <w:keepLines w:val="0"/>
                    <w:pageBreakBefore w:val="0"/>
                    <w:kinsoku/>
                    <w:wordWrap/>
                    <w:overflowPunct/>
                    <w:autoSpaceDE w:val="0"/>
                    <w:autoSpaceDN w:val="0"/>
                    <w:bidi w:val="0"/>
                    <w:adjustRightInd w:val="0"/>
                    <w:spacing w:after="0" w:line="360" w:lineRule="auto"/>
                    <w:jc w:val="center"/>
                    <w:textAlignment w:val="auto"/>
                    <w:rPr>
                      <w:rFonts w:hint="eastAsia"/>
                      <w:color w:val="auto"/>
                      <w:sz w:val="21"/>
                      <w:szCs w:val="21"/>
                      <w:u w:val="single"/>
                      <w:vertAlign w:val="baseline"/>
                      <w:lang w:val="en-US" w:eastAsia="zh-CN"/>
                    </w:rPr>
                  </w:pPr>
                  <w:r>
                    <w:rPr>
                      <w:rFonts w:hint="default"/>
                      <w:color w:val="auto"/>
                      <w:sz w:val="21"/>
                      <w:szCs w:val="21"/>
                      <w:u w:val="single"/>
                      <w:vertAlign w:val="baseline"/>
                      <w:lang w:val="en-US" w:eastAsia="zh-CN"/>
                    </w:rPr>
                    <w:t>储油罐区</w:t>
                  </w:r>
                </w:p>
              </w:tc>
              <w:tc>
                <w:tcPr>
                  <w:tcW w:w="2124" w:type="dxa"/>
                  <w:vAlign w:val="center"/>
                </w:tcPr>
                <w:p w14:paraId="2A1BCD9A">
                  <w:pPr>
                    <w:keepNext w:val="0"/>
                    <w:keepLines w:val="0"/>
                    <w:pageBreakBefore w:val="0"/>
                    <w:kinsoku/>
                    <w:wordWrap/>
                    <w:overflowPunct/>
                    <w:autoSpaceDE w:val="0"/>
                    <w:autoSpaceDN w:val="0"/>
                    <w:bidi w:val="0"/>
                    <w:adjustRightInd w:val="0"/>
                    <w:spacing w:after="0" w:line="360" w:lineRule="auto"/>
                    <w:jc w:val="center"/>
                    <w:textAlignment w:val="auto"/>
                    <w:rPr>
                      <w:rFonts w:hint="eastAsia"/>
                      <w:color w:val="auto"/>
                      <w:sz w:val="21"/>
                      <w:szCs w:val="21"/>
                      <w:u w:val="single"/>
                      <w:lang w:val="en-US" w:eastAsia="zh-CN"/>
                    </w:rPr>
                  </w:pPr>
                  <w:r>
                    <w:rPr>
                      <w:rFonts w:hint="eastAsia"/>
                      <w:color w:val="auto"/>
                      <w:sz w:val="21"/>
                      <w:szCs w:val="21"/>
                      <w:u w:val="single"/>
                      <w:vertAlign w:val="baseline"/>
                      <w:lang w:val="en-US" w:eastAsia="zh-CN"/>
                    </w:rPr>
                    <w:t>26m</w:t>
                  </w:r>
                </w:p>
              </w:tc>
              <w:tc>
                <w:tcPr>
                  <w:tcW w:w="1036" w:type="dxa"/>
                  <w:vAlign w:val="center"/>
                </w:tcPr>
                <w:p w14:paraId="35810791">
                  <w:pPr>
                    <w:keepNext w:val="0"/>
                    <w:keepLines w:val="0"/>
                    <w:pageBreakBefore w:val="0"/>
                    <w:kinsoku/>
                    <w:wordWrap/>
                    <w:overflowPunct/>
                    <w:autoSpaceDE w:val="0"/>
                    <w:autoSpaceDN w:val="0"/>
                    <w:bidi w:val="0"/>
                    <w:adjustRightInd w:val="0"/>
                    <w:spacing w:after="0" w:line="360" w:lineRule="auto"/>
                    <w:jc w:val="center"/>
                    <w:textAlignment w:val="auto"/>
                    <w:rPr>
                      <w:rFonts w:hint="eastAsia"/>
                      <w:color w:val="auto"/>
                      <w:sz w:val="21"/>
                      <w:szCs w:val="21"/>
                      <w:u w:val="single"/>
                      <w:lang w:val="en-US" w:eastAsia="zh-CN"/>
                    </w:rPr>
                  </w:pPr>
                  <w:r>
                    <w:rPr>
                      <w:rFonts w:hint="eastAsia"/>
                      <w:color w:val="auto"/>
                      <w:sz w:val="21"/>
                      <w:szCs w:val="21"/>
                      <w:u w:val="single"/>
                      <w:vertAlign w:val="baseline"/>
                      <w:lang w:val="en-US" w:eastAsia="zh-CN"/>
                    </w:rPr>
                    <w:t>北面97m</w:t>
                  </w:r>
                </w:p>
              </w:tc>
            </w:tr>
          </w:tbl>
          <w:p w14:paraId="500E01C3">
            <w:pPr>
              <w:pStyle w:val="2"/>
              <w:keepNext w:val="0"/>
              <w:keepLines w:val="0"/>
              <w:pageBreakBefore w:val="0"/>
              <w:kinsoku/>
              <w:wordWrap/>
              <w:overflowPunct/>
              <w:autoSpaceDE/>
              <w:autoSpaceDN/>
              <w:bidi w:val="0"/>
              <w:adjustRightInd/>
              <w:snapToGrid/>
              <w:spacing w:after="0" w:line="360" w:lineRule="auto"/>
              <w:textAlignment w:val="auto"/>
              <w:rPr>
                <w:rFonts w:hint="default" w:ascii="Times New Roman" w:hAnsi="Times New Roman"/>
                <w:color w:val="auto"/>
                <w:sz w:val="24"/>
                <w:szCs w:val="24"/>
                <w:u w:val="single"/>
                <w:lang w:val="en-US" w:eastAsia="zh-CN"/>
              </w:rPr>
            </w:pPr>
            <w:r>
              <w:rPr>
                <w:rFonts w:hint="eastAsia" w:ascii="Times New Roman" w:hAnsi="Times New Roman"/>
                <w:color w:val="auto"/>
                <w:sz w:val="24"/>
                <w:szCs w:val="24"/>
                <w:u w:val="single"/>
                <w:lang w:val="en-US" w:eastAsia="zh-CN"/>
              </w:rPr>
              <w:t>（2）应急资源</w:t>
            </w:r>
            <w:r>
              <w:rPr>
                <w:rFonts w:hint="eastAsia"/>
                <w:color w:val="auto"/>
                <w:sz w:val="24"/>
                <w:szCs w:val="24"/>
                <w:u w:val="single"/>
                <w:lang w:val="en-US" w:eastAsia="zh-CN"/>
              </w:rPr>
              <w:t>依托工程及可依托性</w:t>
            </w:r>
          </w:p>
          <w:p w14:paraId="095EE0FC">
            <w:pPr>
              <w:pStyle w:val="2"/>
              <w:keepNext w:val="0"/>
              <w:keepLines w:val="0"/>
              <w:pageBreakBefore w:val="0"/>
              <w:kinsoku/>
              <w:wordWrap/>
              <w:overflowPunct/>
              <w:autoSpaceDE/>
              <w:autoSpaceDN/>
              <w:bidi w:val="0"/>
              <w:adjustRightInd/>
              <w:snapToGrid/>
              <w:spacing w:after="0" w:line="360" w:lineRule="auto"/>
              <w:textAlignment w:val="auto"/>
              <w:rPr>
                <w:rFonts w:hint="default" w:ascii="Times New Roman" w:hAnsi="Times New Roman"/>
                <w:color w:val="auto"/>
                <w:sz w:val="24"/>
                <w:szCs w:val="24"/>
                <w:u w:val="single"/>
                <w:lang w:val="en-US" w:eastAsia="zh-CN"/>
              </w:rPr>
            </w:pPr>
            <w:r>
              <w:rPr>
                <w:rFonts w:hint="eastAsia" w:ascii="Times New Roman" w:hAnsi="Times New Roman"/>
                <w:color w:val="auto"/>
                <w:sz w:val="24"/>
                <w:szCs w:val="24"/>
                <w:u w:val="single"/>
                <w:lang w:val="en-US" w:eastAsia="zh-CN"/>
              </w:rPr>
              <w:t>①泰兴石化公司应急资源</w:t>
            </w:r>
          </w:p>
          <w:p w14:paraId="3DDF3DBB">
            <w:pPr>
              <w:keepNext w:val="0"/>
              <w:keepLines w:val="0"/>
              <w:pageBreakBefore w:val="0"/>
              <w:kinsoku/>
              <w:wordWrap/>
              <w:overflowPunct/>
              <w:autoSpaceDE w:val="0"/>
              <w:autoSpaceDN w:val="0"/>
              <w:bidi w:val="0"/>
              <w:adjustRightInd w:val="0"/>
              <w:spacing w:after="0" w:line="360" w:lineRule="auto"/>
              <w:ind w:firstLine="504" w:firstLineChars="200"/>
              <w:jc w:val="left"/>
              <w:textAlignment w:val="auto"/>
              <w:rPr>
                <w:rFonts w:hint="eastAsia" w:ascii="Times New Roman" w:hAnsi="Times New Roman" w:eastAsia="宋体" w:cs="Times New Roman"/>
                <w:color w:val="auto"/>
                <w:sz w:val="24"/>
                <w:u w:val="single"/>
                <w:lang w:val="en-US" w:eastAsia="zh-CN"/>
              </w:rPr>
            </w:pPr>
            <w:r>
              <w:rPr>
                <w:rFonts w:hint="eastAsia" w:ascii="宋体" w:hAnsi="Arial Narrow" w:eastAsia="宋体" w:cs="Times New Roman"/>
                <w:color w:val="auto"/>
                <w:spacing w:val="6"/>
                <w:kern w:val="0"/>
                <w:sz w:val="24"/>
                <w:szCs w:val="24"/>
                <w:u w:val="single"/>
                <w:lang w:val="en-US" w:eastAsia="zh-CN" w:bidi="ar-SA"/>
              </w:rPr>
              <w:t>广西钦州泰兴石油化工有限公司于2023年修订了《广西钦州泰兴石油化工有限公司突发环境事件应急预案》，并取得</w:t>
            </w:r>
            <w:r>
              <w:rPr>
                <w:rFonts w:hint="eastAsia" w:ascii="宋体" w:hAnsi="Arial Narrow" w:cs="Times New Roman"/>
                <w:color w:val="auto"/>
                <w:spacing w:val="6"/>
                <w:kern w:val="0"/>
                <w:sz w:val="24"/>
                <w:szCs w:val="24"/>
                <w:u w:val="single"/>
                <w:lang w:val="en-US" w:eastAsia="zh-CN" w:bidi="ar-SA"/>
              </w:rPr>
              <w:t>钦州市生态环境局</w:t>
            </w:r>
            <w:r>
              <w:rPr>
                <w:rFonts w:hint="eastAsia" w:ascii="宋体" w:hAnsi="Arial Narrow" w:eastAsia="宋体" w:cs="Times New Roman"/>
                <w:color w:val="auto"/>
                <w:spacing w:val="6"/>
                <w:kern w:val="0"/>
                <w:sz w:val="24"/>
                <w:szCs w:val="24"/>
                <w:u w:val="single"/>
                <w:lang w:val="en-US" w:eastAsia="zh-CN" w:bidi="ar-SA"/>
              </w:rPr>
              <w:t>备案证明，应急预案编号为</w:t>
            </w:r>
            <w:r>
              <w:rPr>
                <w:rFonts w:hint="eastAsia" w:ascii="宋体" w:hAnsi="Arial Narrow" w:cs="Times New Roman"/>
                <w:color w:val="auto"/>
                <w:spacing w:val="6"/>
                <w:kern w:val="0"/>
                <w:sz w:val="24"/>
                <w:szCs w:val="24"/>
                <w:u w:val="single"/>
                <w:lang w:val="en-US" w:eastAsia="zh-CN" w:bidi="ar-SA"/>
              </w:rPr>
              <w:t>450702-2023-106-H</w:t>
            </w:r>
            <w:r>
              <w:rPr>
                <w:rFonts w:hint="eastAsia" w:ascii="宋体" w:hAnsi="Arial Narrow" w:eastAsia="宋体" w:cs="Times New Roman"/>
                <w:color w:val="auto"/>
                <w:spacing w:val="6"/>
                <w:kern w:val="0"/>
                <w:sz w:val="24"/>
                <w:szCs w:val="24"/>
                <w:u w:val="single"/>
                <w:lang w:val="en-US" w:eastAsia="zh-CN" w:bidi="ar-SA"/>
              </w:rPr>
              <w:t>。</w:t>
            </w:r>
            <w:r>
              <w:rPr>
                <w:rFonts w:hint="eastAsia" w:ascii="Times New Roman" w:hAnsi="Times New Roman" w:eastAsia="宋体" w:cs="Times New Roman"/>
                <w:color w:val="auto"/>
                <w:sz w:val="24"/>
                <w:u w:val="single"/>
                <w:lang w:val="en-US" w:eastAsia="zh-CN"/>
              </w:rPr>
              <w:t>泰兴石化企业内部成立重大事故应急救援领导小组，副总经理担任总指挥工作，负责通信联络、事件上报，其他</w:t>
            </w:r>
            <w:r>
              <w:rPr>
                <w:rFonts w:hint="eastAsia" w:cs="Times New Roman"/>
                <w:color w:val="auto"/>
                <w:sz w:val="24"/>
                <w:u w:val="single"/>
                <w:lang w:val="en-US" w:eastAsia="zh-CN"/>
              </w:rPr>
              <w:t>人员</w:t>
            </w:r>
            <w:r>
              <w:rPr>
                <w:rFonts w:hint="eastAsia" w:ascii="Times New Roman" w:hAnsi="Times New Roman" w:eastAsia="宋体" w:cs="Times New Roman"/>
                <w:color w:val="auto"/>
                <w:sz w:val="24"/>
                <w:u w:val="single"/>
                <w:lang w:val="en-US" w:eastAsia="zh-CN"/>
              </w:rPr>
              <w:t>分别负责后勤保障联络、抢险救灾现场处置秩序。应急队伍人员明确其应急职责，并定期进行培训、演练，能较好完成企业的突发环境事件的应急处置。</w:t>
            </w:r>
          </w:p>
          <w:p w14:paraId="01DCD0A0">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default"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泰兴石化企业根据可能发生的突发环境污染事故的类型提供和解决处置突发环境事故所需要的救援设施（设备），包括医疗救护仪器药品、个人防护装备器材、沙袋、泵和应急交通工具等。</w:t>
            </w:r>
            <w:r>
              <w:rPr>
                <w:rFonts w:hint="eastAsia" w:cs="Times New Roman"/>
                <w:color w:val="auto"/>
                <w:sz w:val="24"/>
                <w:u w:val="single"/>
                <w:lang w:val="en-US" w:eastAsia="zh-CN"/>
              </w:rPr>
              <w:t>项目应急物资可依托泰兴石化已有的资源，泰兴石化应急物资如下表所示。</w:t>
            </w:r>
          </w:p>
          <w:p w14:paraId="7002F6D5">
            <w:pPr>
              <w:pStyle w:val="66"/>
              <w:numPr>
                <w:ilvl w:val="4"/>
                <w:numId w:val="0"/>
              </w:numPr>
              <w:suppressLineNumbers w:val="0"/>
              <w:spacing w:before="0" w:beforeAutospacing="0" w:after="0" w:afterAutospacing="0"/>
              <w:ind w:left="2268" w:leftChars="0" w:right="0" w:rightChars="0" w:firstLine="632" w:firstLineChars="300"/>
              <w:jc w:val="both"/>
              <w:rPr>
                <w:rFonts w:hint="default" w:ascii="Times New Roman" w:hAnsi="Times New Roman" w:eastAsia="宋体" w:cs="Times New Roman"/>
                <w:caps w:val="0"/>
                <w:color w:val="auto"/>
                <w:u w:val="single"/>
                <w:lang w:val="en-US" w:eastAsia="zh-CN"/>
              </w:rPr>
            </w:pPr>
            <w:r>
              <w:rPr>
                <w:rFonts w:hint="eastAsia" w:ascii="Times New Roman" w:hAnsi="Times New Roman" w:eastAsia="宋体" w:cs="Times New Roman"/>
                <w:caps w:val="0"/>
                <w:color w:val="auto"/>
                <w:u w:val="single"/>
                <w:lang w:eastAsia="zh-CN"/>
              </w:rPr>
              <w:t>表3-</w:t>
            </w:r>
            <w:r>
              <w:rPr>
                <w:rFonts w:hint="eastAsia" w:ascii="Times New Roman" w:hAnsi="Times New Roman" w:eastAsia="宋体" w:cs="Times New Roman"/>
                <w:caps w:val="0"/>
                <w:color w:val="auto"/>
                <w:u w:val="single"/>
                <w:lang w:val="en-US" w:eastAsia="zh-CN"/>
              </w:rPr>
              <w:t>6泰兴石化公司应急</w:t>
            </w:r>
            <w:r>
              <w:rPr>
                <w:rFonts w:hint="eastAsia" w:eastAsia="宋体" w:cs="Times New Roman"/>
                <w:caps w:val="0"/>
                <w:color w:val="auto"/>
                <w:u w:val="single"/>
                <w:lang w:val="en-US" w:eastAsia="zh-CN"/>
              </w:rPr>
              <w:t>物资</w:t>
            </w:r>
            <w:r>
              <w:rPr>
                <w:rFonts w:hint="eastAsia" w:ascii="Times New Roman" w:hAnsi="Times New Roman" w:eastAsia="宋体" w:cs="Times New Roman"/>
                <w:caps w:val="0"/>
                <w:color w:val="auto"/>
                <w:u w:val="single"/>
                <w:lang w:val="en-US" w:eastAsia="zh-CN"/>
              </w:rPr>
              <w:t>明细表</w:t>
            </w:r>
          </w:p>
          <w:tbl>
            <w:tblPr>
              <w:tblStyle w:val="22"/>
              <w:tblW w:w="81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3"/>
              <w:gridCol w:w="1734"/>
              <w:gridCol w:w="1386"/>
              <w:gridCol w:w="742"/>
              <w:gridCol w:w="742"/>
              <w:gridCol w:w="1415"/>
              <w:gridCol w:w="1440"/>
            </w:tblGrid>
            <w:tr w14:paraId="06937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jc w:val="center"/>
              </w:trPr>
              <w:tc>
                <w:tcPr>
                  <w:tcW w:w="693" w:type="dxa"/>
                  <w:noWrap w:val="0"/>
                  <w:vAlign w:val="center"/>
                </w:tcPr>
                <w:p w14:paraId="70098245">
                  <w:pPr>
                    <w:spacing w:after="0"/>
                    <w:contextualSpacing/>
                    <w:jc w:val="center"/>
                    <w:rPr>
                      <w:rFonts w:hint="default" w:ascii="Times New Roman" w:hAnsi="Times New Roman" w:eastAsia="宋体" w:cs="Times New Roman"/>
                      <w:color w:val="auto"/>
                      <w:sz w:val="21"/>
                      <w:szCs w:val="21"/>
                      <w:lang w:val="en-US" w:eastAsia="zh-CN"/>
                    </w:rPr>
                  </w:pPr>
                  <w:bookmarkStart w:id="19" w:name="_Toc29627"/>
                  <w:bookmarkStart w:id="20" w:name="_Toc18314"/>
                  <w:bookmarkStart w:id="21" w:name="_Toc12140"/>
                  <w:r>
                    <w:rPr>
                      <w:rFonts w:hint="default" w:ascii="Times New Roman" w:hAnsi="Times New Roman" w:eastAsia="宋体" w:cs="Times New Roman"/>
                      <w:color w:val="auto"/>
                      <w:sz w:val="21"/>
                      <w:szCs w:val="21"/>
                      <w:lang w:val="en-US" w:eastAsia="zh-CN"/>
                    </w:rPr>
                    <w:t>序号</w:t>
                  </w:r>
                </w:p>
              </w:tc>
              <w:tc>
                <w:tcPr>
                  <w:tcW w:w="1734" w:type="dxa"/>
                  <w:noWrap w:val="0"/>
                  <w:vAlign w:val="center"/>
                </w:tcPr>
                <w:p w14:paraId="55927DA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物资名称</w:t>
                  </w:r>
                </w:p>
              </w:tc>
              <w:tc>
                <w:tcPr>
                  <w:tcW w:w="1386" w:type="dxa"/>
                  <w:noWrap w:val="0"/>
                  <w:vAlign w:val="center"/>
                </w:tcPr>
                <w:p w14:paraId="389B21E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规格型号</w:t>
                  </w:r>
                </w:p>
              </w:tc>
              <w:tc>
                <w:tcPr>
                  <w:tcW w:w="742" w:type="dxa"/>
                  <w:noWrap w:val="0"/>
                  <w:vAlign w:val="center"/>
                </w:tcPr>
                <w:p w14:paraId="3B6FA2A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742" w:type="dxa"/>
                  <w:noWrap w:val="0"/>
                  <w:vAlign w:val="center"/>
                </w:tcPr>
                <w:p w14:paraId="25E4C12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w:t>
                  </w:r>
                </w:p>
              </w:tc>
              <w:tc>
                <w:tcPr>
                  <w:tcW w:w="1415" w:type="dxa"/>
                  <w:noWrap w:val="0"/>
                  <w:vAlign w:val="center"/>
                </w:tcPr>
                <w:p w14:paraId="458AA78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储存场所</w:t>
                  </w:r>
                </w:p>
              </w:tc>
              <w:tc>
                <w:tcPr>
                  <w:tcW w:w="1440" w:type="dxa"/>
                  <w:noWrap w:val="0"/>
                  <w:vAlign w:val="center"/>
                </w:tcPr>
                <w:p w14:paraId="3458617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管理部门</w:t>
                  </w:r>
                </w:p>
              </w:tc>
            </w:tr>
            <w:tr w14:paraId="18C7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0B09501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w:t>
                  </w:r>
                </w:p>
              </w:tc>
              <w:tc>
                <w:tcPr>
                  <w:tcW w:w="1734" w:type="dxa"/>
                  <w:noWrap w:val="0"/>
                  <w:vAlign w:val="center"/>
                </w:tcPr>
                <w:p w14:paraId="659C74B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应急处置物质</w:t>
                  </w:r>
                </w:p>
              </w:tc>
              <w:tc>
                <w:tcPr>
                  <w:tcW w:w="1386" w:type="dxa"/>
                  <w:noWrap w:val="0"/>
                  <w:vAlign w:val="center"/>
                </w:tcPr>
                <w:p w14:paraId="64FD03C6">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4ACBECB">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04A07137">
                  <w:pPr>
                    <w:spacing w:after="0"/>
                    <w:contextualSpacing/>
                    <w:jc w:val="center"/>
                    <w:rPr>
                      <w:rFonts w:hint="default" w:ascii="Times New Roman" w:hAnsi="Times New Roman" w:eastAsia="宋体" w:cs="Times New Roman"/>
                      <w:color w:val="auto"/>
                      <w:sz w:val="21"/>
                      <w:szCs w:val="21"/>
                      <w:lang w:val="en-US" w:eastAsia="zh-CN"/>
                    </w:rPr>
                  </w:pPr>
                </w:p>
              </w:tc>
              <w:tc>
                <w:tcPr>
                  <w:tcW w:w="1415" w:type="dxa"/>
                  <w:noWrap w:val="0"/>
                  <w:vAlign w:val="center"/>
                </w:tcPr>
                <w:p w14:paraId="4065599C">
                  <w:pPr>
                    <w:spacing w:after="0"/>
                    <w:contextualSpacing/>
                    <w:jc w:val="center"/>
                    <w:rPr>
                      <w:rFonts w:hint="default" w:ascii="Times New Roman" w:hAnsi="Times New Roman" w:eastAsia="宋体" w:cs="Times New Roman"/>
                      <w:color w:val="auto"/>
                      <w:sz w:val="21"/>
                      <w:szCs w:val="21"/>
                      <w:lang w:val="en-US" w:eastAsia="zh-CN"/>
                    </w:rPr>
                  </w:pPr>
                </w:p>
              </w:tc>
              <w:tc>
                <w:tcPr>
                  <w:tcW w:w="1440" w:type="dxa"/>
                  <w:noWrap w:val="0"/>
                  <w:vAlign w:val="center"/>
                </w:tcPr>
                <w:p w14:paraId="4BC03FB3">
                  <w:pPr>
                    <w:spacing w:after="0"/>
                    <w:contextualSpacing/>
                    <w:jc w:val="center"/>
                    <w:rPr>
                      <w:rFonts w:hint="default" w:ascii="Times New Roman" w:hAnsi="Times New Roman" w:eastAsia="宋体" w:cs="Times New Roman"/>
                      <w:color w:val="auto"/>
                      <w:sz w:val="21"/>
                      <w:szCs w:val="21"/>
                      <w:lang w:val="en-US" w:eastAsia="zh-CN"/>
                    </w:rPr>
                  </w:pPr>
                </w:p>
              </w:tc>
            </w:tr>
            <w:tr w14:paraId="494EE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55CD8A7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34" w:type="dxa"/>
                  <w:noWrap w:val="0"/>
                  <w:vAlign w:val="center"/>
                </w:tcPr>
                <w:p w14:paraId="4FA3A17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可燃气体检测仪</w:t>
                  </w:r>
                </w:p>
              </w:tc>
              <w:tc>
                <w:tcPr>
                  <w:tcW w:w="1386" w:type="dxa"/>
                  <w:noWrap w:val="0"/>
                  <w:vAlign w:val="center"/>
                </w:tcPr>
                <w:p w14:paraId="369F4C3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 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CO</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氧气，可燃气体</w:t>
                  </w:r>
                </w:p>
              </w:tc>
              <w:tc>
                <w:tcPr>
                  <w:tcW w:w="742" w:type="dxa"/>
                  <w:noWrap w:val="0"/>
                  <w:vAlign w:val="center"/>
                </w:tcPr>
                <w:p w14:paraId="5196425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742" w:type="dxa"/>
                  <w:noWrap w:val="0"/>
                  <w:vAlign w:val="center"/>
                </w:tcPr>
                <w:p w14:paraId="6F572A6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15" w:type="dxa"/>
                  <w:noWrap w:val="0"/>
                  <w:vAlign w:val="center"/>
                </w:tcPr>
                <w:p w14:paraId="4B2A256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化验室</w:t>
                  </w:r>
                </w:p>
              </w:tc>
              <w:tc>
                <w:tcPr>
                  <w:tcW w:w="1440" w:type="dxa"/>
                  <w:noWrap w:val="0"/>
                  <w:vAlign w:val="center"/>
                </w:tcPr>
                <w:p w14:paraId="0FE8E9C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生产综合部</w:t>
                  </w:r>
                </w:p>
              </w:tc>
            </w:tr>
            <w:tr w14:paraId="6EE53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30C5967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34" w:type="dxa"/>
                  <w:noWrap w:val="0"/>
                  <w:vAlign w:val="center"/>
                </w:tcPr>
                <w:p w14:paraId="5240C5A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电动报警器</w:t>
                  </w:r>
                </w:p>
              </w:tc>
              <w:tc>
                <w:tcPr>
                  <w:tcW w:w="1386" w:type="dxa"/>
                  <w:noWrap w:val="0"/>
                  <w:vAlign w:val="center"/>
                </w:tcPr>
                <w:p w14:paraId="2F2FF532">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1CC0972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742" w:type="dxa"/>
                  <w:noWrap w:val="0"/>
                  <w:vAlign w:val="center"/>
                </w:tcPr>
                <w:p w14:paraId="74C5FB0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15" w:type="dxa"/>
                  <w:noWrap w:val="0"/>
                  <w:vAlign w:val="center"/>
                </w:tcPr>
                <w:p w14:paraId="1BDAA47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保安室</w:t>
                  </w:r>
                </w:p>
              </w:tc>
              <w:tc>
                <w:tcPr>
                  <w:tcW w:w="1440" w:type="dxa"/>
                  <w:noWrap w:val="0"/>
                  <w:vAlign w:val="center"/>
                </w:tcPr>
                <w:p w14:paraId="08565B1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5EBE3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3ADEFFD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734" w:type="dxa"/>
                  <w:noWrap w:val="0"/>
                  <w:vAlign w:val="center"/>
                </w:tcPr>
                <w:p w14:paraId="6AC7FE6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灭火毯</w:t>
                  </w:r>
                </w:p>
              </w:tc>
              <w:tc>
                <w:tcPr>
                  <w:tcW w:w="1386" w:type="dxa"/>
                  <w:noWrap w:val="0"/>
                  <w:vAlign w:val="center"/>
                </w:tcPr>
                <w:p w14:paraId="29B52FF5">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7580C5D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w:t>
                  </w:r>
                </w:p>
              </w:tc>
              <w:tc>
                <w:tcPr>
                  <w:tcW w:w="742" w:type="dxa"/>
                  <w:noWrap w:val="0"/>
                  <w:vAlign w:val="center"/>
                </w:tcPr>
                <w:p w14:paraId="24836AD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15" w:type="dxa"/>
                  <w:noWrap w:val="0"/>
                  <w:vAlign w:val="center"/>
                </w:tcPr>
                <w:p w14:paraId="7A16CD4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仓库</w:t>
                  </w:r>
                </w:p>
              </w:tc>
              <w:tc>
                <w:tcPr>
                  <w:tcW w:w="1440" w:type="dxa"/>
                  <w:noWrap w:val="0"/>
                  <w:vAlign w:val="center"/>
                </w:tcPr>
                <w:p w14:paraId="5F5B1D7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5566F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59A5683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734" w:type="dxa"/>
                  <w:noWrap w:val="0"/>
                  <w:vAlign w:val="center"/>
                </w:tcPr>
                <w:p w14:paraId="2A6C1F0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吸油棉</w:t>
                  </w:r>
                </w:p>
              </w:tc>
              <w:tc>
                <w:tcPr>
                  <w:tcW w:w="1386" w:type="dxa"/>
                  <w:noWrap w:val="0"/>
                  <w:vAlign w:val="center"/>
                </w:tcPr>
                <w:p w14:paraId="70319988">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73AAC7D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w:t>
                  </w:r>
                </w:p>
              </w:tc>
              <w:tc>
                <w:tcPr>
                  <w:tcW w:w="742" w:type="dxa"/>
                  <w:noWrap w:val="0"/>
                  <w:vAlign w:val="center"/>
                </w:tcPr>
                <w:p w14:paraId="734F725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15" w:type="dxa"/>
                  <w:noWrap w:val="0"/>
                  <w:vAlign w:val="center"/>
                </w:tcPr>
                <w:p w14:paraId="46F26CA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仓库</w:t>
                  </w:r>
                </w:p>
              </w:tc>
              <w:tc>
                <w:tcPr>
                  <w:tcW w:w="1440" w:type="dxa"/>
                  <w:noWrap w:val="0"/>
                  <w:vAlign w:val="center"/>
                </w:tcPr>
                <w:p w14:paraId="14F609B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72731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091420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734" w:type="dxa"/>
                  <w:noWrap w:val="0"/>
                  <w:vAlign w:val="center"/>
                </w:tcPr>
                <w:p w14:paraId="178A484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编织袋</w:t>
                  </w:r>
                </w:p>
              </w:tc>
              <w:tc>
                <w:tcPr>
                  <w:tcW w:w="1386" w:type="dxa"/>
                  <w:noWrap w:val="0"/>
                  <w:vAlign w:val="center"/>
                </w:tcPr>
                <w:p w14:paraId="5B4F37EA">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4BA49B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742" w:type="dxa"/>
                  <w:noWrap w:val="0"/>
                  <w:vAlign w:val="center"/>
                </w:tcPr>
                <w:p w14:paraId="752E63F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1415" w:type="dxa"/>
                  <w:noWrap w:val="0"/>
                  <w:vAlign w:val="center"/>
                </w:tcPr>
                <w:p w14:paraId="025FC62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仓库</w:t>
                  </w:r>
                </w:p>
              </w:tc>
              <w:tc>
                <w:tcPr>
                  <w:tcW w:w="1440" w:type="dxa"/>
                  <w:noWrap w:val="0"/>
                  <w:vAlign w:val="center"/>
                </w:tcPr>
                <w:p w14:paraId="27BAA91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3A846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510D812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734" w:type="dxa"/>
                  <w:noWrap w:val="0"/>
                  <w:vAlign w:val="center"/>
                </w:tcPr>
                <w:p w14:paraId="6ADF6B2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塑料布</w:t>
                  </w:r>
                </w:p>
              </w:tc>
              <w:tc>
                <w:tcPr>
                  <w:tcW w:w="1386" w:type="dxa"/>
                  <w:noWrap w:val="0"/>
                  <w:vAlign w:val="center"/>
                </w:tcPr>
                <w:p w14:paraId="3B83CE9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10m×20m</w:t>
                  </w:r>
                </w:p>
              </w:tc>
              <w:tc>
                <w:tcPr>
                  <w:tcW w:w="742" w:type="dxa"/>
                  <w:noWrap w:val="0"/>
                  <w:vAlign w:val="center"/>
                </w:tcPr>
                <w:p w14:paraId="129EB01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张</w:t>
                  </w:r>
                </w:p>
              </w:tc>
              <w:tc>
                <w:tcPr>
                  <w:tcW w:w="742" w:type="dxa"/>
                  <w:noWrap w:val="0"/>
                  <w:vAlign w:val="center"/>
                </w:tcPr>
                <w:p w14:paraId="14D487E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15" w:type="dxa"/>
                  <w:noWrap w:val="0"/>
                  <w:vAlign w:val="center"/>
                </w:tcPr>
                <w:p w14:paraId="163A4AA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仓库</w:t>
                  </w:r>
                </w:p>
              </w:tc>
              <w:tc>
                <w:tcPr>
                  <w:tcW w:w="1440" w:type="dxa"/>
                  <w:noWrap w:val="0"/>
                  <w:vAlign w:val="center"/>
                </w:tcPr>
                <w:p w14:paraId="4F811EB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59EC5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4436A87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734" w:type="dxa"/>
                  <w:noWrap w:val="0"/>
                  <w:vAlign w:val="center"/>
                </w:tcPr>
                <w:p w14:paraId="1029426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安全警示线</w:t>
                  </w:r>
                </w:p>
              </w:tc>
              <w:tc>
                <w:tcPr>
                  <w:tcW w:w="1386" w:type="dxa"/>
                  <w:noWrap w:val="0"/>
                  <w:vAlign w:val="center"/>
                </w:tcPr>
                <w:p w14:paraId="28938FE7">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043BF3A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卷</w:t>
                  </w:r>
                </w:p>
              </w:tc>
              <w:tc>
                <w:tcPr>
                  <w:tcW w:w="742" w:type="dxa"/>
                  <w:noWrap w:val="0"/>
                  <w:vAlign w:val="center"/>
                </w:tcPr>
                <w:p w14:paraId="09A917F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415" w:type="dxa"/>
                  <w:noWrap w:val="0"/>
                  <w:vAlign w:val="center"/>
                </w:tcPr>
                <w:p w14:paraId="0999A8C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78C74FE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05637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0720BDD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734" w:type="dxa"/>
                  <w:noWrap w:val="0"/>
                  <w:vAlign w:val="center"/>
                </w:tcPr>
                <w:p w14:paraId="6776678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安全带</w:t>
                  </w:r>
                </w:p>
              </w:tc>
              <w:tc>
                <w:tcPr>
                  <w:tcW w:w="1386" w:type="dxa"/>
                  <w:noWrap w:val="0"/>
                  <w:vAlign w:val="center"/>
                </w:tcPr>
                <w:p w14:paraId="17F11552">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5515C1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条</w:t>
                  </w:r>
                </w:p>
              </w:tc>
              <w:tc>
                <w:tcPr>
                  <w:tcW w:w="742" w:type="dxa"/>
                  <w:noWrap w:val="0"/>
                  <w:vAlign w:val="center"/>
                </w:tcPr>
                <w:p w14:paraId="6A11947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415" w:type="dxa"/>
                  <w:noWrap w:val="0"/>
                  <w:vAlign w:val="center"/>
                </w:tcPr>
                <w:p w14:paraId="553BBE6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6F941B3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7C4AA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17E469FE">
                  <w:pPr>
                    <w:spacing w:after="0"/>
                    <w:contextualSpacing/>
                    <w:jc w:val="center"/>
                    <w:rPr>
                      <w:rFonts w:hint="default" w:ascii="Times New Roman" w:hAnsi="Times New Roman" w:eastAsia="宋体" w:cs="Times New Roman"/>
                      <w:color w:val="auto"/>
                      <w:sz w:val="21"/>
                      <w:szCs w:val="21"/>
                      <w:lang w:val="en-US" w:eastAsia="zh-CN"/>
                    </w:rPr>
                  </w:pPr>
                </w:p>
                <w:p w14:paraId="19D5733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734" w:type="dxa"/>
                  <w:noWrap w:val="0"/>
                  <w:vAlign w:val="center"/>
                </w:tcPr>
                <w:p w14:paraId="7075F7C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安全绳</w:t>
                  </w:r>
                </w:p>
              </w:tc>
              <w:tc>
                <w:tcPr>
                  <w:tcW w:w="1386" w:type="dxa"/>
                  <w:noWrap w:val="0"/>
                  <w:vAlign w:val="center"/>
                </w:tcPr>
                <w:p w14:paraId="2B0A36A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直径 12mm,50 米/条</w:t>
                  </w:r>
                </w:p>
              </w:tc>
              <w:tc>
                <w:tcPr>
                  <w:tcW w:w="742" w:type="dxa"/>
                  <w:noWrap w:val="0"/>
                  <w:vAlign w:val="center"/>
                </w:tcPr>
                <w:p w14:paraId="21595D79">
                  <w:pPr>
                    <w:spacing w:after="0"/>
                    <w:contextualSpacing/>
                    <w:jc w:val="center"/>
                    <w:rPr>
                      <w:rFonts w:hint="default" w:ascii="Times New Roman" w:hAnsi="Times New Roman" w:eastAsia="宋体" w:cs="Times New Roman"/>
                      <w:color w:val="auto"/>
                      <w:sz w:val="21"/>
                      <w:szCs w:val="21"/>
                      <w:lang w:val="en-US" w:eastAsia="zh-CN"/>
                    </w:rPr>
                  </w:pPr>
                </w:p>
                <w:p w14:paraId="405B790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条</w:t>
                  </w:r>
                </w:p>
              </w:tc>
              <w:tc>
                <w:tcPr>
                  <w:tcW w:w="742" w:type="dxa"/>
                  <w:noWrap w:val="0"/>
                  <w:vAlign w:val="center"/>
                </w:tcPr>
                <w:p w14:paraId="038F2604">
                  <w:pPr>
                    <w:spacing w:after="0"/>
                    <w:contextualSpacing/>
                    <w:jc w:val="center"/>
                    <w:rPr>
                      <w:rFonts w:hint="default" w:ascii="Times New Roman" w:hAnsi="Times New Roman" w:eastAsia="宋体" w:cs="Times New Roman"/>
                      <w:color w:val="auto"/>
                      <w:sz w:val="21"/>
                      <w:szCs w:val="21"/>
                      <w:lang w:val="en-US" w:eastAsia="zh-CN"/>
                    </w:rPr>
                  </w:pPr>
                </w:p>
                <w:p w14:paraId="03969C7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15" w:type="dxa"/>
                  <w:noWrap w:val="0"/>
                  <w:vAlign w:val="center"/>
                </w:tcPr>
                <w:p w14:paraId="03CAE41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30FA233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3E4B5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39FF193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734" w:type="dxa"/>
                  <w:noWrap w:val="0"/>
                  <w:vAlign w:val="center"/>
                </w:tcPr>
                <w:p w14:paraId="0586848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移动式自吸油泵</w:t>
                  </w:r>
                </w:p>
              </w:tc>
              <w:tc>
                <w:tcPr>
                  <w:tcW w:w="1386" w:type="dxa"/>
                  <w:noWrap w:val="0"/>
                  <w:vAlign w:val="center"/>
                </w:tcPr>
                <w:p w14:paraId="120D861F">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8DDB95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742" w:type="dxa"/>
                  <w:noWrap w:val="0"/>
                  <w:vAlign w:val="center"/>
                </w:tcPr>
                <w:p w14:paraId="46D4E08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15" w:type="dxa"/>
                  <w:noWrap w:val="0"/>
                  <w:vAlign w:val="center"/>
                </w:tcPr>
                <w:p w14:paraId="585917C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仓库</w:t>
                  </w:r>
                </w:p>
              </w:tc>
              <w:tc>
                <w:tcPr>
                  <w:tcW w:w="1440" w:type="dxa"/>
                  <w:noWrap w:val="0"/>
                  <w:vAlign w:val="center"/>
                </w:tcPr>
                <w:p w14:paraId="2BE9396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机动工程部</w:t>
                  </w:r>
                </w:p>
              </w:tc>
            </w:tr>
            <w:tr w14:paraId="6DB18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78DBEAB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734" w:type="dxa"/>
                  <w:noWrap w:val="0"/>
                  <w:vAlign w:val="center"/>
                </w:tcPr>
                <w:p w14:paraId="7188A6F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潜水泵</w:t>
                  </w:r>
                </w:p>
              </w:tc>
              <w:tc>
                <w:tcPr>
                  <w:tcW w:w="1386" w:type="dxa"/>
                  <w:noWrap w:val="0"/>
                  <w:vAlign w:val="center"/>
                </w:tcPr>
                <w:p w14:paraId="2AE1A991">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6066304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742" w:type="dxa"/>
                  <w:noWrap w:val="0"/>
                  <w:vAlign w:val="center"/>
                </w:tcPr>
                <w:p w14:paraId="06AE97D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15" w:type="dxa"/>
                  <w:noWrap w:val="0"/>
                  <w:vAlign w:val="center"/>
                </w:tcPr>
                <w:p w14:paraId="715C595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仓库</w:t>
                  </w:r>
                </w:p>
              </w:tc>
              <w:tc>
                <w:tcPr>
                  <w:tcW w:w="1440" w:type="dxa"/>
                  <w:noWrap w:val="0"/>
                  <w:vAlign w:val="center"/>
                </w:tcPr>
                <w:p w14:paraId="691EA08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机动工程部</w:t>
                  </w:r>
                </w:p>
              </w:tc>
            </w:tr>
            <w:tr w14:paraId="2A75C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0013995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734" w:type="dxa"/>
                  <w:noWrap w:val="0"/>
                  <w:vAlign w:val="center"/>
                </w:tcPr>
                <w:p w14:paraId="17AEB20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铁铲</w:t>
                  </w:r>
                </w:p>
              </w:tc>
              <w:tc>
                <w:tcPr>
                  <w:tcW w:w="1386" w:type="dxa"/>
                  <w:noWrap w:val="0"/>
                  <w:vAlign w:val="center"/>
                </w:tcPr>
                <w:p w14:paraId="4421E04A">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67C05E0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把</w:t>
                  </w:r>
                </w:p>
              </w:tc>
              <w:tc>
                <w:tcPr>
                  <w:tcW w:w="742" w:type="dxa"/>
                  <w:noWrap w:val="0"/>
                  <w:vAlign w:val="center"/>
                </w:tcPr>
                <w:p w14:paraId="34000AC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415" w:type="dxa"/>
                  <w:noWrap w:val="0"/>
                  <w:vAlign w:val="center"/>
                </w:tcPr>
                <w:p w14:paraId="3C77194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51F482F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5E69C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5E06F9D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w:t>
                  </w:r>
                </w:p>
              </w:tc>
              <w:tc>
                <w:tcPr>
                  <w:tcW w:w="1734" w:type="dxa"/>
                  <w:noWrap w:val="0"/>
                  <w:vAlign w:val="center"/>
                </w:tcPr>
                <w:p w14:paraId="0B37807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应急装备</w:t>
                  </w:r>
                </w:p>
              </w:tc>
              <w:tc>
                <w:tcPr>
                  <w:tcW w:w="1386" w:type="dxa"/>
                  <w:noWrap w:val="0"/>
                  <w:vAlign w:val="center"/>
                </w:tcPr>
                <w:p w14:paraId="41C7F368">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0852980E">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3BD0E4E">
                  <w:pPr>
                    <w:spacing w:after="0"/>
                    <w:contextualSpacing/>
                    <w:jc w:val="center"/>
                    <w:rPr>
                      <w:rFonts w:hint="default" w:ascii="Times New Roman" w:hAnsi="Times New Roman" w:eastAsia="宋体" w:cs="Times New Roman"/>
                      <w:color w:val="auto"/>
                      <w:sz w:val="21"/>
                      <w:szCs w:val="21"/>
                      <w:lang w:val="en-US" w:eastAsia="zh-CN"/>
                    </w:rPr>
                  </w:pPr>
                </w:p>
              </w:tc>
              <w:tc>
                <w:tcPr>
                  <w:tcW w:w="1415" w:type="dxa"/>
                  <w:noWrap w:val="0"/>
                  <w:vAlign w:val="center"/>
                </w:tcPr>
                <w:p w14:paraId="78D88F6C">
                  <w:pPr>
                    <w:spacing w:after="0"/>
                    <w:contextualSpacing/>
                    <w:jc w:val="center"/>
                    <w:rPr>
                      <w:rFonts w:hint="default" w:ascii="Times New Roman" w:hAnsi="Times New Roman" w:eastAsia="宋体" w:cs="Times New Roman"/>
                      <w:color w:val="auto"/>
                      <w:sz w:val="21"/>
                      <w:szCs w:val="21"/>
                      <w:lang w:val="en-US" w:eastAsia="zh-CN"/>
                    </w:rPr>
                  </w:pPr>
                </w:p>
              </w:tc>
              <w:tc>
                <w:tcPr>
                  <w:tcW w:w="1440" w:type="dxa"/>
                  <w:noWrap w:val="0"/>
                  <w:vAlign w:val="center"/>
                </w:tcPr>
                <w:p w14:paraId="398BE78C">
                  <w:pPr>
                    <w:spacing w:after="0"/>
                    <w:contextualSpacing/>
                    <w:jc w:val="center"/>
                    <w:rPr>
                      <w:rFonts w:hint="default" w:ascii="Times New Roman" w:hAnsi="Times New Roman" w:eastAsia="宋体" w:cs="Times New Roman"/>
                      <w:color w:val="auto"/>
                      <w:sz w:val="21"/>
                      <w:szCs w:val="21"/>
                      <w:lang w:val="en-US" w:eastAsia="zh-CN"/>
                    </w:rPr>
                  </w:pPr>
                </w:p>
              </w:tc>
            </w:tr>
            <w:tr w14:paraId="52022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0708DC0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34" w:type="dxa"/>
                  <w:noWrap w:val="0"/>
                  <w:vAlign w:val="center"/>
                </w:tcPr>
                <w:p w14:paraId="2205ECE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防毒面具</w:t>
                  </w:r>
                </w:p>
              </w:tc>
              <w:tc>
                <w:tcPr>
                  <w:tcW w:w="1386" w:type="dxa"/>
                  <w:noWrap w:val="0"/>
                  <w:vAlign w:val="center"/>
                </w:tcPr>
                <w:p w14:paraId="70EF6E8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高坚 B 型 4#</w:t>
                  </w:r>
                </w:p>
              </w:tc>
              <w:tc>
                <w:tcPr>
                  <w:tcW w:w="742" w:type="dxa"/>
                  <w:noWrap w:val="0"/>
                  <w:vAlign w:val="center"/>
                </w:tcPr>
                <w:p w14:paraId="0C51063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742" w:type="dxa"/>
                  <w:noWrap w:val="0"/>
                  <w:vAlign w:val="center"/>
                </w:tcPr>
                <w:p w14:paraId="285A693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415" w:type="dxa"/>
                  <w:noWrap w:val="0"/>
                  <w:vAlign w:val="center"/>
                </w:tcPr>
                <w:p w14:paraId="3EBFF2B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48116FB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6090A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5C57E36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34" w:type="dxa"/>
                  <w:noWrap w:val="0"/>
                  <w:vAlign w:val="center"/>
                </w:tcPr>
                <w:p w14:paraId="14F6E37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4#滤毒罐</w:t>
                  </w:r>
                </w:p>
              </w:tc>
              <w:tc>
                <w:tcPr>
                  <w:tcW w:w="1386" w:type="dxa"/>
                  <w:noWrap w:val="0"/>
                  <w:vAlign w:val="center"/>
                </w:tcPr>
                <w:p w14:paraId="531D37DC">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0AEB213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742" w:type="dxa"/>
                  <w:noWrap w:val="0"/>
                  <w:vAlign w:val="center"/>
                </w:tcPr>
                <w:p w14:paraId="28C9F95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415" w:type="dxa"/>
                  <w:noWrap w:val="0"/>
                  <w:vAlign w:val="center"/>
                </w:tcPr>
                <w:p w14:paraId="1DC6E36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6A90F8D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00486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1A0EE04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734" w:type="dxa"/>
                  <w:noWrap w:val="0"/>
                  <w:vAlign w:val="center"/>
                </w:tcPr>
                <w:p w14:paraId="31288A4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轻型全封闭防化服</w:t>
                  </w:r>
                </w:p>
              </w:tc>
              <w:tc>
                <w:tcPr>
                  <w:tcW w:w="1386" w:type="dxa"/>
                  <w:noWrap w:val="0"/>
                  <w:vAlign w:val="center"/>
                </w:tcPr>
                <w:p w14:paraId="1EDC415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JCT645A</w:t>
                  </w:r>
                </w:p>
              </w:tc>
              <w:tc>
                <w:tcPr>
                  <w:tcW w:w="742" w:type="dxa"/>
                  <w:noWrap w:val="0"/>
                  <w:vAlign w:val="center"/>
                </w:tcPr>
                <w:p w14:paraId="046D187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742" w:type="dxa"/>
                  <w:noWrap w:val="0"/>
                  <w:vAlign w:val="center"/>
                </w:tcPr>
                <w:p w14:paraId="035CBBA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15" w:type="dxa"/>
                  <w:noWrap w:val="0"/>
                  <w:vAlign w:val="center"/>
                </w:tcPr>
                <w:p w14:paraId="31FBCFF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72B1775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0C628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2CF852BF">
                  <w:pPr>
                    <w:spacing w:after="0"/>
                    <w:contextualSpacing/>
                    <w:jc w:val="center"/>
                    <w:rPr>
                      <w:rFonts w:hint="default" w:ascii="Times New Roman" w:hAnsi="Times New Roman" w:eastAsia="宋体" w:cs="Times New Roman"/>
                      <w:color w:val="auto"/>
                      <w:sz w:val="21"/>
                      <w:szCs w:val="21"/>
                      <w:lang w:val="en-US" w:eastAsia="zh-CN"/>
                    </w:rPr>
                  </w:pPr>
                </w:p>
                <w:p w14:paraId="3FD6143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734" w:type="dxa"/>
                  <w:noWrap w:val="0"/>
                  <w:vAlign w:val="center"/>
                </w:tcPr>
                <w:p w14:paraId="33E7AA3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正压自给式空气呼</w:t>
                  </w:r>
                </w:p>
                <w:p w14:paraId="0B9D2C5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吸器</w:t>
                  </w:r>
                </w:p>
              </w:tc>
              <w:tc>
                <w:tcPr>
                  <w:tcW w:w="1386" w:type="dxa"/>
                  <w:noWrap w:val="0"/>
                  <w:vAlign w:val="center"/>
                </w:tcPr>
                <w:p w14:paraId="3D03255D">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17F4BA6A">
                  <w:pPr>
                    <w:spacing w:after="0"/>
                    <w:contextualSpacing/>
                    <w:jc w:val="center"/>
                    <w:rPr>
                      <w:rFonts w:hint="default" w:ascii="Times New Roman" w:hAnsi="Times New Roman" w:eastAsia="宋体" w:cs="Times New Roman"/>
                      <w:color w:val="auto"/>
                      <w:sz w:val="21"/>
                      <w:szCs w:val="21"/>
                      <w:lang w:val="en-US" w:eastAsia="zh-CN"/>
                    </w:rPr>
                  </w:pPr>
                </w:p>
                <w:p w14:paraId="7816923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742" w:type="dxa"/>
                  <w:noWrap w:val="0"/>
                  <w:vAlign w:val="center"/>
                </w:tcPr>
                <w:p w14:paraId="231C2CDB">
                  <w:pPr>
                    <w:spacing w:after="0"/>
                    <w:contextualSpacing/>
                    <w:jc w:val="center"/>
                    <w:rPr>
                      <w:rFonts w:hint="default" w:ascii="Times New Roman" w:hAnsi="Times New Roman" w:eastAsia="宋体" w:cs="Times New Roman"/>
                      <w:color w:val="auto"/>
                      <w:sz w:val="21"/>
                      <w:szCs w:val="21"/>
                      <w:lang w:val="en-US" w:eastAsia="zh-CN"/>
                    </w:rPr>
                  </w:pPr>
                </w:p>
                <w:p w14:paraId="2CFD46A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415" w:type="dxa"/>
                  <w:noWrap w:val="0"/>
                  <w:vAlign w:val="center"/>
                </w:tcPr>
                <w:p w14:paraId="47CF93E3">
                  <w:pPr>
                    <w:spacing w:after="0"/>
                    <w:contextualSpacing/>
                    <w:jc w:val="center"/>
                    <w:rPr>
                      <w:rFonts w:hint="default" w:ascii="Times New Roman" w:hAnsi="Times New Roman" w:eastAsia="宋体" w:cs="Times New Roman"/>
                      <w:color w:val="auto"/>
                      <w:sz w:val="21"/>
                      <w:szCs w:val="21"/>
                      <w:lang w:val="en-US" w:eastAsia="zh-CN"/>
                    </w:rPr>
                  </w:pPr>
                </w:p>
                <w:p w14:paraId="3B63117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04811CB3">
                  <w:pPr>
                    <w:spacing w:after="0"/>
                    <w:contextualSpacing/>
                    <w:jc w:val="center"/>
                    <w:rPr>
                      <w:rFonts w:hint="default" w:ascii="Times New Roman" w:hAnsi="Times New Roman" w:eastAsia="宋体" w:cs="Times New Roman"/>
                      <w:color w:val="auto"/>
                      <w:sz w:val="21"/>
                      <w:szCs w:val="21"/>
                      <w:lang w:val="en-US" w:eastAsia="zh-CN"/>
                    </w:rPr>
                  </w:pPr>
                </w:p>
                <w:p w14:paraId="1A81DA2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65B31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1427709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734" w:type="dxa"/>
                  <w:noWrap w:val="0"/>
                  <w:vAlign w:val="center"/>
                </w:tcPr>
                <w:p w14:paraId="73A8732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护目镜</w:t>
                  </w:r>
                </w:p>
              </w:tc>
              <w:tc>
                <w:tcPr>
                  <w:tcW w:w="1386" w:type="dxa"/>
                  <w:noWrap w:val="0"/>
                  <w:vAlign w:val="center"/>
                </w:tcPr>
                <w:p w14:paraId="6D1A3621">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246B51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w:t>
                  </w:r>
                </w:p>
              </w:tc>
              <w:tc>
                <w:tcPr>
                  <w:tcW w:w="742" w:type="dxa"/>
                  <w:noWrap w:val="0"/>
                  <w:vAlign w:val="center"/>
                </w:tcPr>
                <w:p w14:paraId="2477B66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415" w:type="dxa"/>
                  <w:noWrap w:val="0"/>
                  <w:vAlign w:val="center"/>
                </w:tcPr>
                <w:p w14:paraId="2C53C2A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1F688E7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0EC1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F296B5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734" w:type="dxa"/>
                  <w:noWrap w:val="0"/>
                  <w:vAlign w:val="center"/>
                </w:tcPr>
                <w:p w14:paraId="7A3297F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耳塞</w:t>
                  </w:r>
                </w:p>
              </w:tc>
              <w:tc>
                <w:tcPr>
                  <w:tcW w:w="1386" w:type="dxa"/>
                  <w:noWrap w:val="0"/>
                  <w:vAlign w:val="center"/>
                </w:tcPr>
                <w:p w14:paraId="2E8FA79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3M</w:t>
                  </w:r>
                </w:p>
              </w:tc>
              <w:tc>
                <w:tcPr>
                  <w:tcW w:w="742" w:type="dxa"/>
                  <w:noWrap w:val="0"/>
                  <w:vAlign w:val="center"/>
                </w:tcPr>
                <w:p w14:paraId="6BEFCDD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742" w:type="dxa"/>
                  <w:noWrap w:val="0"/>
                  <w:vAlign w:val="center"/>
                </w:tcPr>
                <w:p w14:paraId="684D3E4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415" w:type="dxa"/>
                  <w:noWrap w:val="0"/>
                  <w:vAlign w:val="center"/>
                </w:tcPr>
                <w:p w14:paraId="3179F61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32CBFB6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13632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459FD94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734" w:type="dxa"/>
                  <w:noWrap w:val="0"/>
                  <w:vAlign w:val="center"/>
                </w:tcPr>
                <w:p w14:paraId="6CD2214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耳罩</w:t>
                  </w:r>
                </w:p>
              </w:tc>
              <w:tc>
                <w:tcPr>
                  <w:tcW w:w="1386" w:type="dxa"/>
                  <w:noWrap w:val="0"/>
                  <w:vAlign w:val="center"/>
                </w:tcPr>
                <w:p w14:paraId="7DD1CF2E">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614F500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742" w:type="dxa"/>
                  <w:noWrap w:val="0"/>
                  <w:vAlign w:val="center"/>
                </w:tcPr>
                <w:p w14:paraId="1DEF02B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415" w:type="dxa"/>
                  <w:noWrap w:val="0"/>
                  <w:vAlign w:val="center"/>
                </w:tcPr>
                <w:p w14:paraId="261E8A6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327338E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3BB68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296D9C1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734" w:type="dxa"/>
                  <w:noWrap w:val="0"/>
                  <w:vAlign w:val="center"/>
                </w:tcPr>
                <w:p w14:paraId="157B188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长管式呼吸器</w:t>
                  </w:r>
                </w:p>
              </w:tc>
              <w:tc>
                <w:tcPr>
                  <w:tcW w:w="1386" w:type="dxa"/>
                  <w:noWrap w:val="0"/>
                  <w:vAlign w:val="center"/>
                </w:tcPr>
                <w:p w14:paraId="6A47FE4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管长 10 米</w:t>
                  </w:r>
                </w:p>
              </w:tc>
              <w:tc>
                <w:tcPr>
                  <w:tcW w:w="742" w:type="dxa"/>
                  <w:noWrap w:val="0"/>
                  <w:vAlign w:val="center"/>
                </w:tcPr>
                <w:p w14:paraId="354D3F8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742" w:type="dxa"/>
                  <w:noWrap w:val="0"/>
                  <w:vAlign w:val="center"/>
                </w:tcPr>
                <w:p w14:paraId="3EDD410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15" w:type="dxa"/>
                  <w:noWrap w:val="0"/>
                  <w:vAlign w:val="center"/>
                </w:tcPr>
                <w:p w14:paraId="3370A8A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14F0B45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69912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443C1D10">
                  <w:pPr>
                    <w:spacing w:after="0"/>
                    <w:contextualSpacing/>
                    <w:jc w:val="center"/>
                    <w:rPr>
                      <w:rFonts w:hint="default" w:ascii="Times New Roman" w:hAnsi="Times New Roman" w:eastAsia="宋体" w:cs="Times New Roman"/>
                      <w:color w:val="auto"/>
                      <w:sz w:val="21"/>
                      <w:szCs w:val="21"/>
                      <w:lang w:val="en-US" w:eastAsia="zh-CN"/>
                    </w:rPr>
                  </w:pPr>
                </w:p>
                <w:p w14:paraId="3EB6DDA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734" w:type="dxa"/>
                  <w:noWrap w:val="0"/>
                  <w:vAlign w:val="center"/>
                </w:tcPr>
                <w:p w14:paraId="5E8C97B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对讲机</w:t>
                  </w:r>
                </w:p>
              </w:tc>
              <w:tc>
                <w:tcPr>
                  <w:tcW w:w="1386" w:type="dxa"/>
                  <w:noWrap w:val="0"/>
                  <w:vAlign w:val="center"/>
                </w:tcPr>
                <w:p w14:paraId="7EF8327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GP338</w:t>
                  </w:r>
                </w:p>
              </w:tc>
              <w:tc>
                <w:tcPr>
                  <w:tcW w:w="742" w:type="dxa"/>
                  <w:noWrap w:val="0"/>
                  <w:vAlign w:val="center"/>
                </w:tcPr>
                <w:p w14:paraId="35C4B6D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742" w:type="dxa"/>
                  <w:noWrap w:val="0"/>
                  <w:vAlign w:val="center"/>
                </w:tcPr>
                <w:p w14:paraId="69E0B7A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1415" w:type="dxa"/>
                  <w:noWrap w:val="0"/>
                  <w:vAlign w:val="center"/>
                </w:tcPr>
                <w:p w14:paraId="7D11927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生产综合部 11 台、安环 3 台，</w:t>
                  </w:r>
                </w:p>
                <w:p w14:paraId="7440880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机动工程部 10 台，储运部 10 台</w:t>
                  </w:r>
                </w:p>
              </w:tc>
              <w:tc>
                <w:tcPr>
                  <w:tcW w:w="1440" w:type="dxa"/>
                  <w:noWrap w:val="0"/>
                  <w:vAlign w:val="center"/>
                </w:tcPr>
                <w:p w14:paraId="6043EFF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相应部门</w:t>
                  </w:r>
                </w:p>
              </w:tc>
            </w:tr>
            <w:tr w14:paraId="4F401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7EAE1D7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734" w:type="dxa"/>
                  <w:noWrap w:val="0"/>
                  <w:vAlign w:val="center"/>
                </w:tcPr>
                <w:p w14:paraId="6D9FD1C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消防隔热服</w:t>
                  </w:r>
                </w:p>
              </w:tc>
              <w:tc>
                <w:tcPr>
                  <w:tcW w:w="1386" w:type="dxa"/>
                  <w:noWrap w:val="0"/>
                  <w:vAlign w:val="center"/>
                </w:tcPr>
                <w:p w14:paraId="3220F808">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7425577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742" w:type="dxa"/>
                  <w:noWrap w:val="0"/>
                  <w:vAlign w:val="center"/>
                </w:tcPr>
                <w:p w14:paraId="13D6E5E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15" w:type="dxa"/>
                  <w:noWrap w:val="0"/>
                  <w:vAlign w:val="center"/>
                </w:tcPr>
                <w:p w14:paraId="74E5B8A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3079ED3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22BCA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3A89E09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734" w:type="dxa"/>
                  <w:noWrap w:val="0"/>
                  <w:vAlign w:val="center"/>
                </w:tcPr>
                <w:p w14:paraId="6C38F42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安全帽</w:t>
                  </w:r>
                </w:p>
              </w:tc>
              <w:tc>
                <w:tcPr>
                  <w:tcW w:w="1386" w:type="dxa"/>
                  <w:noWrap w:val="0"/>
                  <w:vAlign w:val="center"/>
                </w:tcPr>
                <w:p w14:paraId="012AB18A">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7A4FABE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742" w:type="dxa"/>
                  <w:noWrap w:val="0"/>
                  <w:vAlign w:val="center"/>
                </w:tcPr>
                <w:p w14:paraId="05A9FAE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415" w:type="dxa"/>
                  <w:noWrap w:val="0"/>
                  <w:vAlign w:val="center"/>
                </w:tcPr>
                <w:p w14:paraId="3E59F50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仓库</w:t>
                  </w:r>
                </w:p>
              </w:tc>
              <w:tc>
                <w:tcPr>
                  <w:tcW w:w="1440" w:type="dxa"/>
                  <w:noWrap w:val="0"/>
                  <w:vAlign w:val="center"/>
                </w:tcPr>
                <w:p w14:paraId="5A4C086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72432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00A37BF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734" w:type="dxa"/>
                  <w:noWrap w:val="0"/>
                  <w:vAlign w:val="center"/>
                </w:tcPr>
                <w:p w14:paraId="523BB27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应急灯照明灯</w:t>
                  </w:r>
                </w:p>
              </w:tc>
              <w:tc>
                <w:tcPr>
                  <w:tcW w:w="1386" w:type="dxa"/>
                  <w:noWrap w:val="0"/>
                  <w:vAlign w:val="center"/>
                </w:tcPr>
                <w:p w14:paraId="50507BDB">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74EE854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盏</w:t>
                  </w:r>
                </w:p>
              </w:tc>
              <w:tc>
                <w:tcPr>
                  <w:tcW w:w="742" w:type="dxa"/>
                  <w:noWrap w:val="0"/>
                  <w:vAlign w:val="center"/>
                </w:tcPr>
                <w:p w14:paraId="6722544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15" w:type="dxa"/>
                  <w:noWrap w:val="0"/>
                  <w:vAlign w:val="center"/>
                </w:tcPr>
                <w:p w14:paraId="62A439F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仓库</w:t>
                  </w:r>
                </w:p>
              </w:tc>
              <w:tc>
                <w:tcPr>
                  <w:tcW w:w="1440" w:type="dxa"/>
                  <w:noWrap w:val="0"/>
                  <w:vAlign w:val="center"/>
                </w:tcPr>
                <w:p w14:paraId="454DA62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机动工程部</w:t>
                  </w:r>
                </w:p>
              </w:tc>
            </w:tr>
            <w:tr w14:paraId="190AD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27DFD4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w:t>
                  </w:r>
                </w:p>
              </w:tc>
              <w:tc>
                <w:tcPr>
                  <w:tcW w:w="1734" w:type="dxa"/>
                  <w:noWrap w:val="0"/>
                  <w:vAlign w:val="center"/>
                </w:tcPr>
                <w:p w14:paraId="0BB67FF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医疗急救</w:t>
                  </w:r>
                  <w:r>
                    <w:rPr>
                      <w:rFonts w:hint="eastAsia" w:cs="Times New Roman"/>
                      <w:color w:val="auto"/>
                      <w:sz w:val="21"/>
                      <w:szCs w:val="21"/>
                      <w:lang w:val="en-US" w:eastAsia="zh-CN"/>
                    </w:rPr>
                    <w:t>物资</w:t>
                  </w:r>
                </w:p>
              </w:tc>
              <w:tc>
                <w:tcPr>
                  <w:tcW w:w="1386" w:type="dxa"/>
                  <w:noWrap w:val="0"/>
                  <w:vAlign w:val="center"/>
                </w:tcPr>
                <w:p w14:paraId="60FDC214">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BD0AFA9">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A3DD93A">
                  <w:pPr>
                    <w:spacing w:after="0"/>
                    <w:contextualSpacing/>
                    <w:jc w:val="center"/>
                    <w:rPr>
                      <w:rFonts w:hint="default" w:ascii="Times New Roman" w:hAnsi="Times New Roman" w:eastAsia="宋体" w:cs="Times New Roman"/>
                      <w:color w:val="auto"/>
                      <w:sz w:val="21"/>
                      <w:szCs w:val="21"/>
                      <w:lang w:val="en-US" w:eastAsia="zh-CN"/>
                    </w:rPr>
                  </w:pPr>
                </w:p>
              </w:tc>
              <w:tc>
                <w:tcPr>
                  <w:tcW w:w="1415" w:type="dxa"/>
                  <w:noWrap w:val="0"/>
                  <w:vAlign w:val="center"/>
                </w:tcPr>
                <w:p w14:paraId="5E52B3B4">
                  <w:pPr>
                    <w:spacing w:after="0"/>
                    <w:contextualSpacing/>
                    <w:jc w:val="center"/>
                    <w:rPr>
                      <w:rFonts w:hint="default" w:ascii="Times New Roman" w:hAnsi="Times New Roman" w:eastAsia="宋体" w:cs="Times New Roman"/>
                      <w:color w:val="auto"/>
                      <w:sz w:val="21"/>
                      <w:szCs w:val="21"/>
                      <w:lang w:val="en-US" w:eastAsia="zh-CN"/>
                    </w:rPr>
                  </w:pPr>
                </w:p>
              </w:tc>
              <w:tc>
                <w:tcPr>
                  <w:tcW w:w="1440" w:type="dxa"/>
                  <w:noWrap w:val="0"/>
                  <w:vAlign w:val="center"/>
                </w:tcPr>
                <w:p w14:paraId="32C702EB">
                  <w:pPr>
                    <w:spacing w:after="0"/>
                    <w:contextualSpacing/>
                    <w:jc w:val="center"/>
                    <w:rPr>
                      <w:rFonts w:hint="default" w:ascii="Times New Roman" w:hAnsi="Times New Roman" w:eastAsia="宋体" w:cs="Times New Roman"/>
                      <w:color w:val="auto"/>
                      <w:sz w:val="21"/>
                      <w:szCs w:val="21"/>
                      <w:lang w:val="en-US" w:eastAsia="zh-CN"/>
                    </w:rPr>
                  </w:pPr>
                </w:p>
              </w:tc>
            </w:tr>
            <w:tr w14:paraId="51114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009C856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34" w:type="dxa"/>
                  <w:noWrap w:val="0"/>
                  <w:vAlign w:val="center"/>
                </w:tcPr>
                <w:p w14:paraId="41E9A65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医用酒精</w:t>
                  </w:r>
                </w:p>
              </w:tc>
              <w:tc>
                <w:tcPr>
                  <w:tcW w:w="1386" w:type="dxa"/>
                  <w:noWrap w:val="0"/>
                  <w:vAlign w:val="center"/>
                </w:tcPr>
                <w:p w14:paraId="540E3C35">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7D719B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4F47EEA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w:t>
                  </w:r>
                </w:p>
              </w:tc>
              <w:tc>
                <w:tcPr>
                  <w:tcW w:w="1415" w:type="dxa"/>
                  <w:noWrap w:val="0"/>
                  <w:vAlign w:val="center"/>
                </w:tcPr>
                <w:p w14:paraId="24305B0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20FA510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16525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4DC3E52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34" w:type="dxa"/>
                  <w:noWrap w:val="0"/>
                  <w:vAlign w:val="center"/>
                </w:tcPr>
                <w:p w14:paraId="0159035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新洁而灭酊</w:t>
                  </w:r>
                </w:p>
              </w:tc>
              <w:tc>
                <w:tcPr>
                  <w:tcW w:w="1386" w:type="dxa"/>
                  <w:noWrap w:val="0"/>
                  <w:vAlign w:val="center"/>
                </w:tcPr>
                <w:p w14:paraId="788D1A3C">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7DAC409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065B1E7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w:t>
                  </w:r>
                </w:p>
              </w:tc>
              <w:tc>
                <w:tcPr>
                  <w:tcW w:w="1415" w:type="dxa"/>
                  <w:noWrap w:val="0"/>
                  <w:vAlign w:val="center"/>
                </w:tcPr>
                <w:p w14:paraId="4467427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326C18D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78A3F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4F3C1D2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734" w:type="dxa"/>
                  <w:noWrap w:val="0"/>
                  <w:vAlign w:val="center"/>
                </w:tcPr>
                <w:p w14:paraId="2927D2A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过氧化氢溶液</w:t>
                  </w:r>
                </w:p>
              </w:tc>
              <w:tc>
                <w:tcPr>
                  <w:tcW w:w="1386" w:type="dxa"/>
                  <w:noWrap w:val="0"/>
                  <w:vAlign w:val="center"/>
                </w:tcPr>
                <w:p w14:paraId="2A197C62">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7DC6F9B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1593415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w:t>
                  </w:r>
                </w:p>
              </w:tc>
              <w:tc>
                <w:tcPr>
                  <w:tcW w:w="1415" w:type="dxa"/>
                  <w:noWrap w:val="0"/>
                  <w:vAlign w:val="center"/>
                </w:tcPr>
                <w:p w14:paraId="3E19E11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3F9CC34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58BCF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335D202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734" w:type="dxa"/>
                  <w:noWrap w:val="0"/>
                  <w:vAlign w:val="center"/>
                </w:tcPr>
                <w:p w14:paraId="3B37C40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痛肿灵</w:t>
                  </w:r>
                </w:p>
              </w:tc>
              <w:tc>
                <w:tcPr>
                  <w:tcW w:w="1386" w:type="dxa"/>
                  <w:noWrap w:val="0"/>
                  <w:vAlign w:val="center"/>
                </w:tcPr>
                <w:p w14:paraId="62E7342C">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719BC4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6692034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w:t>
                  </w:r>
                </w:p>
              </w:tc>
              <w:tc>
                <w:tcPr>
                  <w:tcW w:w="1415" w:type="dxa"/>
                  <w:noWrap w:val="0"/>
                  <w:vAlign w:val="center"/>
                </w:tcPr>
                <w:p w14:paraId="01F894A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445237A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467A7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1790414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734" w:type="dxa"/>
                  <w:noWrap w:val="0"/>
                  <w:vAlign w:val="center"/>
                </w:tcPr>
                <w:p w14:paraId="5ADE53C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烫伤软膏</w:t>
                  </w:r>
                </w:p>
              </w:tc>
              <w:tc>
                <w:tcPr>
                  <w:tcW w:w="1386" w:type="dxa"/>
                  <w:noWrap w:val="0"/>
                  <w:vAlign w:val="center"/>
                </w:tcPr>
                <w:p w14:paraId="2840BF84">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150EB01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42" w:type="dxa"/>
                  <w:noWrap w:val="0"/>
                  <w:vAlign w:val="center"/>
                </w:tcPr>
                <w:p w14:paraId="6C74803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支</w:t>
                  </w:r>
                </w:p>
              </w:tc>
              <w:tc>
                <w:tcPr>
                  <w:tcW w:w="1415" w:type="dxa"/>
                  <w:noWrap w:val="0"/>
                  <w:vAlign w:val="center"/>
                </w:tcPr>
                <w:p w14:paraId="30ADDFD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2E91F6B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7BEF2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1BF1C24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734" w:type="dxa"/>
                  <w:noWrap w:val="0"/>
                  <w:vAlign w:val="center"/>
                </w:tcPr>
                <w:p w14:paraId="524F8B3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风油精</w:t>
                  </w:r>
                </w:p>
              </w:tc>
              <w:tc>
                <w:tcPr>
                  <w:tcW w:w="1386" w:type="dxa"/>
                  <w:noWrap w:val="0"/>
                  <w:vAlign w:val="center"/>
                </w:tcPr>
                <w:p w14:paraId="6CAC21DC">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56961C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2E7FECB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w:t>
                  </w:r>
                </w:p>
              </w:tc>
              <w:tc>
                <w:tcPr>
                  <w:tcW w:w="1415" w:type="dxa"/>
                  <w:noWrap w:val="0"/>
                  <w:vAlign w:val="center"/>
                </w:tcPr>
                <w:p w14:paraId="6EE6C96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646A42E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26644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04CA2E2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734" w:type="dxa"/>
                  <w:noWrap w:val="0"/>
                  <w:vAlign w:val="center"/>
                </w:tcPr>
                <w:p w14:paraId="429E645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0.9%的生理盐水</w:t>
                  </w:r>
                </w:p>
              </w:tc>
              <w:tc>
                <w:tcPr>
                  <w:tcW w:w="1386" w:type="dxa"/>
                  <w:noWrap w:val="0"/>
                  <w:vAlign w:val="center"/>
                </w:tcPr>
                <w:p w14:paraId="52D7E637">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558472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72C1FA4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w:t>
                  </w:r>
                </w:p>
              </w:tc>
              <w:tc>
                <w:tcPr>
                  <w:tcW w:w="1415" w:type="dxa"/>
                  <w:noWrap w:val="0"/>
                  <w:vAlign w:val="center"/>
                </w:tcPr>
                <w:p w14:paraId="6CADA9E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6E69B53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014F2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52B7338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734" w:type="dxa"/>
                  <w:noWrap w:val="0"/>
                  <w:vAlign w:val="center"/>
                </w:tcPr>
                <w:p w14:paraId="3B2A6B1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2%碳酸氢钠</w:t>
                  </w:r>
                </w:p>
              </w:tc>
              <w:tc>
                <w:tcPr>
                  <w:tcW w:w="1386" w:type="dxa"/>
                  <w:noWrap w:val="0"/>
                  <w:vAlign w:val="center"/>
                </w:tcPr>
                <w:p w14:paraId="5D83FA1F">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7A0E32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488A779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w:t>
                  </w:r>
                </w:p>
              </w:tc>
              <w:tc>
                <w:tcPr>
                  <w:tcW w:w="1415" w:type="dxa"/>
                  <w:noWrap w:val="0"/>
                  <w:vAlign w:val="center"/>
                </w:tcPr>
                <w:p w14:paraId="3B3EDA4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1A34627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1EDF9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1CACCF6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734" w:type="dxa"/>
                  <w:noWrap w:val="0"/>
                  <w:vAlign w:val="center"/>
                </w:tcPr>
                <w:p w14:paraId="695E124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2%醋酸或 3%硼酸</w:t>
                  </w:r>
                </w:p>
              </w:tc>
              <w:tc>
                <w:tcPr>
                  <w:tcW w:w="1386" w:type="dxa"/>
                  <w:noWrap w:val="0"/>
                  <w:vAlign w:val="center"/>
                </w:tcPr>
                <w:p w14:paraId="2B3792C5">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5C9141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363E2AA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w:t>
                  </w:r>
                </w:p>
              </w:tc>
              <w:tc>
                <w:tcPr>
                  <w:tcW w:w="1415" w:type="dxa"/>
                  <w:noWrap w:val="0"/>
                  <w:vAlign w:val="center"/>
                </w:tcPr>
                <w:p w14:paraId="202D066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718950C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6C3F4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25014A6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734" w:type="dxa"/>
                  <w:noWrap w:val="0"/>
                  <w:vAlign w:val="center"/>
                </w:tcPr>
                <w:p w14:paraId="0A6A51D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脱脂棉花</w:t>
                  </w:r>
                </w:p>
              </w:tc>
              <w:tc>
                <w:tcPr>
                  <w:tcW w:w="1386" w:type="dxa"/>
                  <w:noWrap w:val="0"/>
                  <w:vAlign w:val="center"/>
                </w:tcPr>
                <w:p w14:paraId="7C90B882">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322690E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42" w:type="dxa"/>
                  <w:noWrap w:val="0"/>
                  <w:vAlign w:val="center"/>
                </w:tcPr>
                <w:p w14:paraId="07410B6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w:t>
                  </w:r>
                </w:p>
              </w:tc>
              <w:tc>
                <w:tcPr>
                  <w:tcW w:w="1415" w:type="dxa"/>
                  <w:noWrap w:val="0"/>
                  <w:vAlign w:val="center"/>
                </w:tcPr>
                <w:p w14:paraId="64BFC6D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27DBB9F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605CC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9F1370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734" w:type="dxa"/>
                  <w:noWrap w:val="0"/>
                  <w:vAlign w:val="center"/>
                </w:tcPr>
                <w:p w14:paraId="19E606B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脱脂棉签</w:t>
                  </w:r>
                </w:p>
              </w:tc>
              <w:tc>
                <w:tcPr>
                  <w:tcW w:w="1386" w:type="dxa"/>
                  <w:noWrap w:val="0"/>
                  <w:vAlign w:val="center"/>
                </w:tcPr>
                <w:p w14:paraId="545665E0">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F99675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742" w:type="dxa"/>
                  <w:noWrap w:val="0"/>
                  <w:vAlign w:val="center"/>
                </w:tcPr>
                <w:p w14:paraId="441D717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w:t>
                  </w:r>
                </w:p>
              </w:tc>
              <w:tc>
                <w:tcPr>
                  <w:tcW w:w="1415" w:type="dxa"/>
                  <w:noWrap w:val="0"/>
                  <w:vAlign w:val="center"/>
                </w:tcPr>
                <w:p w14:paraId="657B50B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475BE88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081CD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76E4CB9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734" w:type="dxa"/>
                  <w:noWrap w:val="0"/>
                  <w:vAlign w:val="center"/>
                </w:tcPr>
                <w:p w14:paraId="64F65D2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中号胶布</w:t>
                  </w:r>
                </w:p>
              </w:tc>
              <w:tc>
                <w:tcPr>
                  <w:tcW w:w="1386" w:type="dxa"/>
                  <w:noWrap w:val="0"/>
                  <w:vAlign w:val="center"/>
                </w:tcPr>
                <w:p w14:paraId="47BB0F3D">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0EAD4B0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42" w:type="dxa"/>
                  <w:noWrap w:val="0"/>
                  <w:vAlign w:val="center"/>
                </w:tcPr>
                <w:p w14:paraId="72A6068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卷</w:t>
                  </w:r>
                </w:p>
              </w:tc>
              <w:tc>
                <w:tcPr>
                  <w:tcW w:w="1415" w:type="dxa"/>
                  <w:noWrap w:val="0"/>
                  <w:vAlign w:val="center"/>
                </w:tcPr>
                <w:p w14:paraId="0B41B52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1D45C21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145BF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D5DB1F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734" w:type="dxa"/>
                  <w:noWrap w:val="0"/>
                  <w:vAlign w:val="center"/>
                </w:tcPr>
                <w:p w14:paraId="41F7870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绷带</w:t>
                  </w:r>
                </w:p>
              </w:tc>
              <w:tc>
                <w:tcPr>
                  <w:tcW w:w="1386" w:type="dxa"/>
                  <w:noWrap w:val="0"/>
                  <w:vAlign w:val="center"/>
                </w:tcPr>
                <w:p w14:paraId="642B33E2">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7691E27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42" w:type="dxa"/>
                  <w:noWrap w:val="0"/>
                  <w:vAlign w:val="center"/>
                </w:tcPr>
                <w:p w14:paraId="13EC35F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卷</w:t>
                  </w:r>
                </w:p>
              </w:tc>
              <w:tc>
                <w:tcPr>
                  <w:tcW w:w="1415" w:type="dxa"/>
                  <w:noWrap w:val="0"/>
                  <w:vAlign w:val="center"/>
                </w:tcPr>
                <w:p w14:paraId="0B79C08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56213C2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4AD66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7E7C52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734" w:type="dxa"/>
                  <w:noWrap w:val="0"/>
                  <w:vAlign w:val="center"/>
                </w:tcPr>
                <w:p w14:paraId="7A9C0BE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剪刀</w:t>
                  </w:r>
                </w:p>
              </w:tc>
              <w:tc>
                <w:tcPr>
                  <w:tcW w:w="1386" w:type="dxa"/>
                  <w:noWrap w:val="0"/>
                  <w:vAlign w:val="center"/>
                </w:tcPr>
                <w:p w14:paraId="5679BE12">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7AD4B99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200C072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415" w:type="dxa"/>
                  <w:noWrap w:val="0"/>
                  <w:vAlign w:val="center"/>
                </w:tcPr>
                <w:p w14:paraId="1842AD7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3828675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36E7D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2044624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734" w:type="dxa"/>
                  <w:noWrap w:val="0"/>
                  <w:vAlign w:val="center"/>
                </w:tcPr>
                <w:p w14:paraId="7B5F97E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镊子</w:t>
                  </w:r>
                </w:p>
              </w:tc>
              <w:tc>
                <w:tcPr>
                  <w:tcW w:w="1386" w:type="dxa"/>
                  <w:noWrap w:val="0"/>
                  <w:vAlign w:val="center"/>
                </w:tcPr>
                <w:p w14:paraId="12C0AED1">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EDAE3F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15F0A78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415" w:type="dxa"/>
                  <w:noWrap w:val="0"/>
                  <w:vAlign w:val="center"/>
                </w:tcPr>
                <w:p w14:paraId="7E8F88A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50085A8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6A954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4230241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734" w:type="dxa"/>
                  <w:noWrap w:val="0"/>
                  <w:vAlign w:val="center"/>
                </w:tcPr>
                <w:p w14:paraId="4C1AF4B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创可贴</w:t>
                  </w:r>
                </w:p>
              </w:tc>
              <w:tc>
                <w:tcPr>
                  <w:tcW w:w="1386" w:type="dxa"/>
                  <w:noWrap w:val="0"/>
                  <w:vAlign w:val="center"/>
                </w:tcPr>
                <w:p w14:paraId="37FF2C00">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30A0760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42" w:type="dxa"/>
                  <w:noWrap w:val="0"/>
                  <w:vAlign w:val="center"/>
                </w:tcPr>
                <w:p w14:paraId="7721A1A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w:t>
                  </w:r>
                </w:p>
              </w:tc>
              <w:tc>
                <w:tcPr>
                  <w:tcW w:w="1415" w:type="dxa"/>
                  <w:noWrap w:val="0"/>
                  <w:vAlign w:val="center"/>
                </w:tcPr>
                <w:p w14:paraId="4B1F326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2145E83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328DC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29543F3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734" w:type="dxa"/>
                  <w:noWrap w:val="0"/>
                  <w:vAlign w:val="center"/>
                </w:tcPr>
                <w:p w14:paraId="2D16996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伤湿止痛膏</w:t>
                  </w:r>
                </w:p>
              </w:tc>
              <w:tc>
                <w:tcPr>
                  <w:tcW w:w="1386" w:type="dxa"/>
                  <w:noWrap w:val="0"/>
                  <w:vAlign w:val="center"/>
                </w:tcPr>
                <w:p w14:paraId="1A36FC10">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0BEA56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42" w:type="dxa"/>
                  <w:noWrap w:val="0"/>
                  <w:vAlign w:val="center"/>
                </w:tcPr>
                <w:p w14:paraId="4F0FF3E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415" w:type="dxa"/>
                  <w:noWrap w:val="0"/>
                  <w:vAlign w:val="center"/>
                </w:tcPr>
                <w:p w14:paraId="5DA2106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2CDEA15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286D2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7BFFD37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734" w:type="dxa"/>
                  <w:noWrap w:val="0"/>
                  <w:vAlign w:val="center"/>
                </w:tcPr>
                <w:p w14:paraId="0388E88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眼药膏</w:t>
                  </w:r>
                </w:p>
              </w:tc>
              <w:tc>
                <w:tcPr>
                  <w:tcW w:w="1386" w:type="dxa"/>
                  <w:noWrap w:val="0"/>
                  <w:vAlign w:val="center"/>
                </w:tcPr>
                <w:p w14:paraId="25BB7B46">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6FDC2D7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42" w:type="dxa"/>
                  <w:noWrap w:val="0"/>
                  <w:vAlign w:val="center"/>
                </w:tcPr>
                <w:p w14:paraId="5FF7777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支</w:t>
                  </w:r>
                </w:p>
              </w:tc>
              <w:tc>
                <w:tcPr>
                  <w:tcW w:w="1415" w:type="dxa"/>
                  <w:noWrap w:val="0"/>
                  <w:vAlign w:val="center"/>
                </w:tcPr>
                <w:p w14:paraId="56EEF4C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6359B7A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08DA3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73E7343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1734" w:type="dxa"/>
                  <w:noWrap w:val="0"/>
                  <w:vAlign w:val="center"/>
                </w:tcPr>
                <w:p w14:paraId="2DEE513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洗眼液</w:t>
                  </w:r>
                </w:p>
              </w:tc>
              <w:tc>
                <w:tcPr>
                  <w:tcW w:w="1386" w:type="dxa"/>
                  <w:noWrap w:val="0"/>
                  <w:vAlign w:val="center"/>
                </w:tcPr>
                <w:p w14:paraId="0DAA473E">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55CB3CA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42" w:type="dxa"/>
                  <w:noWrap w:val="0"/>
                  <w:vAlign w:val="center"/>
                </w:tcPr>
                <w:p w14:paraId="0167028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支</w:t>
                  </w:r>
                </w:p>
              </w:tc>
              <w:tc>
                <w:tcPr>
                  <w:tcW w:w="1415" w:type="dxa"/>
                  <w:noWrap w:val="0"/>
                  <w:vAlign w:val="center"/>
                </w:tcPr>
                <w:p w14:paraId="5EEC337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491598D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6C20C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5474D07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734" w:type="dxa"/>
                  <w:noWrap w:val="0"/>
                  <w:vAlign w:val="center"/>
                </w:tcPr>
                <w:p w14:paraId="3EDE8DF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防暑降温药品</w:t>
                  </w:r>
                </w:p>
              </w:tc>
              <w:tc>
                <w:tcPr>
                  <w:tcW w:w="1386" w:type="dxa"/>
                  <w:noWrap w:val="0"/>
                  <w:vAlign w:val="center"/>
                </w:tcPr>
                <w:p w14:paraId="48FCCBD8">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46037F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742" w:type="dxa"/>
                  <w:noWrap w:val="0"/>
                  <w:vAlign w:val="center"/>
                </w:tcPr>
                <w:p w14:paraId="4DC73BD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盒</w:t>
                  </w:r>
                </w:p>
              </w:tc>
              <w:tc>
                <w:tcPr>
                  <w:tcW w:w="1415" w:type="dxa"/>
                  <w:noWrap w:val="0"/>
                  <w:vAlign w:val="center"/>
                </w:tcPr>
                <w:p w14:paraId="0A27DC3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58F153B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5AEBC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595E255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1734" w:type="dxa"/>
                  <w:noWrap w:val="0"/>
                  <w:vAlign w:val="center"/>
                </w:tcPr>
                <w:p w14:paraId="3756CF2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体温计</w:t>
                  </w:r>
                </w:p>
              </w:tc>
              <w:tc>
                <w:tcPr>
                  <w:tcW w:w="1386" w:type="dxa"/>
                  <w:noWrap w:val="0"/>
                  <w:vAlign w:val="center"/>
                </w:tcPr>
                <w:p w14:paraId="59D609CD">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C7AF1A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42" w:type="dxa"/>
                  <w:noWrap w:val="0"/>
                  <w:vAlign w:val="center"/>
                </w:tcPr>
                <w:p w14:paraId="629BBF99">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支</w:t>
                  </w:r>
                </w:p>
              </w:tc>
              <w:tc>
                <w:tcPr>
                  <w:tcW w:w="1415" w:type="dxa"/>
                  <w:noWrap w:val="0"/>
                  <w:vAlign w:val="center"/>
                </w:tcPr>
                <w:p w14:paraId="5075645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应急药箱</w:t>
                  </w:r>
                </w:p>
              </w:tc>
              <w:tc>
                <w:tcPr>
                  <w:tcW w:w="1440" w:type="dxa"/>
                  <w:noWrap w:val="0"/>
                  <w:vAlign w:val="center"/>
                </w:tcPr>
                <w:p w14:paraId="3A9E03C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7CE28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tcBorders>
                    <w:top w:val="nil"/>
                  </w:tcBorders>
                  <w:noWrap w:val="0"/>
                  <w:vAlign w:val="center"/>
                </w:tcPr>
                <w:p w14:paraId="7854391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1734" w:type="dxa"/>
                  <w:tcBorders>
                    <w:top w:val="nil"/>
                  </w:tcBorders>
                  <w:noWrap w:val="0"/>
                  <w:vAlign w:val="center"/>
                </w:tcPr>
                <w:p w14:paraId="201AD47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人工复苏器</w:t>
                  </w:r>
                </w:p>
              </w:tc>
              <w:tc>
                <w:tcPr>
                  <w:tcW w:w="1386" w:type="dxa"/>
                  <w:tcBorders>
                    <w:top w:val="nil"/>
                  </w:tcBorders>
                  <w:noWrap w:val="0"/>
                  <w:vAlign w:val="center"/>
                </w:tcPr>
                <w:p w14:paraId="60A9094C">
                  <w:pPr>
                    <w:spacing w:after="0"/>
                    <w:contextualSpacing/>
                    <w:jc w:val="center"/>
                    <w:rPr>
                      <w:rFonts w:hint="default" w:ascii="Times New Roman" w:hAnsi="Times New Roman" w:eastAsia="宋体" w:cs="Times New Roman"/>
                      <w:color w:val="auto"/>
                      <w:sz w:val="21"/>
                      <w:szCs w:val="21"/>
                      <w:lang w:val="en-US" w:eastAsia="zh-CN"/>
                    </w:rPr>
                  </w:pPr>
                </w:p>
              </w:tc>
              <w:tc>
                <w:tcPr>
                  <w:tcW w:w="742" w:type="dxa"/>
                  <w:tcBorders>
                    <w:top w:val="nil"/>
                  </w:tcBorders>
                  <w:noWrap w:val="0"/>
                  <w:vAlign w:val="center"/>
                </w:tcPr>
                <w:p w14:paraId="733D7C6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742" w:type="dxa"/>
                  <w:tcBorders>
                    <w:top w:val="nil"/>
                  </w:tcBorders>
                  <w:noWrap w:val="0"/>
                  <w:vAlign w:val="center"/>
                </w:tcPr>
                <w:p w14:paraId="5B0A6CC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15" w:type="dxa"/>
                  <w:tcBorders>
                    <w:top w:val="nil"/>
                  </w:tcBorders>
                  <w:noWrap w:val="0"/>
                  <w:vAlign w:val="center"/>
                </w:tcPr>
                <w:p w14:paraId="5750857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tcBorders>
                    <w:top w:val="nil"/>
                  </w:tcBorders>
                  <w:noWrap w:val="0"/>
                  <w:vAlign w:val="center"/>
                </w:tcPr>
                <w:p w14:paraId="5F3737B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146D0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0C54F3F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1734" w:type="dxa"/>
                  <w:noWrap w:val="0"/>
                  <w:vAlign w:val="center"/>
                </w:tcPr>
                <w:p w14:paraId="1678347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折叠式担架</w:t>
                  </w:r>
                </w:p>
              </w:tc>
              <w:tc>
                <w:tcPr>
                  <w:tcW w:w="1386" w:type="dxa"/>
                  <w:noWrap w:val="0"/>
                  <w:vAlign w:val="center"/>
                </w:tcPr>
                <w:p w14:paraId="531C6955">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170E8F2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床</w:t>
                  </w:r>
                </w:p>
              </w:tc>
              <w:tc>
                <w:tcPr>
                  <w:tcW w:w="742" w:type="dxa"/>
                  <w:noWrap w:val="0"/>
                  <w:vAlign w:val="center"/>
                </w:tcPr>
                <w:p w14:paraId="7CE50B5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15" w:type="dxa"/>
                  <w:noWrap w:val="0"/>
                  <w:vAlign w:val="center"/>
                </w:tcPr>
                <w:p w14:paraId="5090423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应急柜</w:t>
                  </w:r>
                </w:p>
              </w:tc>
              <w:tc>
                <w:tcPr>
                  <w:tcW w:w="1440" w:type="dxa"/>
                  <w:noWrap w:val="0"/>
                  <w:vAlign w:val="center"/>
                </w:tcPr>
                <w:p w14:paraId="4C14F8A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54E1A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3E9A1E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w:t>
                  </w:r>
                </w:p>
              </w:tc>
              <w:tc>
                <w:tcPr>
                  <w:tcW w:w="1734" w:type="dxa"/>
                  <w:noWrap w:val="0"/>
                  <w:vAlign w:val="center"/>
                </w:tcPr>
                <w:p w14:paraId="2BD42F9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消防设施</w:t>
                  </w:r>
                </w:p>
              </w:tc>
              <w:tc>
                <w:tcPr>
                  <w:tcW w:w="1386" w:type="dxa"/>
                  <w:noWrap w:val="0"/>
                  <w:vAlign w:val="center"/>
                </w:tcPr>
                <w:p w14:paraId="2CB9410E">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12758037">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2221786D">
                  <w:pPr>
                    <w:spacing w:after="0"/>
                    <w:contextualSpacing/>
                    <w:jc w:val="center"/>
                    <w:rPr>
                      <w:rFonts w:hint="default" w:ascii="Times New Roman" w:hAnsi="Times New Roman" w:eastAsia="宋体" w:cs="Times New Roman"/>
                      <w:color w:val="auto"/>
                      <w:sz w:val="21"/>
                      <w:szCs w:val="21"/>
                      <w:lang w:val="en-US" w:eastAsia="zh-CN"/>
                    </w:rPr>
                  </w:pPr>
                </w:p>
              </w:tc>
              <w:tc>
                <w:tcPr>
                  <w:tcW w:w="1415" w:type="dxa"/>
                  <w:noWrap w:val="0"/>
                  <w:vAlign w:val="center"/>
                </w:tcPr>
                <w:p w14:paraId="4148A58D">
                  <w:pPr>
                    <w:spacing w:after="0"/>
                    <w:contextualSpacing/>
                    <w:jc w:val="center"/>
                    <w:rPr>
                      <w:rFonts w:hint="default" w:ascii="Times New Roman" w:hAnsi="Times New Roman" w:eastAsia="宋体" w:cs="Times New Roman"/>
                      <w:color w:val="auto"/>
                      <w:sz w:val="21"/>
                      <w:szCs w:val="21"/>
                      <w:lang w:val="en-US" w:eastAsia="zh-CN"/>
                    </w:rPr>
                  </w:pPr>
                </w:p>
              </w:tc>
              <w:tc>
                <w:tcPr>
                  <w:tcW w:w="1440" w:type="dxa"/>
                  <w:noWrap w:val="0"/>
                  <w:vAlign w:val="center"/>
                </w:tcPr>
                <w:p w14:paraId="0EE5580B">
                  <w:pPr>
                    <w:spacing w:after="0"/>
                    <w:contextualSpacing/>
                    <w:jc w:val="center"/>
                    <w:rPr>
                      <w:rFonts w:hint="default" w:ascii="Times New Roman" w:hAnsi="Times New Roman" w:eastAsia="宋体" w:cs="Times New Roman"/>
                      <w:color w:val="auto"/>
                      <w:sz w:val="21"/>
                      <w:szCs w:val="21"/>
                      <w:lang w:val="en-US" w:eastAsia="zh-CN"/>
                    </w:rPr>
                  </w:pPr>
                </w:p>
              </w:tc>
            </w:tr>
            <w:tr w14:paraId="4EAD9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B5165A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34" w:type="dxa"/>
                  <w:noWrap w:val="0"/>
                  <w:vAlign w:val="center"/>
                </w:tcPr>
                <w:p w14:paraId="18BF2DAD">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消防水系统</w:t>
                  </w:r>
                </w:p>
              </w:tc>
              <w:tc>
                <w:tcPr>
                  <w:tcW w:w="1386" w:type="dxa"/>
                  <w:noWrap w:val="0"/>
                  <w:vAlign w:val="center"/>
                </w:tcPr>
                <w:p w14:paraId="420B290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稳高压</w:t>
                  </w:r>
                </w:p>
                <w:p w14:paraId="52B6DD6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0.7mpa-1.0mpa</w:t>
                  </w:r>
                </w:p>
              </w:tc>
              <w:tc>
                <w:tcPr>
                  <w:tcW w:w="742" w:type="dxa"/>
                  <w:noWrap w:val="0"/>
                  <w:vAlign w:val="center"/>
                </w:tcPr>
                <w:p w14:paraId="38C59557">
                  <w:pPr>
                    <w:spacing w:after="0"/>
                    <w:contextualSpacing/>
                    <w:jc w:val="center"/>
                    <w:rPr>
                      <w:rFonts w:hint="default" w:ascii="Times New Roman" w:hAnsi="Times New Roman" w:eastAsia="宋体" w:cs="Times New Roman"/>
                      <w:color w:val="auto"/>
                      <w:sz w:val="21"/>
                      <w:szCs w:val="21"/>
                      <w:lang w:val="en-US" w:eastAsia="zh-CN"/>
                    </w:rPr>
                  </w:pPr>
                </w:p>
                <w:p w14:paraId="1EB8CB9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742" w:type="dxa"/>
                  <w:noWrap w:val="0"/>
                  <w:vAlign w:val="center"/>
                </w:tcPr>
                <w:p w14:paraId="3BE00634">
                  <w:pPr>
                    <w:spacing w:after="0"/>
                    <w:contextualSpacing/>
                    <w:jc w:val="center"/>
                    <w:rPr>
                      <w:rFonts w:hint="default" w:ascii="Times New Roman" w:hAnsi="Times New Roman" w:eastAsia="宋体" w:cs="Times New Roman"/>
                      <w:color w:val="auto"/>
                      <w:sz w:val="21"/>
                      <w:szCs w:val="21"/>
                      <w:lang w:val="en-US" w:eastAsia="zh-CN"/>
                    </w:rPr>
                  </w:pPr>
                </w:p>
                <w:p w14:paraId="5AC9C4F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15" w:type="dxa"/>
                  <w:noWrap w:val="0"/>
                  <w:vAlign w:val="center"/>
                </w:tcPr>
                <w:p w14:paraId="67448CF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主要生产、储运</w:t>
                  </w:r>
                </w:p>
                <w:p w14:paraId="78EC532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装置</w:t>
                  </w:r>
                </w:p>
              </w:tc>
              <w:tc>
                <w:tcPr>
                  <w:tcW w:w="1440" w:type="dxa"/>
                  <w:noWrap w:val="0"/>
                  <w:vAlign w:val="center"/>
                </w:tcPr>
                <w:p w14:paraId="17FF34C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467B6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77995F8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34" w:type="dxa"/>
                  <w:noWrap w:val="0"/>
                  <w:vAlign w:val="center"/>
                </w:tcPr>
                <w:p w14:paraId="330AB6C5">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消防抗溶性泡沫</w:t>
                  </w:r>
                </w:p>
              </w:tc>
              <w:tc>
                <w:tcPr>
                  <w:tcW w:w="1386" w:type="dxa"/>
                  <w:noWrap w:val="0"/>
                  <w:vAlign w:val="center"/>
                </w:tcPr>
                <w:p w14:paraId="0CF511E5">
                  <w:pPr>
                    <w:spacing w:after="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%（AFFF/AR.-5℃）</w:t>
                  </w:r>
                </w:p>
              </w:tc>
              <w:tc>
                <w:tcPr>
                  <w:tcW w:w="742" w:type="dxa"/>
                  <w:noWrap w:val="0"/>
                  <w:vAlign w:val="center"/>
                </w:tcPr>
                <w:p w14:paraId="66C53101">
                  <w:pPr>
                    <w:spacing w:after="0"/>
                    <w:contextualSpacing/>
                    <w:jc w:val="center"/>
                    <w:rPr>
                      <w:rFonts w:hint="default" w:ascii="Times New Roman" w:hAnsi="Times New Roman" w:eastAsia="宋体" w:cs="Times New Roman"/>
                      <w:color w:val="auto"/>
                      <w:sz w:val="21"/>
                      <w:szCs w:val="21"/>
                      <w:lang w:val="en-US" w:eastAsia="zh-CN"/>
                    </w:rPr>
                  </w:pPr>
                </w:p>
                <w:p w14:paraId="2D89293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w:t>
                  </w:r>
                </w:p>
              </w:tc>
              <w:tc>
                <w:tcPr>
                  <w:tcW w:w="742" w:type="dxa"/>
                  <w:noWrap w:val="0"/>
                  <w:vAlign w:val="center"/>
                </w:tcPr>
                <w:p w14:paraId="191C3A5E">
                  <w:pPr>
                    <w:spacing w:after="0"/>
                    <w:contextualSpacing/>
                    <w:jc w:val="center"/>
                    <w:rPr>
                      <w:rFonts w:hint="default" w:ascii="Times New Roman" w:hAnsi="Times New Roman" w:eastAsia="宋体" w:cs="Times New Roman"/>
                      <w:color w:val="auto"/>
                      <w:sz w:val="21"/>
                      <w:szCs w:val="21"/>
                      <w:lang w:val="en-US" w:eastAsia="zh-CN"/>
                    </w:rPr>
                  </w:pPr>
                </w:p>
                <w:p w14:paraId="0A04E7C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415" w:type="dxa"/>
                  <w:noWrap w:val="0"/>
                  <w:vAlign w:val="center"/>
                </w:tcPr>
                <w:p w14:paraId="0380408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消防水站消防泡沫罐</w:t>
                  </w:r>
                </w:p>
              </w:tc>
              <w:tc>
                <w:tcPr>
                  <w:tcW w:w="1440" w:type="dxa"/>
                  <w:noWrap w:val="0"/>
                  <w:vAlign w:val="center"/>
                </w:tcPr>
                <w:p w14:paraId="3C0239B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5608B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2B85E71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734" w:type="dxa"/>
                  <w:noWrap w:val="0"/>
                  <w:vAlign w:val="center"/>
                </w:tcPr>
                <w:p w14:paraId="6EAFA23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固定水喷淋系统</w:t>
                  </w:r>
                </w:p>
              </w:tc>
              <w:tc>
                <w:tcPr>
                  <w:tcW w:w="1386" w:type="dxa"/>
                  <w:noWrap w:val="0"/>
                  <w:vAlign w:val="center"/>
                </w:tcPr>
                <w:p w14:paraId="11F43A8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稳高压0.7mpa-1.0mpa</w:t>
                  </w:r>
                </w:p>
              </w:tc>
              <w:tc>
                <w:tcPr>
                  <w:tcW w:w="742" w:type="dxa"/>
                  <w:noWrap w:val="0"/>
                  <w:vAlign w:val="center"/>
                </w:tcPr>
                <w:p w14:paraId="1CF40FCF">
                  <w:pPr>
                    <w:spacing w:after="0"/>
                    <w:contextualSpacing/>
                    <w:jc w:val="center"/>
                    <w:rPr>
                      <w:rFonts w:hint="default" w:ascii="Times New Roman" w:hAnsi="Times New Roman" w:eastAsia="宋体" w:cs="Times New Roman"/>
                      <w:color w:val="auto"/>
                      <w:sz w:val="21"/>
                      <w:szCs w:val="21"/>
                      <w:lang w:val="en-US" w:eastAsia="zh-CN"/>
                    </w:rPr>
                  </w:pPr>
                </w:p>
                <w:p w14:paraId="7B109F0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742" w:type="dxa"/>
                  <w:noWrap w:val="0"/>
                  <w:vAlign w:val="center"/>
                </w:tcPr>
                <w:p w14:paraId="459E2856">
                  <w:pPr>
                    <w:spacing w:after="0"/>
                    <w:contextualSpacing/>
                    <w:jc w:val="center"/>
                    <w:rPr>
                      <w:rFonts w:hint="default" w:ascii="Times New Roman" w:hAnsi="Times New Roman" w:eastAsia="宋体" w:cs="Times New Roman"/>
                      <w:color w:val="auto"/>
                      <w:sz w:val="21"/>
                      <w:szCs w:val="21"/>
                      <w:lang w:val="en-US" w:eastAsia="zh-CN"/>
                    </w:rPr>
                  </w:pPr>
                </w:p>
                <w:p w14:paraId="69AB666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15" w:type="dxa"/>
                  <w:noWrap w:val="0"/>
                  <w:vAlign w:val="center"/>
                </w:tcPr>
                <w:p w14:paraId="556FDD4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液化石油气罐组、异己烷和 C5罐组</w:t>
                  </w:r>
                </w:p>
              </w:tc>
              <w:tc>
                <w:tcPr>
                  <w:tcW w:w="1440" w:type="dxa"/>
                  <w:noWrap w:val="0"/>
                  <w:vAlign w:val="center"/>
                </w:tcPr>
                <w:p w14:paraId="7698047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安全生产部</w:t>
                  </w:r>
                </w:p>
              </w:tc>
            </w:tr>
            <w:tr w14:paraId="7376F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7E992F43">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734" w:type="dxa"/>
                  <w:noWrap w:val="0"/>
                  <w:vAlign w:val="center"/>
                </w:tcPr>
                <w:p w14:paraId="2F5E7D0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消防水带</w:t>
                  </w:r>
                </w:p>
              </w:tc>
              <w:tc>
                <w:tcPr>
                  <w:tcW w:w="1386" w:type="dxa"/>
                  <w:noWrap w:val="0"/>
                  <w:vAlign w:val="center"/>
                </w:tcPr>
                <w:p w14:paraId="213A6F88">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742" w:type="dxa"/>
                  <w:noWrap w:val="0"/>
                  <w:vAlign w:val="center"/>
                </w:tcPr>
                <w:p w14:paraId="2782998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742" w:type="dxa"/>
                  <w:noWrap w:val="0"/>
                  <w:vAlign w:val="center"/>
                </w:tcPr>
                <w:p w14:paraId="140871D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415" w:type="dxa"/>
                  <w:noWrap w:val="0"/>
                  <w:vAlign w:val="center"/>
                </w:tcPr>
                <w:p w14:paraId="6B5110A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各消防箱</w:t>
                  </w:r>
                </w:p>
              </w:tc>
              <w:tc>
                <w:tcPr>
                  <w:tcW w:w="1440" w:type="dxa"/>
                  <w:noWrap w:val="0"/>
                  <w:vAlign w:val="center"/>
                </w:tcPr>
                <w:p w14:paraId="538F206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0EEB5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5C621C4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六</w:t>
                  </w:r>
                </w:p>
              </w:tc>
              <w:tc>
                <w:tcPr>
                  <w:tcW w:w="1734" w:type="dxa"/>
                  <w:noWrap w:val="0"/>
                  <w:vAlign w:val="center"/>
                </w:tcPr>
                <w:p w14:paraId="0CDC303A">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水污染三级防控设</w:t>
                  </w:r>
                </w:p>
                <w:p w14:paraId="48DDA42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w:t>
                  </w:r>
                </w:p>
              </w:tc>
              <w:tc>
                <w:tcPr>
                  <w:tcW w:w="1386" w:type="dxa"/>
                  <w:noWrap w:val="0"/>
                  <w:vAlign w:val="center"/>
                </w:tcPr>
                <w:p w14:paraId="7F46433F">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3B7E89C2">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4105BEBB">
                  <w:pPr>
                    <w:spacing w:after="0"/>
                    <w:contextualSpacing/>
                    <w:jc w:val="center"/>
                    <w:rPr>
                      <w:rFonts w:hint="default" w:ascii="Times New Roman" w:hAnsi="Times New Roman" w:eastAsia="宋体" w:cs="Times New Roman"/>
                      <w:color w:val="auto"/>
                      <w:sz w:val="21"/>
                      <w:szCs w:val="21"/>
                      <w:lang w:val="en-US" w:eastAsia="zh-CN"/>
                    </w:rPr>
                  </w:pPr>
                </w:p>
              </w:tc>
              <w:tc>
                <w:tcPr>
                  <w:tcW w:w="1415" w:type="dxa"/>
                  <w:noWrap w:val="0"/>
                  <w:vAlign w:val="center"/>
                </w:tcPr>
                <w:p w14:paraId="31593060">
                  <w:pPr>
                    <w:spacing w:after="0"/>
                    <w:contextualSpacing/>
                    <w:jc w:val="center"/>
                    <w:rPr>
                      <w:rFonts w:hint="default" w:ascii="Times New Roman" w:hAnsi="Times New Roman" w:eastAsia="宋体" w:cs="Times New Roman"/>
                      <w:color w:val="auto"/>
                      <w:sz w:val="21"/>
                      <w:szCs w:val="21"/>
                      <w:lang w:val="en-US" w:eastAsia="zh-CN"/>
                    </w:rPr>
                  </w:pPr>
                </w:p>
              </w:tc>
              <w:tc>
                <w:tcPr>
                  <w:tcW w:w="1440" w:type="dxa"/>
                  <w:noWrap w:val="0"/>
                  <w:vAlign w:val="center"/>
                </w:tcPr>
                <w:p w14:paraId="76003101">
                  <w:pPr>
                    <w:spacing w:after="0"/>
                    <w:contextualSpacing/>
                    <w:jc w:val="center"/>
                    <w:rPr>
                      <w:rFonts w:hint="default" w:ascii="Times New Roman" w:hAnsi="Times New Roman" w:eastAsia="宋体" w:cs="Times New Roman"/>
                      <w:color w:val="auto"/>
                      <w:sz w:val="21"/>
                      <w:szCs w:val="21"/>
                      <w:lang w:val="en-US" w:eastAsia="zh-CN"/>
                    </w:rPr>
                  </w:pPr>
                </w:p>
              </w:tc>
            </w:tr>
            <w:tr w14:paraId="00894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2BFCA14">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34" w:type="dxa"/>
                  <w:noWrap w:val="0"/>
                  <w:vAlign w:val="center"/>
                </w:tcPr>
                <w:p w14:paraId="54C89A3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储罐区围堰</w:t>
                  </w:r>
                </w:p>
              </w:tc>
              <w:tc>
                <w:tcPr>
                  <w:tcW w:w="1386" w:type="dxa"/>
                  <w:noWrap w:val="0"/>
                  <w:vAlign w:val="center"/>
                </w:tcPr>
                <w:p w14:paraId="2ED91807">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18545863">
                  <w:pPr>
                    <w:spacing w:after="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p>
              </w:tc>
              <w:tc>
                <w:tcPr>
                  <w:tcW w:w="742" w:type="dxa"/>
                  <w:noWrap w:val="0"/>
                  <w:vAlign w:val="center"/>
                </w:tcPr>
                <w:p w14:paraId="5D11796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10750.</w:t>
                  </w:r>
                </w:p>
                <w:p w14:paraId="6230400C">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1415" w:type="dxa"/>
                  <w:noWrap w:val="0"/>
                  <w:vAlign w:val="center"/>
                </w:tcPr>
                <w:p w14:paraId="5CC70BE2">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储罐区</w:t>
                  </w:r>
                </w:p>
              </w:tc>
              <w:tc>
                <w:tcPr>
                  <w:tcW w:w="1440" w:type="dxa"/>
                  <w:noWrap w:val="0"/>
                  <w:vAlign w:val="center"/>
                </w:tcPr>
                <w:p w14:paraId="404F75F6">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38F8E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4CA1471B">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34" w:type="dxa"/>
                  <w:noWrap w:val="0"/>
                  <w:vAlign w:val="center"/>
                </w:tcPr>
                <w:p w14:paraId="4CE02CD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沙池</w:t>
                  </w:r>
                </w:p>
              </w:tc>
              <w:tc>
                <w:tcPr>
                  <w:tcW w:w="1386" w:type="dxa"/>
                  <w:noWrap w:val="0"/>
                  <w:vAlign w:val="center"/>
                </w:tcPr>
                <w:p w14:paraId="60C481A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742" w:type="dxa"/>
                  <w:noWrap w:val="0"/>
                  <w:vAlign w:val="center"/>
                </w:tcPr>
                <w:p w14:paraId="48CAF750">
                  <w:pPr>
                    <w:spacing w:after="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p>
              </w:tc>
              <w:tc>
                <w:tcPr>
                  <w:tcW w:w="742" w:type="dxa"/>
                  <w:noWrap w:val="0"/>
                  <w:vAlign w:val="center"/>
                </w:tcPr>
                <w:p w14:paraId="238F91C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15" w:type="dxa"/>
                  <w:noWrap w:val="0"/>
                  <w:vAlign w:val="center"/>
                </w:tcPr>
                <w:p w14:paraId="4D1801B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雨污水总排处</w:t>
                  </w:r>
                </w:p>
              </w:tc>
              <w:tc>
                <w:tcPr>
                  <w:tcW w:w="1440" w:type="dxa"/>
                  <w:noWrap w:val="0"/>
                  <w:vAlign w:val="center"/>
                </w:tcPr>
                <w:p w14:paraId="7448B9A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tr w14:paraId="3DA21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93" w:type="dxa"/>
                  <w:noWrap w:val="0"/>
                  <w:vAlign w:val="center"/>
                </w:tcPr>
                <w:p w14:paraId="64779B1F">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734" w:type="dxa"/>
                  <w:noWrap w:val="0"/>
                  <w:vAlign w:val="center"/>
                </w:tcPr>
                <w:p w14:paraId="0488B18E">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事故应急池</w:t>
                  </w:r>
                </w:p>
              </w:tc>
              <w:tc>
                <w:tcPr>
                  <w:tcW w:w="1386" w:type="dxa"/>
                  <w:noWrap w:val="0"/>
                  <w:vAlign w:val="center"/>
                </w:tcPr>
                <w:p w14:paraId="5E76D19B">
                  <w:pPr>
                    <w:spacing w:after="0"/>
                    <w:contextualSpacing/>
                    <w:jc w:val="center"/>
                    <w:rPr>
                      <w:rFonts w:hint="default" w:ascii="Times New Roman" w:hAnsi="Times New Roman" w:eastAsia="宋体" w:cs="Times New Roman"/>
                      <w:color w:val="auto"/>
                      <w:sz w:val="21"/>
                      <w:szCs w:val="21"/>
                      <w:lang w:val="en-US" w:eastAsia="zh-CN"/>
                    </w:rPr>
                  </w:pPr>
                </w:p>
              </w:tc>
              <w:tc>
                <w:tcPr>
                  <w:tcW w:w="742" w:type="dxa"/>
                  <w:noWrap w:val="0"/>
                  <w:vAlign w:val="center"/>
                </w:tcPr>
                <w:p w14:paraId="3076A519">
                  <w:pPr>
                    <w:spacing w:after="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p>
              </w:tc>
              <w:tc>
                <w:tcPr>
                  <w:tcW w:w="742" w:type="dxa"/>
                  <w:noWrap w:val="0"/>
                  <w:vAlign w:val="center"/>
                </w:tcPr>
                <w:p w14:paraId="3DD0D550">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00</w:t>
                  </w:r>
                </w:p>
              </w:tc>
              <w:tc>
                <w:tcPr>
                  <w:tcW w:w="1415" w:type="dxa"/>
                  <w:noWrap w:val="0"/>
                  <w:vAlign w:val="center"/>
                </w:tcPr>
                <w:p w14:paraId="40A900E7">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污水处理站旁</w:t>
                  </w:r>
                </w:p>
              </w:tc>
              <w:tc>
                <w:tcPr>
                  <w:tcW w:w="1440" w:type="dxa"/>
                  <w:noWrap w:val="0"/>
                  <w:vAlign w:val="center"/>
                </w:tcPr>
                <w:p w14:paraId="46837691">
                  <w:pPr>
                    <w:spacing w:after="0"/>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安全环保部</w:t>
                  </w:r>
                </w:p>
              </w:tc>
            </w:tr>
            <w:bookmarkEnd w:id="19"/>
            <w:bookmarkEnd w:id="20"/>
            <w:bookmarkEnd w:id="21"/>
          </w:tbl>
          <w:p w14:paraId="011506CB">
            <w:pPr>
              <w:pStyle w:val="10"/>
              <w:rPr>
                <w:rFonts w:hint="eastAsia"/>
                <w:color w:val="auto"/>
                <w:lang w:val="en-US" w:eastAsia="zh-CN"/>
              </w:rPr>
            </w:pPr>
          </w:p>
          <w:p w14:paraId="6ECDD3F5">
            <w:pPr>
              <w:pStyle w:val="2"/>
              <w:keepNext w:val="0"/>
              <w:keepLines w:val="0"/>
              <w:pageBreakBefore w:val="0"/>
              <w:kinsoku/>
              <w:wordWrap/>
              <w:overflowPunct/>
              <w:autoSpaceDE/>
              <w:autoSpaceDN/>
              <w:bidi w:val="0"/>
              <w:adjustRightInd/>
              <w:snapToGrid/>
              <w:spacing w:after="0" w:line="360" w:lineRule="auto"/>
              <w:textAlignment w:val="auto"/>
              <w:rPr>
                <w:rFonts w:hint="default" w:ascii="Times New Roman" w:hAnsi="Times New Roman" w:eastAsia="宋体" w:cs="Times New Roman"/>
                <w:color w:val="auto"/>
                <w:spacing w:val="0"/>
                <w:kern w:val="2"/>
                <w:sz w:val="24"/>
                <w:szCs w:val="24"/>
                <w:u w:val="single"/>
                <w:lang w:val="en-US" w:eastAsia="zh-CN" w:bidi="ar-SA"/>
              </w:rPr>
            </w:pPr>
            <w:r>
              <w:rPr>
                <w:rFonts w:hint="eastAsia" w:ascii="Times New Roman" w:hAnsi="Times New Roman" w:eastAsia="宋体" w:cs="Times New Roman"/>
                <w:color w:val="auto"/>
                <w:spacing w:val="0"/>
                <w:kern w:val="2"/>
                <w:sz w:val="24"/>
                <w:szCs w:val="24"/>
                <w:u w:val="single"/>
                <w:lang w:val="en-US" w:eastAsia="zh-CN" w:bidi="ar-SA"/>
              </w:rPr>
              <w:t>②永盛石油化工公司应急资源</w:t>
            </w:r>
          </w:p>
          <w:p w14:paraId="018D5087">
            <w:pPr>
              <w:pStyle w:val="2"/>
              <w:keepNext w:val="0"/>
              <w:keepLines w:val="0"/>
              <w:pageBreakBefore w:val="0"/>
              <w:kinsoku/>
              <w:wordWrap/>
              <w:overflowPunct/>
              <w:autoSpaceDE/>
              <w:autoSpaceDN/>
              <w:bidi w:val="0"/>
              <w:adjustRightInd/>
              <w:snapToGrid/>
              <w:spacing w:after="0" w:line="360" w:lineRule="auto"/>
              <w:textAlignment w:val="auto"/>
              <w:rPr>
                <w:rFonts w:hint="eastAsia" w:ascii="Times New Roman" w:hAnsi="Times New Roman" w:eastAsia="宋体" w:cs="Times New Roman"/>
                <w:color w:val="auto"/>
                <w:spacing w:val="0"/>
                <w:kern w:val="2"/>
                <w:sz w:val="24"/>
                <w:szCs w:val="24"/>
                <w:u w:val="single"/>
                <w:lang w:val="en-US" w:eastAsia="zh-CN" w:bidi="ar-SA"/>
              </w:rPr>
            </w:pPr>
            <w:r>
              <w:rPr>
                <w:rFonts w:hint="eastAsia" w:ascii="Times New Roman" w:hAnsi="Times New Roman" w:eastAsia="宋体" w:cs="Times New Roman"/>
                <w:color w:val="auto"/>
                <w:spacing w:val="0"/>
                <w:kern w:val="2"/>
                <w:sz w:val="24"/>
                <w:szCs w:val="24"/>
                <w:u w:val="single"/>
                <w:lang w:val="en-US" w:eastAsia="zh-CN" w:bidi="ar-SA"/>
              </w:rPr>
              <w:t>广西永盛石油化工有限公司编制了《钦州天恒石化有限公司突发环境事件应急预案》，并取得钦州市生态环境局备案证明。永盛石油化工公司成立了应急救援小组，配置相对完善的应急救援物资，包括</w:t>
            </w:r>
            <w:r>
              <w:rPr>
                <w:rFonts w:hint="default" w:ascii="Times New Roman" w:hAnsi="Times New Roman" w:eastAsia="宋体" w:cs="Times New Roman"/>
                <w:color w:val="auto"/>
                <w:spacing w:val="0"/>
                <w:kern w:val="2"/>
                <w:sz w:val="24"/>
                <w:szCs w:val="24"/>
                <w:u w:val="single"/>
                <w:lang w:val="en-US" w:eastAsia="zh-CN" w:bidi="ar-SA"/>
              </w:rPr>
              <w:t>消防水系统</w:t>
            </w:r>
            <w:r>
              <w:rPr>
                <w:rFonts w:hint="eastAsia" w:ascii="Times New Roman" w:hAnsi="Times New Roman" w:eastAsia="宋体" w:cs="Times New Roman"/>
                <w:color w:val="auto"/>
                <w:spacing w:val="0"/>
                <w:kern w:val="2"/>
                <w:sz w:val="24"/>
                <w:szCs w:val="24"/>
                <w:u w:val="single"/>
                <w:lang w:val="en-US" w:eastAsia="zh-CN" w:bidi="ar-SA"/>
              </w:rPr>
              <w:t>、</w:t>
            </w:r>
            <w:r>
              <w:rPr>
                <w:rFonts w:hint="default" w:ascii="Times New Roman" w:hAnsi="Times New Roman" w:eastAsia="宋体" w:cs="Times New Roman"/>
                <w:color w:val="auto"/>
                <w:spacing w:val="0"/>
                <w:kern w:val="2"/>
                <w:sz w:val="24"/>
                <w:szCs w:val="24"/>
                <w:u w:val="single"/>
                <w:lang w:val="en-US" w:eastAsia="zh-CN" w:bidi="ar-SA"/>
              </w:rPr>
              <w:t>消防水带</w:t>
            </w:r>
            <w:r>
              <w:rPr>
                <w:rFonts w:hint="eastAsia" w:ascii="Times New Roman" w:hAnsi="Times New Roman" w:eastAsia="宋体" w:cs="Times New Roman"/>
                <w:color w:val="auto"/>
                <w:spacing w:val="0"/>
                <w:kern w:val="2"/>
                <w:sz w:val="24"/>
                <w:szCs w:val="24"/>
                <w:u w:val="single"/>
                <w:lang w:val="en-US" w:eastAsia="zh-CN" w:bidi="ar-SA"/>
              </w:rPr>
              <w:t>、灭火器、</w:t>
            </w:r>
            <w:r>
              <w:rPr>
                <w:rFonts w:hint="default" w:ascii="Times New Roman" w:hAnsi="Times New Roman" w:eastAsia="宋体" w:cs="Times New Roman"/>
                <w:color w:val="auto"/>
                <w:spacing w:val="0"/>
                <w:kern w:val="2"/>
                <w:sz w:val="24"/>
                <w:szCs w:val="24"/>
                <w:u w:val="single"/>
                <w:lang w:val="en-US" w:eastAsia="zh-CN" w:bidi="ar-SA"/>
              </w:rPr>
              <w:t>灭火毯</w:t>
            </w:r>
            <w:r>
              <w:rPr>
                <w:rFonts w:hint="eastAsia" w:ascii="Times New Roman" w:hAnsi="Times New Roman" w:eastAsia="宋体" w:cs="Times New Roman"/>
                <w:color w:val="auto"/>
                <w:spacing w:val="0"/>
                <w:kern w:val="2"/>
                <w:sz w:val="24"/>
                <w:szCs w:val="24"/>
                <w:u w:val="single"/>
                <w:lang w:val="en-US" w:eastAsia="zh-CN" w:bidi="ar-SA"/>
              </w:rPr>
              <w:t>、消防沙等。永盛石油化工公司紧挨本项目，发生火灾时，永盛石油化工公司企业可组织人员和提供消防设备进行救援。</w:t>
            </w:r>
          </w:p>
          <w:p w14:paraId="4D6B2C36">
            <w:pPr>
              <w:pStyle w:val="2"/>
              <w:keepNext w:val="0"/>
              <w:keepLines w:val="0"/>
              <w:pageBreakBefore w:val="0"/>
              <w:kinsoku/>
              <w:wordWrap/>
              <w:overflowPunct/>
              <w:autoSpaceDE/>
              <w:autoSpaceDN/>
              <w:bidi w:val="0"/>
              <w:adjustRightInd/>
              <w:snapToGrid/>
              <w:spacing w:after="0" w:line="360" w:lineRule="auto"/>
              <w:textAlignment w:val="auto"/>
              <w:rPr>
                <w:rFonts w:hint="default" w:ascii="Times New Roman" w:hAnsi="Times New Roman" w:eastAsia="宋体" w:cs="Times New Roman"/>
                <w:color w:val="auto"/>
                <w:spacing w:val="0"/>
                <w:kern w:val="2"/>
                <w:sz w:val="24"/>
                <w:szCs w:val="24"/>
                <w:u w:val="single"/>
                <w:lang w:val="en-US" w:eastAsia="zh-CN" w:bidi="ar-SA"/>
              </w:rPr>
            </w:pPr>
            <w:r>
              <w:rPr>
                <w:rFonts w:hint="eastAsia" w:ascii="Times New Roman" w:hAnsi="Times New Roman" w:eastAsia="宋体" w:cs="Times New Roman"/>
                <w:color w:val="auto"/>
                <w:spacing w:val="0"/>
                <w:kern w:val="2"/>
                <w:sz w:val="24"/>
                <w:szCs w:val="24"/>
                <w:u w:val="single"/>
                <w:lang w:val="en-US" w:eastAsia="zh-CN" w:bidi="ar-SA"/>
              </w:rPr>
              <w:t>③钦州天恒石化有限公司应急资源</w:t>
            </w:r>
          </w:p>
          <w:p w14:paraId="416286A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Arial Narrow" w:cs="Times New Roman"/>
                <w:color w:val="auto"/>
                <w:spacing w:val="6"/>
                <w:kern w:val="0"/>
                <w:sz w:val="24"/>
                <w:szCs w:val="24"/>
                <w:u w:val="single"/>
                <w:lang w:val="en-US" w:eastAsia="zh-CN" w:bidi="ar-SA"/>
              </w:rPr>
            </w:pPr>
            <w:r>
              <w:rPr>
                <w:rFonts w:hint="eastAsia" w:ascii="Times New Roman" w:hAnsi="Times New Roman"/>
                <w:color w:val="auto"/>
                <w:sz w:val="24"/>
                <w:szCs w:val="24"/>
                <w:u w:val="single"/>
                <w:lang w:val="en-US" w:eastAsia="zh-CN"/>
              </w:rPr>
              <w:t>钦州天恒石化有限公司</w:t>
            </w:r>
            <w:r>
              <w:rPr>
                <w:rFonts w:hint="eastAsia" w:ascii="宋体" w:hAnsi="Arial Narrow" w:eastAsia="宋体" w:cs="Times New Roman"/>
                <w:color w:val="auto"/>
                <w:spacing w:val="6"/>
                <w:kern w:val="0"/>
                <w:sz w:val="24"/>
                <w:szCs w:val="24"/>
                <w:u w:val="single"/>
                <w:lang w:val="en-US" w:eastAsia="zh-CN" w:bidi="ar-SA"/>
              </w:rPr>
              <w:t>于2022年编制了《</w:t>
            </w:r>
            <w:r>
              <w:rPr>
                <w:rFonts w:hint="eastAsia" w:ascii="Times New Roman" w:hAnsi="Times New Roman"/>
                <w:color w:val="auto"/>
                <w:sz w:val="24"/>
                <w:szCs w:val="24"/>
                <w:u w:val="single"/>
                <w:lang w:val="en-US" w:eastAsia="zh-CN"/>
              </w:rPr>
              <w:t>钦州天恒石化有限公司</w:t>
            </w:r>
            <w:r>
              <w:rPr>
                <w:rFonts w:hint="eastAsia" w:ascii="宋体" w:hAnsi="Arial Narrow" w:eastAsia="宋体" w:cs="Times New Roman"/>
                <w:color w:val="auto"/>
                <w:spacing w:val="6"/>
                <w:kern w:val="0"/>
                <w:sz w:val="24"/>
                <w:szCs w:val="24"/>
                <w:u w:val="single"/>
                <w:lang w:val="en-US" w:eastAsia="zh-CN" w:bidi="ar-SA"/>
              </w:rPr>
              <w:t>突发环境事件应急预案》，并取得</w:t>
            </w:r>
            <w:r>
              <w:rPr>
                <w:rFonts w:hint="eastAsia" w:ascii="宋体" w:hAnsi="Arial Narrow" w:cs="Times New Roman"/>
                <w:color w:val="auto"/>
                <w:spacing w:val="6"/>
                <w:kern w:val="0"/>
                <w:sz w:val="24"/>
                <w:szCs w:val="24"/>
                <w:u w:val="single"/>
                <w:lang w:val="en-US" w:eastAsia="zh-CN" w:bidi="ar-SA"/>
              </w:rPr>
              <w:t>钦州市生态环境局</w:t>
            </w:r>
            <w:r>
              <w:rPr>
                <w:rFonts w:hint="eastAsia" w:ascii="宋体" w:hAnsi="Arial Narrow" w:eastAsia="宋体" w:cs="Times New Roman"/>
                <w:color w:val="auto"/>
                <w:spacing w:val="6"/>
                <w:kern w:val="0"/>
                <w:sz w:val="24"/>
                <w:szCs w:val="24"/>
                <w:u w:val="single"/>
                <w:lang w:val="en-US" w:eastAsia="zh-CN" w:bidi="ar-SA"/>
              </w:rPr>
              <w:t>备案证明，应急预案编号为</w:t>
            </w:r>
            <w:r>
              <w:rPr>
                <w:rFonts w:hint="eastAsia" w:ascii="宋体" w:hAnsi="Arial Narrow" w:cs="Times New Roman"/>
                <w:color w:val="auto"/>
                <w:spacing w:val="6"/>
                <w:kern w:val="0"/>
                <w:sz w:val="24"/>
                <w:szCs w:val="24"/>
                <w:u w:val="single"/>
                <w:lang w:val="en-US" w:eastAsia="zh-CN" w:bidi="ar-SA"/>
              </w:rPr>
              <w:t>450702-2022-033-H。</w:t>
            </w:r>
          </w:p>
          <w:p w14:paraId="4A3F16A5">
            <w:pPr>
              <w:pStyle w:val="29"/>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color w:val="auto"/>
                <w:sz w:val="24"/>
                <w:szCs w:val="24"/>
                <w:u w:val="single"/>
                <w:lang w:val="en-US" w:eastAsia="zh-CN"/>
              </w:rPr>
              <w:t>天恒</w:t>
            </w:r>
            <w:r>
              <w:rPr>
                <w:rFonts w:hint="eastAsia" w:ascii="Times New Roman" w:hAnsi="Times New Roman" w:eastAsia="宋体" w:cs="Times New Roman"/>
                <w:color w:val="auto"/>
                <w:kern w:val="2"/>
                <w:sz w:val="24"/>
                <w:szCs w:val="24"/>
                <w:u w:val="single"/>
                <w:lang w:val="en-US" w:eastAsia="zh-CN" w:bidi="ar-SA"/>
              </w:rPr>
              <w:t>石化企业根据可能发生的突发环境污染事故的类型提供和解决处置突发环境事故所需要的救援设施（设备），包括医疗救护仪器药品、个人防护装备器材、沙袋、泵和应急交通工具等。项目应急</w:t>
            </w:r>
            <w:r>
              <w:rPr>
                <w:rFonts w:hint="eastAsia" w:cs="Times New Roman"/>
                <w:color w:val="auto"/>
                <w:kern w:val="2"/>
                <w:sz w:val="24"/>
                <w:szCs w:val="24"/>
                <w:u w:val="single"/>
                <w:lang w:val="en-US" w:eastAsia="zh-CN" w:bidi="ar-SA"/>
              </w:rPr>
              <w:t>物资</w:t>
            </w:r>
            <w:r>
              <w:rPr>
                <w:rFonts w:hint="eastAsia" w:ascii="Times New Roman" w:hAnsi="Times New Roman" w:eastAsia="宋体" w:cs="Times New Roman"/>
                <w:color w:val="auto"/>
                <w:kern w:val="2"/>
                <w:sz w:val="24"/>
                <w:szCs w:val="24"/>
                <w:u w:val="single"/>
                <w:lang w:val="en-US" w:eastAsia="zh-CN" w:bidi="ar-SA"/>
              </w:rPr>
              <w:t>可依托</w:t>
            </w:r>
            <w:r>
              <w:rPr>
                <w:rFonts w:hint="eastAsia" w:ascii="Times New Roman" w:hAnsi="Times New Roman"/>
                <w:color w:val="auto"/>
                <w:sz w:val="24"/>
                <w:szCs w:val="24"/>
                <w:u w:val="single"/>
                <w:lang w:val="en-US" w:eastAsia="zh-CN"/>
              </w:rPr>
              <w:t>天恒</w:t>
            </w:r>
            <w:r>
              <w:rPr>
                <w:rFonts w:hint="eastAsia" w:ascii="Times New Roman" w:hAnsi="Times New Roman" w:eastAsia="宋体" w:cs="Times New Roman"/>
                <w:color w:val="auto"/>
                <w:kern w:val="2"/>
                <w:sz w:val="24"/>
                <w:szCs w:val="24"/>
                <w:u w:val="single"/>
                <w:lang w:val="en-US" w:eastAsia="zh-CN" w:bidi="ar-SA"/>
              </w:rPr>
              <w:t>石化已有的资源。</w:t>
            </w:r>
          </w:p>
          <w:p w14:paraId="6659EC59">
            <w:pPr>
              <w:pStyle w:val="2"/>
              <w:keepNext w:val="0"/>
              <w:keepLines w:val="0"/>
              <w:pageBreakBefore w:val="0"/>
              <w:kinsoku/>
              <w:wordWrap/>
              <w:overflowPunct/>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pacing w:val="0"/>
                <w:kern w:val="2"/>
                <w:sz w:val="24"/>
                <w:szCs w:val="24"/>
                <w:u w:val="single"/>
                <w:lang w:val="en-US" w:eastAsia="zh-CN" w:bidi="ar-SA"/>
              </w:rPr>
            </w:pPr>
            <w:r>
              <w:rPr>
                <w:rFonts w:hint="eastAsia" w:ascii="Times New Roman" w:hAnsi="Times New Roman" w:cs="Times New Roman"/>
                <w:color w:val="auto"/>
                <w:spacing w:val="0"/>
                <w:kern w:val="2"/>
                <w:sz w:val="24"/>
                <w:szCs w:val="24"/>
                <w:u w:val="single"/>
                <w:lang w:val="en-US" w:eastAsia="zh-CN" w:bidi="ar-SA"/>
              </w:rPr>
              <w:t>④</w:t>
            </w:r>
            <w:r>
              <w:rPr>
                <w:rFonts w:hint="eastAsia" w:ascii="Times New Roman" w:hAnsi="Times New Roman" w:eastAsia="宋体" w:cs="Times New Roman"/>
                <w:color w:val="auto"/>
                <w:spacing w:val="0"/>
                <w:kern w:val="2"/>
                <w:sz w:val="24"/>
                <w:szCs w:val="24"/>
                <w:u w:val="single"/>
                <w:lang w:val="en-US" w:eastAsia="zh-CN" w:bidi="ar-SA"/>
              </w:rPr>
              <w:t>周边其他应急资源</w:t>
            </w:r>
          </w:p>
          <w:p w14:paraId="79C46F30">
            <w:pPr>
              <w:keepNext w:val="0"/>
              <w:keepLines w:val="0"/>
              <w:pageBreakBefore w:val="0"/>
              <w:kinsoku/>
              <w:wordWrap/>
              <w:overflowPunct/>
              <w:autoSpaceDE w:val="0"/>
              <w:autoSpaceDN w:val="0"/>
              <w:bidi w:val="0"/>
              <w:adjustRightInd w:val="0"/>
              <w:spacing w:after="0" w:line="360" w:lineRule="auto"/>
              <w:ind w:firstLine="504" w:firstLineChars="200"/>
              <w:jc w:val="left"/>
              <w:textAlignment w:val="auto"/>
              <w:rPr>
                <w:rFonts w:hint="eastAsia" w:ascii="宋体" w:hAnsi="Arial Narrow" w:eastAsia="宋体" w:cs="Times New Roman"/>
                <w:color w:val="auto"/>
                <w:spacing w:val="6"/>
                <w:kern w:val="0"/>
                <w:sz w:val="24"/>
                <w:szCs w:val="24"/>
                <w:u w:val="single"/>
                <w:lang w:val="en-US" w:eastAsia="zh-CN" w:bidi="ar-SA"/>
              </w:rPr>
            </w:pPr>
            <w:r>
              <w:rPr>
                <w:rFonts w:hint="eastAsia" w:ascii="宋体" w:hAnsi="Arial Narrow" w:eastAsia="宋体" w:cs="Times New Roman"/>
                <w:color w:val="auto"/>
                <w:spacing w:val="6"/>
                <w:kern w:val="0"/>
                <w:sz w:val="24"/>
                <w:szCs w:val="24"/>
                <w:u w:val="single"/>
                <w:lang w:val="en-US" w:eastAsia="zh-CN" w:bidi="ar-SA"/>
              </w:rPr>
              <w:t>工业区现有《钦州石化产业园突发环境应急预案》、《钦州石化产业园安全环保事故快速处置方案》，钦州港经济技术开发区有《广西钦州港经济技术开发区突发环境事件应急预案》。</w:t>
            </w:r>
          </w:p>
          <w:p w14:paraId="3C0D4144">
            <w:pPr>
              <w:keepNext w:val="0"/>
              <w:keepLines w:val="0"/>
              <w:pageBreakBefore w:val="0"/>
              <w:kinsoku/>
              <w:wordWrap/>
              <w:overflow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u w:val="single"/>
                <w:lang w:val="en-US" w:eastAsia="zh-CN" w:bidi="ar-SA"/>
              </w:rPr>
            </w:pPr>
            <w:r>
              <w:rPr>
                <w:rFonts w:hint="eastAsia" w:ascii="Times New Roman" w:hAnsi="Times New Roman" w:eastAsia="宋体" w:cs="Times New Roman"/>
                <w:color w:val="auto"/>
                <w:spacing w:val="0"/>
                <w:kern w:val="2"/>
                <w:sz w:val="24"/>
                <w:szCs w:val="24"/>
                <w:u w:val="single"/>
                <w:lang w:val="en-US" w:eastAsia="zh-CN" w:bidi="ar-SA"/>
              </w:rPr>
              <w:t>目前，</w:t>
            </w:r>
            <w:bookmarkStart w:id="22" w:name="OLE_LINK12"/>
            <w:r>
              <w:rPr>
                <w:rFonts w:hint="eastAsia" w:cs="Times New Roman"/>
                <w:color w:val="auto"/>
                <w:spacing w:val="0"/>
                <w:kern w:val="2"/>
                <w:sz w:val="24"/>
                <w:szCs w:val="24"/>
                <w:u w:val="single"/>
                <w:lang w:val="en-US" w:eastAsia="zh-CN" w:bidi="ar-SA"/>
              </w:rPr>
              <w:t>钦州市</w:t>
            </w:r>
            <w:r>
              <w:rPr>
                <w:rFonts w:hint="eastAsia" w:ascii="Times New Roman" w:hAnsi="Times New Roman" w:eastAsia="宋体" w:cs="Times New Roman"/>
                <w:color w:val="auto"/>
                <w:spacing w:val="0"/>
                <w:kern w:val="2"/>
                <w:sz w:val="24"/>
                <w:szCs w:val="24"/>
                <w:u w:val="single"/>
                <w:lang w:val="en-US" w:eastAsia="zh-CN" w:bidi="ar-SA"/>
              </w:rPr>
              <w:t>港区公安消防大队下辖港区中队和鹰岭中队</w:t>
            </w:r>
            <w:bookmarkEnd w:id="22"/>
            <w:r>
              <w:rPr>
                <w:rFonts w:hint="eastAsia" w:ascii="Times New Roman" w:hAnsi="Times New Roman" w:eastAsia="宋体" w:cs="Times New Roman"/>
                <w:color w:val="auto"/>
                <w:spacing w:val="0"/>
                <w:kern w:val="2"/>
                <w:sz w:val="24"/>
                <w:szCs w:val="24"/>
                <w:u w:val="single"/>
                <w:lang w:val="en-US" w:eastAsia="zh-CN" w:bidi="ar-SA"/>
              </w:rPr>
              <w:t>，共有战斗车辆10辆。其中，港区中队为现役中队，全体官兵均由现役人员组成，共配备有2辆12吨的泡沫水罐消防车、1辆3吨水罐消防车以及1辆抢险救援车，此处还配备有液压剪、液压扩张器、救生气垫、水驱动消排烟机、测温仪、头骨振动仪等一大批特勤救援器材。</w:t>
            </w:r>
            <w:r>
              <w:rPr>
                <w:rFonts w:hint="eastAsia" w:cs="Times New Roman"/>
                <w:color w:val="auto"/>
                <w:spacing w:val="0"/>
                <w:kern w:val="2"/>
                <w:sz w:val="24"/>
                <w:szCs w:val="24"/>
                <w:u w:val="single"/>
                <w:lang w:val="en-US" w:eastAsia="zh-CN" w:bidi="ar-SA"/>
              </w:rPr>
              <w:t>项目可以依托钦州</w:t>
            </w:r>
            <w:r>
              <w:rPr>
                <w:rFonts w:hint="eastAsia" w:ascii="Times New Roman" w:hAnsi="Times New Roman" w:eastAsia="宋体" w:cs="Times New Roman"/>
                <w:color w:val="auto"/>
                <w:spacing w:val="0"/>
                <w:kern w:val="2"/>
                <w:sz w:val="24"/>
                <w:szCs w:val="24"/>
                <w:u w:val="single"/>
                <w:lang w:val="en-US" w:eastAsia="zh-CN" w:bidi="ar-SA"/>
              </w:rPr>
              <w:t>港区</w:t>
            </w:r>
            <w:r>
              <w:rPr>
                <w:rFonts w:hint="eastAsia" w:cs="Times New Roman"/>
                <w:color w:val="auto"/>
                <w:spacing w:val="0"/>
                <w:kern w:val="2"/>
                <w:sz w:val="24"/>
                <w:szCs w:val="24"/>
                <w:u w:val="single"/>
                <w:lang w:val="en-US" w:eastAsia="zh-CN" w:bidi="ar-SA"/>
              </w:rPr>
              <w:t>的消防力量。</w:t>
            </w:r>
          </w:p>
          <w:p w14:paraId="20FC955D">
            <w:pPr>
              <w:keepNext w:val="0"/>
              <w:keepLines w:val="0"/>
              <w:pageBreakBefore w:val="0"/>
              <w:kinsoku/>
              <w:wordWrap/>
              <w:overflow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u w:val="single"/>
                <w:lang w:val="en-US" w:eastAsia="zh-CN" w:bidi="ar-SA"/>
              </w:rPr>
            </w:pPr>
            <w:r>
              <w:rPr>
                <w:rFonts w:hint="eastAsia" w:ascii="Times New Roman" w:hAnsi="Times New Roman" w:eastAsia="宋体" w:cs="Times New Roman"/>
                <w:color w:val="auto"/>
                <w:spacing w:val="0"/>
                <w:kern w:val="2"/>
                <w:sz w:val="24"/>
                <w:szCs w:val="24"/>
                <w:u w:val="single"/>
                <w:lang w:val="en-US" w:eastAsia="zh-CN" w:bidi="ar-SA"/>
              </w:rPr>
              <w:t>鹰岭中队由现役官兵和合同制消防员组成的混编中队，是全区率先建成的“政府协调、企业出资、消防部队管理”中队，目前该中队配备有1辆12吨泡沫水罐消防车、1辆8吨水罐消防车、1辆3吨干粉消防车、1辆3吨水罐消防车、1辆30米举高车以及1辆25米举高车，该中队还根据辖区内石化仓储企业多的特点，</w:t>
            </w:r>
            <w:r>
              <w:rPr>
                <w:rFonts w:hint="eastAsia" w:cs="Times New Roman"/>
                <w:color w:val="auto"/>
                <w:spacing w:val="0"/>
                <w:kern w:val="2"/>
                <w:sz w:val="24"/>
                <w:szCs w:val="24"/>
                <w:u w:val="single"/>
                <w:lang w:val="en-US" w:eastAsia="zh-CN" w:bidi="ar-SA"/>
              </w:rPr>
              <w:t>专门</w:t>
            </w:r>
            <w:r>
              <w:rPr>
                <w:rFonts w:hint="eastAsia" w:ascii="Times New Roman" w:hAnsi="Times New Roman" w:eastAsia="宋体" w:cs="Times New Roman"/>
                <w:color w:val="auto"/>
                <w:spacing w:val="0"/>
                <w:kern w:val="2"/>
                <w:sz w:val="24"/>
                <w:szCs w:val="24"/>
                <w:u w:val="single"/>
                <w:lang w:val="en-US" w:eastAsia="zh-CN" w:bidi="ar-SA"/>
              </w:rPr>
              <w:t>配备了堵漏工具、无火花救援工具、移动遥控水炮、避火服等石化灾害事故救援的专用器材装备。</w:t>
            </w:r>
          </w:p>
          <w:p w14:paraId="6F8A63AC">
            <w:pPr>
              <w:pStyle w:val="10"/>
              <w:rPr>
                <w:rFonts w:hint="eastAsia" w:ascii="Times New Roman" w:hAnsi="Times New Roman"/>
                <w:color w:val="auto"/>
                <w:sz w:val="24"/>
                <w:szCs w:val="24"/>
                <w:lang w:val="en-US" w:eastAsia="zh-CN"/>
              </w:rPr>
            </w:pPr>
          </w:p>
          <w:p w14:paraId="62C8E5B3">
            <w:pPr>
              <w:rPr>
                <w:rFonts w:hint="default"/>
                <w:color w:val="auto"/>
                <w:lang w:val="en-US" w:eastAsia="zh-CN"/>
              </w:rPr>
            </w:pPr>
          </w:p>
          <w:p w14:paraId="5D68565C">
            <w:pPr>
              <w:pStyle w:val="2"/>
              <w:keepNext w:val="0"/>
              <w:keepLines w:val="0"/>
              <w:pageBreakBefore w:val="0"/>
              <w:kinsoku/>
              <w:wordWrap/>
              <w:overflowPunct/>
              <w:autoSpaceDE/>
              <w:autoSpaceDN/>
              <w:bidi w:val="0"/>
              <w:adjustRightInd/>
              <w:snapToGrid/>
              <w:spacing w:after="0" w:line="360" w:lineRule="auto"/>
              <w:textAlignment w:val="auto"/>
              <w:rPr>
                <w:rFonts w:hint="default" w:ascii="Times New Roman" w:hAnsi="Times New Roman" w:eastAsia="宋体"/>
                <w:color w:val="auto"/>
                <w:sz w:val="24"/>
                <w:szCs w:val="28"/>
                <w:lang w:val="en-US" w:eastAsia="zh-CN"/>
              </w:rPr>
            </w:pPr>
            <w:r>
              <w:rPr>
                <w:rFonts w:hint="eastAsia" w:ascii="Times New Roman" w:hAnsi="Times New Roman"/>
                <w:color w:val="auto"/>
                <w:sz w:val="24"/>
                <w:szCs w:val="28"/>
                <w:lang w:val="en-US" w:eastAsia="zh-CN"/>
              </w:rPr>
              <w:t xml:space="preserve"> </w:t>
            </w:r>
          </w:p>
        </w:tc>
      </w:tr>
      <w:tr w14:paraId="36986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908" w:type="dxa"/>
            <w:vAlign w:val="center"/>
          </w:tcPr>
          <w:p w14:paraId="3FBAAB54">
            <w:pPr>
              <w:pStyle w:val="17"/>
              <w:adjustRightInd w:val="0"/>
              <w:snapToGrid w:val="0"/>
              <w:jc w:val="center"/>
              <w:rPr>
                <w:rFonts w:ascii="Times New Roman" w:hAnsi="Times New Roman"/>
                <w:b/>
                <w:color w:val="auto"/>
                <w:szCs w:val="21"/>
              </w:rPr>
            </w:pPr>
            <w:r>
              <w:rPr>
                <w:rFonts w:ascii="Times New Roman" w:hAnsi="Times New Roman"/>
                <w:b/>
                <w:color w:val="auto"/>
                <w:szCs w:val="21"/>
              </w:rPr>
              <w:t>总平面及现场布置</w:t>
            </w:r>
          </w:p>
        </w:tc>
        <w:tc>
          <w:tcPr>
            <w:tcW w:w="8378" w:type="dxa"/>
          </w:tcPr>
          <w:p w14:paraId="183A2C48">
            <w:pPr>
              <w:keepNext w:val="0"/>
              <w:keepLines w:val="0"/>
              <w:pageBreakBefore w:val="0"/>
              <w:widowControl/>
              <w:kinsoku/>
              <w:wordWrap/>
              <w:overflowPunct/>
              <w:topLinePunct/>
              <w:bidi w:val="0"/>
              <w:snapToGrid/>
              <w:spacing w:after="0" w:line="360" w:lineRule="auto"/>
              <w:ind w:firstLine="586" w:firstLineChars="200"/>
              <w:textAlignment w:val="auto"/>
              <w:rPr>
                <w:b/>
                <w:color w:val="auto"/>
                <w:spacing w:val="6"/>
                <w:kern w:val="0"/>
                <w:sz w:val="28"/>
                <w:szCs w:val="28"/>
              </w:rPr>
            </w:pPr>
            <w:r>
              <w:rPr>
                <w:b/>
                <w:color w:val="auto"/>
                <w:spacing w:val="6"/>
                <w:kern w:val="0"/>
                <w:sz w:val="28"/>
                <w:szCs w:val="28"/>
              </w:rPr>
              <w:t>2.</w:t>
            </w:r>
            <w:r>
              <w:rPr>
                <w:rFonts w:hint="eastAsia"/>
                <w:b/>
                <w:color w:val="auto"/>
                <w:spacing w:val="6"/>
                <w:kern w:val="0"/>
                <w:sz w:val="28"/>
                <w:szCs w:val="28"/>
                <w:lang w:val="en-US" w:eastAsia="zh-CN"/>
              </w:rPr>
              <w:t>9</w:t>
            </w:r>
            <w:r>
              <w:rPr>
                <w:b/>
                <w:color w:val="auto"/>
                <w:spacing w:val="6"/>
                <w:kern w:val="0"/>
                <w:sz w:val="28"/>
                <w:szCs w:val="28"/>
              </w:rPr>
              <w:t>项目总平面布置情况</w:t>
            </w:r>
          </w:p>
          <w:p w14:paraId="7CDE4AE2">
            <w:pPr>
              <w:keepNext w:val="0"/>
              <w:keepLines w:val="0"/>
              <w:pageBreakBefore w:val="0"/>
              <w:numPr>
                <w:ilvl w:val="0"/>
                <w:numId w:val="6"/>
              </w:numPr>
              <w:kinsoku/>
              <w:wordWrap/>
              <w:overflowPunct/>
              <w:autoSpaceDE w:val="0"/>
              <w:autoSpaceDN w:val="0"/>
              <w:bidi w:val="0"/>
              <w:adjustRightInd w:val="0"/>
              <w:snapToGrid/>
              <w:spacing w:after="0" w:line="360" w:lineRule="auto"/>
              <w:ind w:firstLine="480" w:firstLineChars="200"/>
              <w:jc w:val="left"/>
              <w:textAlignment w:val="auto"/>
              <w:rPr>
                <w:color w:val="auto"/>
                <w:sz w:val="24"/>
                <w:u w:val="single"/>
              </w:rPr>
            </w:pPr>
            <w:r>
              <w:rPr>
                <w:rFonts w:hint="eastAsia"/>
                <w:color w:val="auto"/>
                <w:sz w:val="24"/>
                <w:u w:val="single"/>
              </w:rPr>
              <w:t>施工布置</w:t>
            </w:r>
          </w:p>
          <w:p w14:paraId="2D22FD7B">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color w:val="auto"/>
                <w:sz w:val="24"/>
                <w:u w:val="single"/>
              </w:rPr>
            </w:pPr>
            <w:r>
              <w:rPr>
                <w:rFonts w:hint="eastAsia"/>
                <w:color w:val="auto"/>
                <w:sz w:val="24"/>
                <w:u w:val="single"/>
              </w:rPr>
              <w:t>本工程不设置施工营地</w:t>
            </w:r>
            <w:r>
              <w:rPr>
                <w:rFonts w:hint="eastAsia"/>
                <w:color w:val="auto"/>
                <w:sz w:val="24"/>
                <w:u w:val="single"/>
                <w:lang w:val="en-US" w:eastAsia="zh-CN"/>
              </w:rPr>
              <w:t>和临时厕所</w:t>
            </w:r>
            <w:r>
              <w:rPr>
                <w:rFonts w:hint="eastAsia"/>
                <w:color w:val="auto"/>
                <w:sz w:val="24"/>
                <w:u w:val="single"/>
              </w:rPr>
              <w:t>，</w:t>
            </w:r>
            <w:r>
              <w:rPr>
                <w:rFonts w:hint="eastAsia"/>
                <w:color w:val="auto"/>
                <w:sz w:val="24"/>
                <w:u w:val="single"/>
                <w:lang w:val="en-US" w:eastAsia="zh-CN"/>
              </w:rPr>
              <w:t>施工厕所依托泰兴石化厂区厕所</w:t>
            </w:r>
            <w:r>
              <w:rPr>
                <w:rFonts w:hint="eastAsia"/>
                <w:color w:val="auto"/>
                <w:sz w:val="24"/>
                <w:u w:val="single"/>
              </w:rPr>
              <w:t>。本工程管廊沿线交通条件便利，现有道路状况较好，可以利用现有道路进行管道维护、巡检、抢险等工作，无需新建道路。本工程不设取土场、弃土场。</w:t>
            </w:r>
          </w:p>
          <w:p w14:paraId="3B88F575">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color w:val="auto"/>
                <w:sz w:val="24"/>
                <w:u w:val="single"/>
              </w:rPr>
            </w:pPr>
            <w:r>
              <w:rPr>
                <w:rFonts w:hint="eastAsia"/>
                <w:color w:val="auto"/>
                <w:sz w:val="24"/>
                <w:u w:val="single"/>
              </w:rPr>
              <w:t>本工程施工布置主要包括施工作业带、堆管场，本工程施工作业带沿管廊、管线按10m宽度设置，布置在管廊管道一侧，用于开挖土石方、材料及作业设备临时堆放。堆管场位于施工作业带内。</w:t>
            </w:r>
          </w:p>
          <w:p w14:paraId="107F0EC4">
            <w:pPr>
              <w:keepNext w:val="0"/>
              <w:keepLines w:val="0"/>
              <w:pageBreakBefore w:val="0"/>
              <w:numPr>
                <w:ilvl w:val="0"/>
                <w:numId w:val="6"/>
              </w:numPr>
              <w:kinsoku/>
              <w:wordWrap/>
              <w:overflowPunct/>
              <w:autoSpaceDE w:val="0"/>
              <w:autoSpaceDN w:val="0"/>
              <w:bidi w:val="0"/>
              <w:adjustRightInd w:val="0"/>
              <w:snapToGrid/>
              <w:spacing w:after="0" w:line="360" w:lineRule="auto"/>
              <w:ind w:firstLine="480" w:firstLineChars="200"/>
              <w:jc w:val="left"/>
              <w:textAlignment w:val="auto"/>
              <w:rPr>
                <w:color w:val="auto"/>
                <w:sz w:val="24"/>
              </w:rPr>
            </w:pPr>
            <w:r>
              <w:rPr>
                <w:rFonts w:hint="eastAsia"/>
                <w:color w:val="auto"/>
                <w:sz w:val="24"/>
              </w:rPr>
              <w:t>管廊管线布置</w:t>
            </w:r>
          </w:p>
          <w:p w14:paraId="52AA1F7D">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color w:val="auto"/>
                <w:sz w:val="24"/>
              </w:rPr>
            </w:pPr>
            <w:r>
              <w:rPr>
                <w:rFonts w:hint="eastAsia"/>
                <w:color w:val="auto"/>
                <w:sz w:val="24"/>
              </w:rPr>
              <w:t>项目管廊建设路线由广西钦州泰兴石油化工有限公司西北侧现有管廊端头为起点，向北沿泰兴石化围墙边缘延伸68m至现有园区公共管廊南侧，再沿着现有园区公共管廊平行向西82.5m，最后向南48m连接至泰兴石化地面火炬用地。规划管廊宽度为2.0m，全长198.50m，管廊路经地带为平地，无明显高差。在泰兴石化火炬北面和西面建设约90m围墙，东面和南面依托钦州天恒石化有限公司拟建的围墙对火炬区域进行防护，围墙高2.5m。迁建埋地消防水管从广西钦州泰兴石油化工有限公司西边围墙出来，沿钦州天恒石化有限公司厂区（二）用地北面向西埋地敷设79.5m，再向南埋地敷设30m。</w:t>
            </w:r>
            <w:r>
              <w:rPr>
                <w:color w:val="auto"/>
                <w:sz w:val="24"/>
              </w:rPr>
              <w:t>本项目</w:t>
            </w:r>
            <w:r>
              <w:rPr>
                <w:rFonts w:hint="eastAsia"/>
                <w:color w:val="auto"/>
                <w:sz w:val="24"/>
                <w:lang w:val="en-US" w:eastAsia="zh-CN"/>
              </w:rPr>
              <w:t>管廊走向</w:t>
            </w:r>
            <w:r>
              <w:rPr>
                <w:color w:val="auto"/>
                <w:sz w:val="24"/>
              </w:rPr>
              <w:t>总体布置情况见附图2。</w:t>
            </w:r>
          </w:p>
          <w:p w14:paraId="6DED2662">
            <w:pPr>
              <w:keepNext w:val="0"/>
              <w:keepLines w:val="0"/>
              <w:pageBreakBefore w:val="0"/>
              <w:numPr>
                <w:ilvl w:val="0"/>
                <w:numId w:val="6"/>
              </w:numPr>
              <w:kinsoku/>
              <w:wordWrap/>
              <w:overflowPunct/>
              <w:autoSpaceDE w:val="0"/>
              <w:autoSpaceDN w:val="0"/>
              <w:bidi w:val="0"/>
              <w:adjustRightInd w:val="0"/>
              <w:snapToGrid/>
              <w:spacing w:after="0" w:line="360" w:lineRule="auto"/>
              <w:ind w:firstLine="480" w:firstLineChars="200"/>
              <w:jc w:val="left"/>
              <w:textAlignment w:val="auto"/>
              <w:rPr>
                <w:color w:val="auto"/>
                <w:sz w:val="24"/>
                <w:u w:val="single"/>
              </w:rPr>
            </w:pPr>
            <w:r>
              <w:rPr>
                <w:rFonts w:hint="eastAsia"/>
                <w:color w:val="auto"/>
                <w:sz w:val="24"/>
                <w:u w:val="single"/>
                <w:lang w:val="en-US" w:eastAsia="zh-CN"/>
              </w:rPr>
              <w:t>土石方平衡</w:t>
            </w:r>
          </w:p>
          <w:p w14:paraId="07408D00">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rFonts w:hint="eastAsia" w:eastAsia="宋体"/>
                <w:color w:val="auto"/>
                <w:sz w:val="24"/>
                <w:u w:val="single"/>
                <w:lang w:val="en-US" w:eastAsia="zh-CN"/>
              </w:rPr>
            </w:pPr>
            <w:r>
              <w:rPr>
                <w:rFonts w:hint="eastAsia"/>
                <w:color w:val="auto"/>
                <w:sz w:val="24"/>
                <w:u w:val="single"/>
              </w:rPr>
              <w:t>本项目迁建工程土石方主要是</w:t>
            </w:r>
            <w:r>
              <w:rPr>
                <w:rFonts w:hint="eastAsia"/>
                <w:color w:val="auto"/>
                <w:sz w:val="24"/>
                <w:u w:val="single"/>
                <w:lang w:val="en-US" w:eastAsia="zh-CN"/>
              </w:rPr>
              <w:t>消防</w:t>
            </w:r>
            <w:r>
              <w:rPr>
                <w:rFonts w:hint="eastAsia"/>
                <w:color w:val="auto"/>
                <w:sz w:val="24"/>
                <w:u w:val="single"/>
              </w:rPr>
              <w:t>管沟开挖和管廊</w:t>
            </w:r>
            <w:r>
              <w:rPr>
                <w:rFonts w:hint="eastAsia"/>
                <w:color w:val="auto"/>
                <w:sz w:val="24"/>
                <w:u w:val="single"/>
                <w:lang w:val="en-US" w:eastAsia="zh-CN"/>
              </w:rPr>
              <w:t>基础</w:t>
            </w:r>
            <w:r>
              <w:rPr>
                <w:rFonts w:hint="eastAsia"/>
                <w:color w:val="auto"/>
                <w:sz w:val="24"/>
                <w:u w:val="single"/>
              </w:rPr>
              <w:t>开挖产生的土石方。管沟</w:t>
            </w:r>
            <w:r>
              <w:rPr>
                <w:rFonts w:hint="eastAsia"/>
                <w:color w:val="auto"/>
                <w:sz w:val="24"/>
                <w:u w:val="single"/>
                <w:lang w:val="en-US" w:eastAsia="zh-CN"/>
              </w:rPr>
              <w:t>和</w:t>
            </w:r>
            <w:r>
              <w:rPr>
                <w:rFonts w:hint="eastAsia"/>
                <w:color w:val="auto"/>
                <w:sz w:val="24"/>
                <w:u w:val="single"/>
              </w:rPr>
              <w:t>管廊</w:t>
            </w:r>
            <w:r>
              <w:rPr>
                <w:rFonts w:hint="eastAsia"/>
                <w:color w:val="auto"/>
                <w:sz w:val="24"/>
                <w:u w:val="single"/>
                <w:lang w:val="en-US" w:eastAsia="zh-CN"/>
              </w:rPr>
              <w:t>基础</w:t>
            </w:r>
            <w:r>
              <w:rPr>
                <w:rFonts w:hint="eastAsia"/>
                <w:color w:val="auto"/>
                <w:sz w:val="24"/>
                <w:u w:val="single"/>
              </w:rPr>
              <w:t>开挖产生土石方大部分用于回填管沟，剩余部分平整到施工作业带及用于临时占地平整</w:t>
            </w:r>
            <w:r>
              <w:rPr>
                <w:rFonts w:hint="eastAsia"/>
                <w:color w:val="auto"/>
                <w:sz w:val="24"/>
                <w:u w:val="single"/>
                <w:lang w:eastAsia="zh-CN"/>
              </w:rPr>
              <w:t>。</w:t>
            </w:r>
          </w:p>
          <w:p w14:paraId="2C38B10D">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rFonts w:hint="eastAsia"/>
                <w:color w:val="auto"/>
                <w:sz w:val="24"/>
                <w:u w:val="single"/>
                <w:lang w:eastAsia="zh-CN"/>
              </w:rPr>
            </w:pPr>
            <w:r>
              <w:rPr>
                <w:rFonts w:hint="eastAsia"/>
                <w:color w:val="auto"/>
                <w:sz w:val="24"/>
                <w:u w:val="single"/>
              </w:rPr>
              <w:t>迁建工程新建管道在开挖敷设时，管沟开挖土方量约为</w:t>
            </w:r>
            <w:r>
              <w:rPr>
                <w:rFonts w:hint="eastAsia"/>
                <w:color w:val="auto"/>
                <w:sz w:val="24"/>
                <w:u w:val="single"/>
                <w:lang w:val="en-US" w:eastAsia="zh-CN"/>
              </w:rPr>
              <w:t>11</w:t>
            </w:r>
            <w:r>
              <w:rPr>
                <w:rFonts w:hint="eastAsia"/>
                <w:color w:val="auto"/>
                <w:sz w:val="24"/>
                <w:u w:val="single"/>
              </w:rPr>
              <w:t>0m</w:t>
            </w:r>
            <w:r>
              <w:rPr>
                <w:rFonts w:hint="eastAsia"/>
                <w:color w:val="auto"/>
                <w:sz w:val="24"/>
                <w:u w:val="single"/>
                <w:vertAlign w:val="superscript"/>
              </w:rPr>
              <w:t>3</w:t>
            </w:r>
            <w:r>
              <w:rPr>
                <w:rFonts w:hint="eastAsia"/>
                <w:color w:val="auto"/>
                <w:sz w:val="24"/>
                <w:u w:val="single"/>
              </w:rPr>
              <w:t>，管沟回填后多余的土方量约为管线体积，经计算管线敷设多余土方量约为</w:t>
            </w:r>
            <w:r>
              <w:rPr>
                <w:rFonts w:hint="eastAsia"/>
                <w:color w:val="auto"/>
                <w:sz w:val="24"/>
                <w:u w:val="single"/>
                <w:lang w:val="en-US" w:eastAsia="zh-CN"/>
              </w:rPr>
              <w:t>5.4</w:t>
            </w:r>
            <w:r>
              <w:rPr>
                <w:rFonts w:hint="eastAsia"/>
                <w:color w:val="auto"/>
                <w:sz w:val="24"/>
                <w:u w:val="single"/>
              </w:rPr>
              <w:t>m</w:t>
            </w:r>
            <w:r>
              <w:rPr>
                <w:rFonts w:hint="eastAsia"/>
                <w:color w:val="auto"/>
                <w:sz w:val="24"/>
                <w:u w:val="single"/>
                <w:vertAlign w:val="superscript"/>
              </w:rPr>
              <w:t>3</w:t>
            </w:r>
            <w:r>
              <w:rPr>
                <w:rFonts w:hint="eastAsia"/>
                <w:color w:val="auto"/>
                <w:sz w:val="24"/>
                <w:u w:val="single"/>
                <w:lang w:eastAsia="zh-CN"/>
              </w:rPr>
              <w:t>。</w:t>
            </w:r>
            <w:r>
              <w:rPr>
                <w:rFonts w:hint="eastAsia"/>
                <w:color w:val="auto"/>
                <w:sz w:val="24"/>
                <w:u w:val="single"/>
                <w:lang w:val="en-US" w:eastAsia="zh-CN"/>
              </w:rPr>
              <w:t>管廊基础开挖土方量为468</w:t>
            </w:r>
            <w:r>
              <w:rPr>
                <w:rFonts w:hint="eastAsia"/>
                <w:color w:val="auto"/>
                <w:sz w:val="24"/>
                <w:u w:val="single"/>
              </w:rPr>
              <w:t>m</w:t>
            </w:r>
            <w:r>
              <w:rPr>
                <w:rFonts w:hint="eastAsia"/>
                <w:color w:val="auto"/>
                <w:sz w:val="24"/>
                <w:u w:val="single"/>
                <w:vertAlign w:val="superscript"/>
              </w:rPr>
              <w:t>3</w:t>
            </w:r>
            <w:r>
              <w:rPr>
                <w:rFonts w:hint="eastAsia"/>
                <w:color w:val="auto"/>
                <w:sz w:val="24"/>
                <w:u w:val="single"/>
                <w:lang w:val="en-US" w:eastAsia="zh-CN"/>
              </w:rPr>
              <w:t>，基础回填后多余的土方量为混凝土基础体积，经计算多余土方量为175.5</w:t>
            </w:r>
            <w:r>
              <w:rPr>
                <w:rFonts w:hint="eastAsia"/>
                <w:color w:val="auto"/>
                <w:sz w:val="24"/>
                <w:u w:val="single"/>
              </w:rPr>
              <w:t>m</w:t>
            </w:r>
            <w:r>
              <w:rPr>
                <w:rFonts w:hint="eastAsia"/>
                <w:color w:val="auto"/>
                <w:sz w:val="24"/>
                <w:u w:val="single"/>
                <w:vertAlign w:val="superscript"/>
              </w:rPr>
              <w:t>3</w:t>
            </w:r>
            <w:r>
              <w:rPr>
                <w:rFonts w:hint="eastAsia"/>
                <w:color w:val="auto"/>
                <w:sz w:val="24"/>
                <w:u w:val="single"/>
                <w:lang w:val="en-US" w:eastAsia="zh-CN"/>
              </w:rPr>
              <w:t>。以上</w:t>
            </w:r>
            <w:r>
              <w:rPr>
                <w:rFonts w:hint="eastAsia"/>
                <w:color w:val="auto"/>
                <w:sz w:val="24"/>
                <w:u w:val="single"/>
              </w:rPr>
              <w:t>多余土方就近进行土地平整到施工作业带及用于临时占地平整。项目土石方平衡见</w:t>
            </w:r>
            <w:r>
              <w:rPr>
                <w:rFonts w:hint="eastAsia"/>
                <w:color w:val="auto"/>
                <w:sz w:val="24"/>
                <w:u w:val="single"/>
                <w:lang w:val="en-US" w:eastAsia="zh-CN"/>
              </w:rPr>
              <w:t>下</w:t>
            </w:r>
            <w:r>
              <w:rPr>
                <w:rFonts w:hint="eastAsia"/>
                <w:color w:val="auto"/>
                <w:sz w:val="24"/>
                <w:u w:val="single"/>
              </w:rPr>
              <w:t>表</w:t>
            </w:r>
            <w:r>
              <w:rPr>
                <w:rFonts w:hint="eastAsia"/>
                <w:color w:val="auto"/>
                <w:sz w:val="24"/>
                <w:u w:val="single"/>
                <w:lang w:eastAsia="zh-CN"/>
              </w:rPr>
              <w:t>。</w:t>
            </w:r>
          </w:p>
          <w:p w14:paraId="66509EB6">
            <w:pPr>
              <w:spacing w:line="360" w:lineRule="auto"/>
              <w:jc w:val="center"/>
              <w:rPr>
                <w:rFonts w:hint="eastAsia"/>
                <w:b/>
                <w:color w:val="auto"/>
                <w:kern w:val="0"/>
                <w:szCs w:val="22"/>
                <w:u w:val="single"/>
                <w:lang w:val="en-US" w:eastAsia="zh-CN" w:bidi="en-US"/>
              </w:rPr>
            </w:pPr>
            <w:r>
              <w:rPr>
                <w:rFonts w:hint="eastAsia"/>
                <w:b/>
                <w:color w:val="auto"/>
                <w:kern w:val="0"/>
                <w:szCs w:val="22"/>
                <w:u w:val="single"/>
                <w:lang w:val="en-US" w:eastAsia="zh-CN" w:bidi="en-US"/>
              </w:rPr>
              <w:t>表2-4</w:t>
            </w:r>
            <w:r>
              <w:rPr>
                <w:rFonts w:hint="eastAsia"/>
                <w:b/>
                <w:color w:val="auto"/>
                <w:kern w:val="0"/>
                <w:szCs w:val="22"/>
                <w:u w:val="single"/>
                <w:lang w:bidi="en-US"/>
              </w:rPr>
              <w:t>项目土石方平衡表</w:t>
            </w:r>
          </w:p>
          <w:tbl>
            <w:tblPr>
              <w:tblStyle w:val="23"/>
              <w:tblW w:w="8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1632"/>
              <w:gridCol w:w="1632"/>
              <w:gridCol w:w="1633"/>
              <w:gridCol w:w="1633"/>
            </w:tblGrid>
            <w:tr w14:paraId="02A3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64" w:type="dxa"/>
                  <w:gridSpan w:val="2"/>
                  <w:vAlign w:val="center"/>
                </w:tcPr>
                <w:p w14:paraId="7B8A089A">
                  <w:pPr>
                    <w:pStyle w:val="50"/>
                    <w:bidi w:val="0"/>
                    <w:jc w:val="center"/>
                    <w:rPr>
                      <w:rFonts w:hint="default"/>
                      <w:color w:val="auto"/>
                      <w:u w:val="single"/>
                      <w:lang w:val="en-US" w:eastAsia="zh-CN"/>
                    </w:rPr>
                  </w:pPr>
                  <w:r>
                    <w:rPr>
                      <w:rFonts w:hint="eastAsia"/>
                      <w:color w:val="auto"/>
                      <w:u w:val="single"/>
                      <w:lang w:val="en-US" w:eastAsia="zh-CN"/>
                    </w:rPr>
                    <w:t>挖方/</w:t>
                  </w:r>
                  <w:r>
                    <w:rPr>
                      <w:rFonts w:hint="eastAsia"/>
                      <w:color w:val="auto"/>
                      <w:u w:val="single"/>
                    </w:rPr>
                    <w:t>m</w:t>
                  </w:r>
                  <w:r>
                    <w:rPr>
                      <w:rFonts w:hint="eastAsia"/>
                      <w:color w:val="auto"/>
                      <w:u w:val="single"/>
                      <w:vertAlign w:val="superscript"/>
                    </w:rPr>
                    <w:t>3</w:t>
                  </w:r>
                </w:p>
              </w:tc>
              <w:tc>
                <w:tcPr>
                  <w:tcW w:w="3265" w:type="dxa"/>
                  <w:gridSpan w:val="2"/>
                  <w:vAlign w:val="center"/>
                </w:tcPr>
                <w:p w14:paraId="32C4ED0C">
                  <w:pPr>
                    <w:pStyle w:val="50"/>
                    <w:bidi w:val="0"/>
                    <w:jc w:val="center"/>
                    <w:rPr>
                      <w:rFonts w:hint="default"/>
                      <w:color w:val="auto"/>
                      <w:u w:val="single"/>
                      <w:lang w:val="en-US" w:eastAsia="zh-CN"/>
                    </w:rPr>
                  </w:pPr>
                  <w:r>
                    <w:rPr>
                      <w:rFonts w:hint="eastAsia"/>
                      <w:color w:val="auto"/>
                      <w:u w:val="single"/>
                      <w:lang w:val="en-US" w:eastAsia="zh-CN"/>
                    </w:rPr>
                    <w:t>填方/</w:t>
                  </w:r>
                  <w:r>
                    <w:rPr>
                      <w:rFonts w:hint="eastAsia"/>
                      <w:color w:val="auto"/>
                      <w:u w:val="single"/>
                    </w:rPr>
                    <w:t>m</w:t>
                  </w:r>
                  <w:r>
                    <w:rPr>
                      <w:rFonts w:hint="eastAsia"/>
                      <w:color w:val="auto"/>
                      <w:u w:val="single"/>
                      <w:vertAlign w:val="superscript"/>
                    </w:rPr>
                    <w:t>3</w:t>
                  </w:r>
                </w:p>
              </w:tc>
              <w:tc>
                <w:tcPr>
                  <w:tcW w:w="1633" w:type="dxa"/>
                  <w:vMerge w:val="restart"/>
                  <w:vAlign w:val="center"/>
                </w:tcPr>
                <w:p w14:paraId="35BC18C2">
                  <w:pPr>
                    <w:pStyle w:val="50"/>
                    <w:bidi w:val="0"/>
                    <w:jc w:val="center"/>
                    <w:rPr>
                      <w:rFonts w:hint="default"/>
                      <w:color w:val="auto"/>
                      <w:u w:val="single"/>
                      <w:lang w:val="en-US" w:eastAsia="zh-CN"/>
                    </w:rPr>
                  </w:pPr>
                  <w:r>
                    <w:rPr>
                      <w:rFonts w:hint="eastAsia"/>
                      <w:color w:val="auto"/>
                      <w:u w:val="single"/>
                      <w:lang w:val="en-US" w:eastAsia="zh-CN"/>
                    </w:rPr>
                    <w:t>弃方/</w:t>
                  </w:r>
                  <w:r>
                    <w:rPr>
                      <w:rFonts w:hint="eastAsia"/>
                      <w:color w:val="auto"/>
                      <w:u w:val="single"/>
                    </w:rPr>
                    <w:t>m</w:t>
                  </w:r>
                  <w:r>
                    <w:rPr>
                      <w:rFonts w:hint="eastAsia"/>
                      <w:color w:val="auto"/>
                      <w:u w:val="single"/>
                      <w:vertAlign w:val="superscript"/>
                    </w:rPr>
                    <w:t>3</w:t>
                  </w:r>
                </w:p>
              </w:tc>
            </w:tr>
            <w:tr w14:paraId="3919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2" w:type="dxa"/>
                  <w:vAlign w:val="center"/>
                </w:tcPr>
                <w:p w14:paraId="55546E83">
                  <w:pPr>
                    <w:pStyle w:val="50"/>
                    <w:bidi w:val="0"/>
                    <w:jc w:val="center"/>
                    <w:rPr>
                      <w:rFonts w:hint="eastAsia"/>
                      <w:color w:val="auto"/>
                      <w:u w:val="single"/>
                      <w:lang w:val="en-US" w:eastAsia="zh-CN"/>
                    </w:rPr>
                  </w:pPr>
                  <w:r>
                    <w:rPr>
                      <w:rFonts w:hint="eastAsia"/>
                      <w:color w:val="auto"/>
                      <w:u w:val="single"/>
                    </w:rPr>
                    <w:t>管沟</w:t>
                  </w:r>
                  <w:r>
                    <w:rPr>
                      <w:rFonts w:hint="eastAsia"/>
                      <w:color w:val="auto"/>
                      <w:u w:val="single"/>
                      <w:lang w:val="en-US" w:eastAsia="zh-CN"/>
                    </w:rPr>
                    <w:t>挖方</w:t>
                  </w:r>
                </w:p>
              </w:tc>
              <w:tc>
                <w:tcPr>
                  <w:tcW w:w="1632" w:type="dxa"/>
                  <w:vAlign w:val="center"/>
                </w:tcPr>
                <w:p w14:paraId="46D39762">
                  <w:pPr>
                    <w:pStyle w:val="50"/>
                    <w:bidi w:val="0"/>
                    <w:jc w:val="center"/>
                    <w:rPr>
                      <w:rFonts w:hint="default"/>
                      <w:color w:val="auto"/>
                      <w:u w:val="single"/>
                      <w:lang w:val="en-US" w:eastAsia="zh-CN"/>
                    </w:rPr>
                  </w:pPr>
                  <w:r>
                    <w:rPr>
                      <w:rFonts w:hint="eastAsia"/>
                      <w:color w:val="auto"/>
                      <w:u w:val="single"/>
                      <w:lang w:val="en-US" w:eastAsia="zh-CN"/>
                    </w:rPr>
                    <w:t>管廊基础挖方</w:t>
                  </w:r>
                </w:p>
              </w:tc>
              <w:tc>
                <w:tcPr>
                  <w:tcW w:w="1632" w:type="dxa"/>
                  <w:vAlign w:val="center"/>
                </w:tcPr>
                <w:p w14:paraId="513EAA95">
                  <w:pPr>
                    <w:pStyle w:val="50"/>
                    <w:bidi w:val="0"/>
                    <w:jc w:val="center"/>
                    <w:rPr>
                      <w:rFonts w:hint="default"/>
                      <w:color w:val="auto"/>
                      <w:u w:val="single"/>
                      <w:lang w:val="en-US" w:eastAsia="zh-CN"/>
                    </w:rPr>
                  </w:pPr>
                  <w:r>
                    <w:rPr>
                      <w:rFonts w:hint="eastAsia"/>
                      <w:color w:val="auto"/>
                      <w:u w:val="single"/>
                      <w:lang w:val="en-US" w:eastAsia="zh-CN"/>
                    </w:rPr>
                    <w:t>回填土</w:t>
                  </w:r>
                </w:p>
              </w:tc>
              <w:tc>
                <w:tcPr>
                  <w:tcW w:w="1633" w:type="dxa"/>
                  <w:vAlign w:val="center"/>
                </w:tcPr>
                <w:p w14:paraId="37473B47">
                  <w:pPr>
                    <w:pStyle w:val="50"/>
                    <w:bidi w:val="0"/>
                    <w:jc w:val="center"/>
                    <w:rPr>
                      <w:rFonts w:hint="default"/>
                      <w:color w:val="auto"/>
                      <w:u w:val="single"/>
                      <w:lang w:val="en-US" w:eastAsia="zh-CN"/>
                    </w:rPr>
                  </w:pPr>
                  <w:r>
                    <w:rPr>
                      <w:rFonts w:hint="eastAsia"/>
                      <w:color w:val="auto"/>
                      <w:u w:val="single"/>
                      <w:lang w:val="en-US" w:eastAsia="zh-CN"/>
                    </w:rPr>
                    <w:t>场地整平</w:t>
                  </w:r>
                </w:p>
              </w:tc>
              <w:tc>
                <w:tcPr>
                  <w:tcW w:w="1633" w:type="dxa"/>
                  <w:vMerge w:val="continue"/>
                  <w:vAlign w:val="center"/>
                </w:tcPr>
                <w:p w14:paraId="3FB2CE77">
                  <w:pPr>
                    <w:pStyle w:val="50"/>
                    <w:bidi w:val="0"/>
                    <w:jc w:val="center"/>
                    <w:rPr>
                      <w:rFonts w:hint="default"/>
                      <w:color w:val="auto"/>
                      <w:u w:val="single"/>
                      <w:lang w:val="en-US" w:eastAsia="zh-CN"/>
                    </w:rPr>
                  </w:pPr>
                </w:p>
              </w:tc>
            </w:tr>
            <w:tr w14:paraId="63B8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2" w:type="dxa"/>
                  <w:vAlign w:val="center"/>
                </w:tcPr>
                <w:p w14:paraId="57573757">
                  <w:pPr>
                    <w:pStyle w:val="50"/>
                    <w:bidi w:val="0"/>
                    <w:jc w:val="center"/>
                    <w:rPr>
                      <w:rFonts w:hint="default"/>
                      <w:color w:val="auto"/>
                      <w:u w:val="single"/>
                      <w:lang w:val="en-US" w:eastAsia="zh-CN"/>
                    </w:rPr>
                  </w:pPr>
                  <w:r>
                    <w:rPr>
                      <w:rFonts w:hint="eastAsia"/>
                      <w:color w:val="auto"/>
                      <w:u w:val="single"/>
                      <w:lang w:val="en-US" w:eastAsia="zh-CN"/>
                    </w:rPr>
                    <w:t>110</w:t>
                  </w:r>
                </w:p>
              </w:tc>
              <w:tc>
                <w:tcPr>
                  <w:tcW w:w="1632" w:type="dxa"/>
                  <w:vAlign w:val="center"/>
                </w:tcPr>
                <w:p w14:paraId="3BC81E6F">
                  <w:pPr>
                    <w:pStyle w:val="50"/>
                    <w:bidi w:val="0"/>
                    <w:jc w:val="center"/>
                    <w:rPr>
                      <w:rFonts w:hint="default"/>
                      <w:color w:val="auto"/>
                      <w:u w:val="single"/>
                      <w:lang w:val="en-US" w:eastAsia="zh-CN"/>
                    </w:rPr>
                  </w:pPr>
                  <w:r>
                    <w:rPr>
                      <w:rFonts w:hint="eastAsia"/>
                      <w:color w:val="auto"/>
                      <w:u w:val="single"/>
                      <w:lang w:val="en-US" w:eastAsia="zh-CN"/>
                    </w:rPr>
                    <w:t>468</w:t>
                  </w:r>
                </w:p>
              </w:tc>
              <w:tc>
                <w:tcPr>
                  <w:tcW w:w="1632" w:type="dxa"/>
                  <w:vAlign w:val="center"/>
                </w:tcPr>
                <w:p w14:paraId="1FCD7220">
                  <w:pPr>
                    <w:pStyle w:val="50"/>
                    <w:bidi w:val="0"/>
                    <w:jc w:val="center"/>
                    <w:rPr>
                      <w:rFonts w:hint="default"/>
                      <w:color w:val="auto"/>
                      <w:u w:val="single"/>
                      <w:lang w:val="en-US" w:eastAsia="zh-CN"/>
                    </w:rPr>
                  </w:pPr>
                  <w:r>
                    <w:rPr>
                      <w:rFonts w:hint="eastAsia"/>
                      <w:color w:val="auto"/>
                      <w:u w:val="single"/>
                      <w:lang w:val="en-US" w:eastAsia="zh-CN"/>
                    </w:rPr>
                    <w:t>280.2</w:t>
                  </w:r>
                </w:p>
              </w:tc>
              <w:tc>
                <w:tcPr>
                  <w:tcW w:w="1633" w:type="dxa"/>
                  <w:vAlign w:val="center"/>
                </w:tcPr>
                <w:p w14:paraId="14A247A2">
                  <w:pPr>
                    <w:pStyle w:val="50"/>
                    <w:bidi w:val="0"/>
                    <w:jc w:val="center"/>
                    <w:rPr>
                      <w:rFonts w:hint="default"/>
                      <w:color w:val="auto"/>
                      <w:u w:val="single"/>
                      <w:lang w:val="en-US" w:eastAsia="zh-CN"/>
                    </w:rPr>
                  </w:pPr>
                  <w:r>
                    <w:rPr>
                      <w:rFonts w:hint="eastAsia"/>
                      <w:color w:val="auto"/>
                      <w:u w:val="single"/>
                      <w:lang w:val="en-US" w:eastAsia="zh-CN"/>
                    </w:rPr>
                    <w:t>297.8</w:t>
                  </w:r>
                </w:p>
              </w:tc>
              <w:tc>
                <w:tcPr>
                  <w:tcW w:w="1633" w:type="dxa"/>
                  <w:vAlign w:val="center"/>
                </w:tcPr>
                <w:p w14:paraId="200D62CE">
                  <w:pPr>
                    <w:pStyle w:val="50"/>
                    <w:bidi w:val="0"/>
                    <w:jc w:val="center"/>
                    <w:rPr>
                      <w:rFonts w:hint="default"/>
                      <w:color w:val="auto"/>
                      <w:u w:val="single"/>
                      <w:lang w:val="en-US" w:eastAsia="zh-CN"/>
                    </w:rPr>
                  </w:pPr>
                  <w:r>
                    <w:rPr>
                      <w:rFonts w:hint="eastAsia"/>
                      <w:color w:val="auto"/>
                      <w:u w:val="single"/>
                      <w:lang w:val="en-US" w:eastAsia="zh-CN"/>
                    </w:rPr>
                    <w:t>0</w:t>
                  </w:r>
                </w:p>
              </w:tc>
            </w:tr>
            <w:tr w14:paraId="6C70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64" w:type="dxa"/>
                  <w:gridSpan w:val="2"/>
                  <w:vAlign w:val="center"/>
                </w:tcPr>
                <w:p w14:paraId="0F3B6D17">
                  <w:pPr>
                    <w:pStyle w:val="50"/>
                    <w:bidi w:val="0"/>
                    <w:jc w:val="center"/>
                    <w:rPr>
                      <w:rFonts w:hint="default"/>
                      <w:color w:val="auto"/>
                      <w:u w:val="single"/>
                      <w:lang w:val="en-US" w:eastAsia="zh-CN"/>
                    </w:rPr>
                  </w:pPr>
                  <w:r>
                    <w:rPr>
                      <w:rFonts w:hint="eastAsia"/>
                      <w:color w:val="auto"/>
                      <w:u w:val="single"/>
                      <w:lang w:val="en-US" w:eastAsia="zh-CN"/>
                    </w:rPr>
                    <w:t>578</w:t>
                  </w:r>
                </w:p>
              </w:tc>
              <w:tc>
                <w:tcPr>
                  <w:tcW w:w="3265" w:type="dxa"/>
                  <w:gridSpan w:val="2"/>
                  <w:vAlign w:val="center"/>
                </w:tcPr>
                <w:p w14:paraId="54EE567D">
                  <w:pPr>
                    <w:pStyle w:val="50"/>
                    <w:bidi w:val="0"/>
                    <w:jc w:val="center"/>
                    <w:rPr>
                      <w:rFonts w:hint="default"/>
                      <w:color w:val="auto"/>
                      <w:u w:val="single"/>
                      <w:lang w:val="en-US" w:eastAsia="zh-CN"/>
                    </w:rPr>
                  </w:pPr>
                  <w:r>
                    <w:rPr>
                      <w:rFonts w:hint="eastAsia"/>
                      <w:color w:val="auto"/>
                      <w:u w:val="single"/>
                      <w:lang w:val="en-US" w:eastAsia="zh-CN"/>
                    </w:rPr>
                    <w:t>578</w:t>
                  </w:r>
                </w:p>
              </w:tc>
              <w:tc>
                <w:tcPr>
                  <w:tcW w:w="1633" w:type="dxa"/>
                  <w:vAlign w:val="center"/>
                </w:tcPr>
                <w:p w14:paraId="3BE7047C">
                  <w:pPr>
                    <w:pStyle w:val="50"/>
                    <w:bidi w:val="0"/>
                    <w:jc w:val="center"/>
                    <w:rPr>
                      <w:rFonts w:hint="default"/>
                      <w:color w:val="auto"/>
                      <w:u w:val="single"/>
                      <w:lang w:val="en-US" w:eastAsia="zh-CN"/>
                    </w:rPr>
                  </w:pPr>
                  <w:r>
                    <w:rPr>
                      <w:rFonts w:hint="eastAsia"/>
                      <w:color w:val="auto"/>
                      <w:u w:val="single"/>
                      <w:lang w:val="en-US" w:eastAsia="zh-CN"/>
                    </w:rPr>
                    <w:t>0</w:t>
                  </w:r>
                </w:p>
              </w:tc>
            </w:tr>
          </w:tbl>
          <w:p w14:paraId="19EFC135">
            <w:pPr>
              <w:pStyle w:val="16"/>
              <w:rPr>
                <w:rFonts w:hint="default"/>
                <w:color w:val="auto"/>
                <w:lang w:val="en-US" w:eastAsia="zh-CN"/>
              </w:rPr>
            </w:pPr>
          </w:p>
          <w:p w14:paraId="0409F3F1">
            <w:pPr>
              <w:keepNext w:val="0"/>
              <w:keepLines w:val="0"/>
              <w:pageBreakBefore w:val="0"/>
              <w:kinsoku/>
              <w:wordWrap/>
              <w:overflowPunct/>
              <w:autoSpaceDE w:val="0"/>
              <w:autoSpaceDN w:val="0"/>
              <w:bidi w:val="0"/>
              <w:adjustRightInd w:val="0"/>
              <w:snapToGrid/>
              <w:spacing w:after="0" w:line="360" w:lineRule="auto"/>
              <w:ind w:firstLine="482" w:firstLineChars="200"/>
              <w:jc w:val="left"/>
              <w:textAlignment w:val="auto"/>
              <w:rPr>
                <w:b/>
                <w:color w:val="auto"/>
                <w:sz w:val="24"/>
              </w:rPr>
            </w:pPr>
          </w:p>
        </w:tc>
      </w:tr>
      <w:tr w14:paraId="7D19C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00" w:hRule="atLeast"/>
        </w:trPr>
        <w:tc>
          <w:tcPr>
            <w:tcW w:w="908" w:type="dxa"/>
            <w:vAlign w:val="center"/>
          </w:tcPr>
          <w:p w14:paraId="7E97F0D1">
            <w:pPr>
              <w:pStyle w:val="17"/>
              <w:adjustRightInd w:val="0"/>
              <w:snapToGrid w:val="0"/>
              <w:jc w:val="center"/>
              <w:rPr>
                <w:rFonts w:ascii="Times New Roman" w:hAnsi="Times New Roman"/>
                <w:b/>
                <w:color w:val="auto"/>
                <w:szCs w:val="21"/>
              </w:rPr>
            </w:pPr>
            <w:r>
              <w:rPr>
                <w:rFonts w:ascii="Times New Roman" w:hAnsi="Times New Roman"/>
                <w:b/>
                <w:color w:val="auto"/>
                <w:szCs w:val="21"/>
              </w:rPr>
              <w:t>施工方案</w:t>
            </w:r>
          </w:p>
        </w:tc>
        <w:tc>
          <w:tcPr>
            <w:tcW w:w="8378" w:type="dxa"/>
          </w:tcPr>
          <w:p w14:paraId="30DFA3BB">
            <w:pPr>
              <w:widowControl/>
              <w:topLinePunct/>
              <w:spacing w:line="360" w:lineRule="auto"/>
              <w:ind w:firstLine="586" w:firstLineChars="200"/>
              <w:rPr>
                <w:b/>
                <w:color w:val="auto"/>
                <w:spacing w:val="6"/>
                <w:kern w:val="0"/>
                <w:sz w:val="28"/>
                <w:szCs w:val="28"/>
              </w:rPr>
            </w:pPr>
            <w:r>
              <w:rPr>
                <w:b/>
                <w:color w:val="auto"/>
                <w:spacing w:val="6"/>
                <w:kern w:val="0"/>
                <w:sz w:val="28"/>
                <w:szCs w:val="28"/>
              </w:rPr>
              <w:t>2.</w:t>
            </w:r>
            <w:r>
              <w:rPr>
                <w:rFonts w:hint="eastAsia"/>
                <w:b/>
                <w:color w:val="auto"/>
                <w:spacing w:val="6"/>
                <w:kern w:val="0"/>
                <w:sz w:val="28"/>
                <w:szCs w:val="28"/>
                <w:lang w:val="en-US" w:eastAsia="zh-CN"/>
              </w:rPr>
              <w:t>10</w:t>
            </w:r>
            <w:r>
              <w:rPr>
                <w:b/>
                <w:color w:val="auto"/>
                <w:spacing w:val="6"/>
                <w:kern w:val="0"/>
                <w:sz w:val="28"/>
                <w:szCs w:val="28"/>
              </w:rPr>
              <w:t>施工期生产工艺流程</w:t>
            </w:r>
          </w:p>
          <w:p w14:paraId="67BC018A">
            <w:pPr>
              <w:pStyle w:val="2"/>
              <w:rPr>
                <w:color w:val="auto"/>
                <w:sz w:val="24"/>
                <w:szCs w:val="24"/>
              </w:rPr>
            </w:pPr>
            <w:r>
              <w:rPr>
                <w:rFonts w:hint="eastAsia"/>
                <w:color w:val="auto"/>
                <w:sz w:val="24"/>
                <w:szCs w:val="24"/>
                <w:u w:val="single"/>
                <w:lang w:val="en-US" w:eastAsia="zh-CN"/>
              </w:rPr>
              <w:t>项目施工顺序为先新建迁建的管廊和管道，试压合格后泰兴石化生产线停止生产，清空原有管道内的物料，再对新管道与泰兴石化厂区和火炬区现有管道进行焊接连接作业，完成后再恢复泰兴石化厂区生产，最后拆除旧管廊和管道。</w:t>
            </w:r>
            <w:r>
              <w:rPr>
                <w:rFonts w:hint="eastAsia"/>
                <w:color w:val="auto"/>
                <w:sz w:val="24"/>
                <w:szCs w:val="24"/>
              </w:rPr>
              <w:t>项目</w:t>
            </w:r>
            <w:r>
              <w:rPr>
                <w:rFonts w:hint="eastAsia"/>
                <w:color w:val="auto"/>
                <w:sz w:val="24"/>
                <w:szCs w:val="24"/>
                <w:lang w:val="en-US" w:eastAsia="zh-CN"/>
              </w:rPr>
              <w:t>总体</w:t>
            </w:r>
            <w:r>
              <w:rPr>
                <w:rFonts w:hint="eastAsia"/>
                <w:color w:val="auto"/>
                <w:sz w:val="24"/>
                <w:szCs w:val="24"/>
              </w:rPr>
              <w:t>施工过程如下图所示。</w:t>
            </w:r>
          </w:p>
          <w:p w14:paraId="4F81E0AE">
            <w:pPr>
              <w:autoSpaceDE w:val="0"/>
              <w:autoSpaceDN w:val="0"/>
              <w:adjustRightInd w:val="0"/>
              <w:spacing w:line="360" w:lineRule="auto"/>
              <w:jc w:val="left"/>
              <w:rPr>
                <w:color w:val="auto"/>
              </w:rPr>
            </w:pPr>
            <w:r>
              <w:rPr>
                <w:color w:val="auto"/>
              </w:rPr>
              <mc:AlternateContent>
                <mc:Choice Requires="wpc">
                  <w:drawing>
                    <wp:inline distT="0" distB="0" distL="114300" distR="114300">
                      <wp:extent cx="5398770" cy="4091940"/>
                      <wp:effectExtent l="0" t="0" r="0" b="0"/>
                      <wp:docPr id="11" name="画布 11"/>
                      <wp:cNvGraphicFramePr/>
                      <a:graphic xmlns:a="http://schemas.openxmlformats.org/drawingml/2006/main">
                        <a:graphicData uri="http://schemas.microsoft.com/office/word/2010/wordprocessingCanvas">
                          <wpc:wpc>
                            <wpc:bg/>
                            <wpc:whole/>
                            <wps:wsp>
                              <wps:cNvPr id="22" name="矩形 14"/>
                              <wps:cNvSpPr/>
                              <wps:spPr>
                                <a:xfrm>
                                  <a:off x="166370" y="1083945"/>
                                  <a:ext cx="779145" cy="3638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1F82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土建工程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15"/>
                              <wps:cNvCnPr/>
                              <wps:spPr>
                                <a:xfrm>
                                  <a:off x="945515" y="1266190"/>
                                  <a:ext cx="33845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矩形 16"/>
                              <wps:cNvSpPr/>
                              <wps:spPr>
                                <a:xfrm>
                                  <a:off x="1279525" y="1097280"/>
                                  <a:ext cx="899795" cy="4591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9EC3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管廊结构吊装、焊接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直接箭头连接符 17"/>
                              <wps:cNvCnPr/>
                              <wps:spPr>
                                <a:xfrm>
                                  <a:off x="2179955" y="1270635"/>
                                  <a:ext cx="33845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矩形 18"/>
                              <wps:cNvSpPr/>
                              <wps:spPr>
                                <a:xfrm>
                                  <a:off x="2508885" y="1115060"/>
                                  <a:ext cx="1064260" cy="3638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ADD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管道吊装、焊接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直接箭头连接符 19"/>
                              <wps:cNvCnPr/>
                              <wps:spPr>
                                <a:xfrm>
                                  <a:off x="3573780" y="1304925"/>
                                  <a:ext cx="33845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矩形 20"/>
                              <wps:cNvSpPr/>
                              <wps:spPr>
                                <a:xfrm>
                                  <a:off x="3902710" y="1149350"/>
                                  <a:ext cx="1064260" cy="3638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9B41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管道试压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直接箭头连接符 21"/>
                              <wps:cNvCnPr/>
                              <wps:spPr>
                                <a:xfrm>
                                  <a:off x="4434840" y="1513205"/>
                                  <a:ext cx="2540" cy="56705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矩形 20"/>
                              <wps:cNvSpPr/>
                              <wps:spPr>
                                <a:xfrm>
                                  <a:off x="3937635" y="2084705"/>
                                  <a:ext cx="1064260" cy="3638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9727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管道吹扫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直接箭头连接符 19"/>
                              <wps:cNvCnPr/>
                              <wps:spPr>
                                <a:xfrm flipH="1" flipV="1">
                                  <a:off x="3614420" y="2257425"/>
                                  <a:ext cx="320675"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矩形 20"/>
                              <wps:cNvSpPr/>
                              <wps:spPr>
                                <a:xfrm>
                                  <a:off x="2569845" y="2017395"/>
                                  <a:ext cx="1064260" cy="5092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000D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管廊、管道焊接处防腐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直接箭头连接符 19"/>
                              <wps:cNvCnPr>
                                <a:endCxn id="46" idx="3"/>
                              </wps:cNvCnPr>
                              <wps:spPr>
                                <a:xfrm flipH="1">
                                  <a:off x="2265680" y="2275205"/>
                                  <a:ext cx="303530" cy="889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矩形 20"/>
                              <wps:cNvSpPr/>
                              <wps:spPr>
                                <a:xfrm>
                                  <a:off x="1391920" y="2101850"/>
                                  <a:ext cx="873760" cy="3638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57A3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围墙施工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直接箭头连接符 47"/>
                              <wps:cNvCnPr>
                                <a:stCxn id="22" idx="0"/>
                              </wps:cNvCnPr>
                              <wps:spPr>
                                <a:xfrm flipV="1">
                                  <a:off x="556260" y="737870"/>
                                  <a:ext cx="1905" cy="346075"/>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8" name="文本框 48"/>
                              <wps:cNvSpPr txBox="1"/>
                              <wps:spPr>
                                <a:xfrm>
                                  <a:off x="98425" y="417195"/>
                                  <a:ext cx="883285" cy="320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9F69F">
                                    <w:r>
                                      <w:rPr>
                                        <w:rFonts w:hint="eastAsia"/>
                                      </w:rPr>
                                      <w:t>扬尘、噪声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直接箭头连接符 49"/>
                              <wps:cNvCnPr/>
                              <wps:spPr>
                                <a:xfrm flipV="1">
                                  <a:off x="1728470" y="760095"/>
                                  <a:ext cx="1905" cy="346075"/>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0" name="文本框 50"/>
                              <wps:cNvSpPr txBox="1"/>
                              <wps:spPr>
                                <a:xfrm>
                                  <a:off x="1270635" y="59055"/>
                                  <a:ext cx="883285"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98270">
                                    <w:pPr>
                                      <w:rPr>
                                        <w:szCs w:val="21"/>
                                      </w:rPr>
                                    </w:pPr>
                                    <w:r>
                                      <w:rPr>
                                        <w:rFonts w:hint="eastAsia"/>
                                        <w:szCs w:val="21"/>
                                      </w:rPr>
                                      <w:t>扬尘、噪声、焊接烟气、废焊条焊渣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直接箭头连接符 51"/>
                              <wps:cNvCnPr/>
                              <wps:spPr>
                                <a:xfrm flipV="1">
                                  <a:off x="3044825" y="777240"/>
                                  <a:ext cx="1905" cy="346075"/>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2" name="文本框 52"/>
                              <wps:cNvSpPr txBox="1"/>
                              <wps:spPr>
                                <a:xfrm>
                                  <a:off x="2586990" y="93345"/>
                                  <a:ext cx="883285" cy="683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ADBA7">
                                    <w:pPr>
                                      <w:rPr>
                                        <w:szCs w:val="21"/>
                                      </w:rPr>
                                    </w:pPr>
                                    <w:r>
                                      <w:rPr>
                                        <w:rFonts w:hint="eastAsia"/>
                                        <w:szCs w:val="21"/>
                                      </w:rPr>
                                      <w:t>扬尘、噪声、焊接烟气、废焊条焊渣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箭头连接符 53"/>
                              <wps:cNvCnPr/>
                              <wps:spPr>
                                <a:xfrm flipV="1">
                                  <a:off x="4421505" y="802640"/>
                                  <a:ext cx="1905" cy="346075"/>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4" name="文本框 54"/>
                              <wps:cNvSpPr txBox="1"/>
                              <wps:spPr>
                                <a:xfrm>
                                  <a:off x="3963670" y="266065"/>
                                  <a:ext cx="883285" cy="536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30BBC">
                                    <w:r>
                                      <w:rPr>
                                        <w:rFonts w:hint="eastAsia"/>
                                      </w:rPr>
                                      <w:t>试压废水、清洗固废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直接箭头连接符 55"/>
                              <wps:cNvCnPr/>
                              <wps:spPr>
                                <a:xfrm flipH="1">
                                  <a:off x="4455160" y="2473960"/>
                                  <a:ext cx="2540" cy="341630"/>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6" name="文本框 56"/>
                              <wps:cNvSpPr txBox="1"/>
                              <wps:spPr>
                                <a:xfrm>
                                  <a:off x="4067810" y="2820670"/>
                                  <a:ext cx="883285" cy="501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B766C">
                                    <w:pPr>
                                      <w:rPr>
                                        <w:color w:val="FF0000"/>
                                      </w:rPr>
                                    </w:pPr>
                                    <w:r>
                                      <w:rPr>
                                        <w:rFonts w:hint="eastAsia"/>
                                      </w:rPr>
                                      <w:t>清管固废、</w:t>
                                    </w:r>
                                    <w:r>
                                      <w:rPr>
                                        <w:rFonts w:hint="eastAsia"/>
                                        <w:color w:val="000000" w:themeColor="text1"/>
                                        <w14:textFill>
                                          <w14:solidFill>
                                            <w14:schemeClr w14:val="tx1"/>
                                          </w14:solidFill>
                                        </w14:textFill>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直接箭头连接符 57"/>
                              <wps:cNvCnPr/>
                              <wps:spPr>
                                <a:xfrm>
                                  <a:off x="3069590" y="2540635"/>
                                  <a:ext cx="0" cy="283845"/>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8" name="文本框 58"/>
                              <wps:cNvSpPr txBox="1"/>
                              <wps:spPr>
                                <a:xfrm>
                                  <a:off x="2682240" y="2829560"/>
                                  <a:ext cx="883285" cy="546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4B6AF">
                                    <w:r>
                                      <w:rPr>
                                        <w:rFonts w:hint="eastAsia"/>
                                      </w:rPr>
                                      <w:t>涂漆废气、废油漆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直接箭头连接符 59"/>
                              <wps:cNvCnPr/>
                              <wps:spPr>
                                <a:xfrm flipH="1">
                                  <a:off x="1772920" y="2474595"/>
                                  <a:ext cx="2540" cy="341630"/>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0" name="文本框 60"/>
                              <wps:cNvSpPr txBox="1"/>
                              <wps:spPr>
                                <a:xfrm>
                                  <a:off x="1115695" y="2794000"/>
                                  <a:ext cx="1289685" cy="570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23E27">
                                    <w:pPr>
                                      <w:rPr>
                                        <w:szCs w:val="21"/>
                                      </w:rPr>
                                    </w:pPr>
                                    <w:r>
                                      <w:rPr>
                                        <w:rFonts w:hint="eastAsia"/>
                                        <w:szCs w:val="21"/>
                                      </w:rPr>
                                      <w:t>扬尘、噪声、焊接烟气、废焊条焊渣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直接箭头连接符 19"/>
                              <wps:cNvCnPr/>
                              <wps:spPr>
                                <a:xfrm flipH="1">
                                  <a:off x="1096645" y="2244090"/>
                                  <a:ext cx="303530" cy="889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矩形 20"/>
                              <wps:cNvSpPr/>
                              <wps:spPr>
                                <a:xfrm>
                                  <a:off x="93345" y="1918335"/>
                                  <a:ext cx="1003300" cy="6496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A2004">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迁改管廊对接、</w:t>
                                    </w:r>
                                    <w:r>
                                      <w:rPr>
                                        <w:rFonts w:hint="eastAsia"/>
                                        <w:color w:val="000000" w:themeColor="text1"/>
                                        <w14:textFill>
                                          <w14:solidFill>
                                            <w14:schemeClr w14:val="tx1"/>
                                          </w14:solidFill>
                                        </w14:textFill>
                                      </w:rPr>
                                      <w:t>旧管廊</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管道拆除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直接箭头连接符 6"/>
                              <wps:cNvCnPr/>
                              <wps:spPr>
                                <a:xfrm flipH="1">
                                  <a:off x="622300" y="2574290"/>
                                  <a:ext cx="2540" cy="341630"/>
                                </a:xfrm>
                                <a:prstGeom prst="straightConnector1">
                                  <a:avLst/>
                                </a:prstGeom>
                                <a:ln w="12700" cmpd="sng">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8" name="文本框 8"/>
                              <wps:cNvSpPr txBox="1"/>
                              <wps:spPr>
                                <a:xfrm>
                                  <a:off x="0" y="2903220"/>
                                  <a:ext cx="1202690" cy="527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1FF65">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噪声、吹扫废气、废管架和管道</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22.2pt;width:425.1pt;" coordsize="5398770,4091940" editas="canvas" o:gfxdata="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">
                      <o:lock v:ext="edit" aspectratio="f"/>
                      <v:shape id="_x0000_s1026" o:spid="_x0000_s1026" style="position:absolute;left:0;top:0;height:4091940;width:5398770;" filled="f" stroked="f" coordsize="21600,21600" o:gfxdata="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CHseln1wAAAAUB&#10;AAAPAAAAAAAAAAEAIAAAACIAAABkcnMvZG93bnJldi54bWxQSwECFAAUAAAACACHTuJA2N82oB8I&#10;AADWTAAADgAAAAAAAAABACAAAAAmAQAAZHJzL2Uyb0RvYy54bWxQSwUGAAAAAAYABgBZAQAAtwsA&#10;AAAA&#10;">
                        <v:fill on="f" focussize="0,0"/>
                        <v:stroke on="f"/>
                        <v:imagedata o:title=""/>
                        <o:lock v:ext="edit" aspectratio="f"/>
                      </v:shape>
                      <v:rect id="矩形 14" o:spid="_x0000_s1026" o:spt="1" style="position:absolute;left:166370;top:1083945;height:363855;width:779145;v-text-anchor:middle;" filled="f" stroked="t" coordsize="21600,21600" o:gfxdata="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APOLXUAAAABQEAAA8AAAAAAAAAAQAgAAAAIgAAAGRycy9kb3ducmV2LnhtbFBL&#10;AQIUABQAAAAIAIdO4kBH9LagbAIAAMoEAAAOAAAAAAAAAAEAIAAAACMBAABkcnMvZTJvRG9jLnht&#10;bFBLBQYAAAAABgAGAFkBAAABBgAAAAA=&#10;">
                        <v:fill on="f" focussize="0,0"/>
                        <v:stroke weight="0.5pt" color="#000000 [3213]" joinstyle="round"/>
                        <v:imagedata o:title=""/>
                        <o:lock v:ext="edit" aspectratio="f"/>
                        <v:textbox>
                          <w:txbxContent>
                            <w:p w14:paraId="4A31F82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土建工程</w:t>
                              </w:r>
                            </w:p>
                          </w:txbxContent>
                        </v:textbox>
                      </v:rect>
                      <v:shape id="直接箭头连接符 15" o:spid="_x0000_s1026" o:spt="32" type="#_x0000_t32" style="position:absolute;left:945515;top:1266190;height:0;width:338455;" filled="f" stroked="t" coordsize="21600,21600" o:gfxdata="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zFf8NUAAAAFAQAADwAAAAAAAAABACAAAAAiAAAAZHJz&#10;L2Rvd25yZXYueG1sUEsBAhQAFAAAAAgAh07iQF8n+9YHAgAA1gMAAA4AAAAAAAAAAQAgAAAAJAEA&#10;AGRycy9lMm9Eb2MueG1sUEsFBgAAAAAGAAYAWQEAAJ0FAAAAAA==&#10;">
                        <v:fill on="f" focussize="0,0"/>
                        <v:stroke weight="0.5pt" color="#000000 [3213]" joinstyle="round" endarrow="block"/>
                        <v:imagedata o:title=""/>
                        <o:lock v:ext="edit" aspectratio="f"/>
                      </v:shape>
                      <v:rect id="矩形 16" o:spid="_x0000_s1026" o:spt="1" style="position:absolute;left:1279525;top:1097280;height:459105;width:899795;v-text-anchor:middle;" filled="f" stroked="t" coordsize="21600,21600" o:gfxdata="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APOLXUAAAABQEAAA8AAAAAAAAAAQAgAAAAIgAAAGRycy9kb3ducmV2Lnht&#10;bFBLAQIUABQAAAAIAIdO4kCDCXRJbwIAAMsEAAAOAAAAAAAAAAEAIAAAACMBAABkcnMvZTJvRG9j&#10;LnhtbFBLBQYAAAAABgAGAFkBAAAEBgAAAAA=&#10;">
                        <v:fill on="f" focussize="0,0"/>
                        <v:stroke weight="0.5pt" color="#000000 [3213]" joinstyle="round"/>
                        <v:imagedata o:title=""/>
                        <o:lock v:ext="edit" aspectratio="f"/>
                        <v:textbox>
                          <w:txbxContent>
                            <w:p w14:paraId="7E39EC3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管廊结构吊装、焊接</w:t>
                              </w:r>
                            </w:p>
                          </w:txbxContent>
                        </v:textbox>
                      </v:rect>
                      <v:shape id="直接箭头连接符 17" o:spid="_x0000_s1026" o:spt="32" type="#_x0000_t32" style="position:absolute;left:2179955;top:1270635;height:0;width:338455;" filled="f" stroked="t" coordsize="21600,21600" o:gfxdata="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MV/w1QAAAAUBAAAPAAAAAAAAAAEAIAAAACIAAABk&#10;cnMvZG93bnJldi54bWxQSwECFAAUAAAACACHTuJAfVkmVAkCAADXAwAADgAAAAAAAAABACAAAAAk&#10;AQAAZHJzL2Uyb0RvYy54bWxQSwUGAAAAAAYABgBZAQAAnwUAAAAA&#10;">
                        <v:fill on="f" focussize="0,0"/>
                        <v:stroke weight="0.5pt" color="#000000 [3213]" joinstyle="round" endarrow="block"/>
                        <v:imagedata o:title=""/>
                        <o:lock v:ext="edit" aspectratio="f"/>
                      </v:shape>
                      <v:rect id="矩形 18" o:spid="_x0000_s1026" o:spt="1" style="position:absolute;left:2508885;top:1115060;height:363855;width:1064260;v-text-anchor:middle;" filled="f" stroked="t" coordsize="21600,21600" o:gfxdata="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ADzi11AAAAAUBAAAPAAAAAAAAAAEAIAAAACIAAABkcnMvZG93bnJldi54&#10;bWxQSwECFAAUAAAACACHTuJAlLTX+nACAADMBAAADgAAAAAAAAABACAAAAAjAQAAZHJzL2Uyb0Rv&#10;Yy54bWxQSwUGAAAAAAYABgBZAQAABQYAAAAA&#10;">
                        <v:fill on="f" focussize="0,0"/>
                        <v:stroke weight="0.5pt" color="#000000 [3213]" joinstyle="round"/>
                        <v:imagedata o:title=""/>
                        <o:lock v:ext="edit" aspectratio="f"/>
                        <v:textbox>
                          <w:txbxContent>
                            <w:p w14:paraId="50DADD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管道吊装、焊接</w:t>
                              </w:r>
                            </w:p>
                          </w:txbxContent>
                        </v:textbox>
                      </v:rect>
                      <v:shape id="直接箭头连接符 19" o:spid="_x0000_s1026" o:spt="32" type="#_x0000_t32" style="position:absolute;left:3573780;top:1304925;height:0;width:338455;" filled="f" stroked="t" coordsize="21600,21600" o:gfxdata="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&#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MV/w1QAAAAUBAAAPAAAAAAAAAAEAIAAAACIAAABk&#10;cnMvZG93bnJldi54bWxQSwECFAAUAAAACACHTuJArRe8YAkCAADXAwAADgAAAAAAAAABACAAAAAk&#10;AQAAZHJzL2Uyb0RvYy54bWxQSwUGAAAAAAYABgBZAQAAnwUAAAAA&#10;">
                        <v:fill on="f" focussize="0,0"/>
                        <v:stroke weight="0.5pt" color="#000000 [3213]" joinstyle="round" endarrow="block"/>
                        <v:imagedata o:title=""/>
                        <o:lock v:ext="edit" aspectratio="f"/>
                      </v:shape>
                      <v:rect id="矩形 20" o:spid="_x0000_s1026" o:spt="1" style="position:absolute;left:3902710;top:1149350;height:363855;width:1064260;v-text-anchor:middle;" filled="f" stroked="t" coordsize="21600,21600" o:gfxdata="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ADzi11AAAAAUBAAAPAAAAAAAAAAEAIAAAACIAAABkcnMvZG93bnJldi54bWxQ&#10;SwECFAAUAAAACACHTuJAAGJ4zG0CAADMBAAADgAAAAAAAAABACAAAAAjAQAAZHJzL2Uyb0RvYy54&#10;bWxQSwUGAAAAAAYABgBZAQAAAgYAAAAA&#10;">
                        <v:fill on="f" focussize="0,0"/>
                        <v:stroke weight="0.5pt" color="#000000 [3213]" joinstyle="round"/>
                        <v:imagedata o:title=""/>
                        <o:lock v:ext="edit" aspectratio="f"/>
                        <v:textbox>
                          <w:txbxContent>
                            <w:p w14:paraId="3729B41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管道试压</w:t>
                              </w:r>
                            </w:p>
                          </w:txbxContent>
                        </v:textbox>
                      </v:rect>
                      <v:shape id="直接箭头连接符 21" o:spid="_x0000_s1026" o:spt="32" type="#_x0000_t32" style="position:absolute;left:4434840;top:1513205;height:567055;width:2540;" filled="f" stroked="t" coordsize="21600,21600" o:gfxdata="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&#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MV/w1QAAAAUBAAAPAAAAAAAAAAEAIAAAACIAAABk&#10;cnMvZG93bnJldi54bWxQSwECFAAUAAAACACHTuJAX0RfjQkCAADaAwAADgAAAAAAAAABACAAAAAk&#10;AQAAZHJzL2Uyb0RvYy54bWxQSwUGAAAAAAYABgBZAQAAnwUAAAAA&#10;">
                        <v:fill on="f" focussize="0,0"/>
                        <v:stroke weight="0.5pt" color="#000000 [3213]" joinstyle="round" endarrow="block"/>
                        <v:imagedata o:title=""/>
                        <o:lock v:ext="edit" aspectratio="f"/>
                      </v:shape>
                      <v:rect id="矩形 20" o:spid="_x0000_s1026" o:spt="1" style="position:absolute;left:3937635;top:2084705;height:363855;width:1064260;v-text-anchor:middle;" filled="f" stroked="t" coordsize="21600,21600" o:gfxdata="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ADzi11AAAAAUBAAAPAAAAAAAAAAEAIAAAACIAAABkcnMvZG93bnJldi54&#10;bWxQSwECFAAUAAAACACHTuJAracD83ACAADMBAAADgAAAAAAAAABACAAAAAjAQAAZHJzL2Uyb0Rv&#10;Yy54bWxQSwUGAAAAAAYABgBZAQAABQYAAAAA&#10;">
                        <v:fill on="f" focussize="0,0"/>
                        <v:stroke weight="0.5pt" color="#000000 [3213]" joinstyle="round"/>
                        <v:imagedata o:title=""/>
                        <o:lock v:ext="edit" aspectratio="f"/>
                        <v:textbox>
                          <w:txbxContent>
                            <w:p w14:paraId="7849727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管道吹扫</w:t>
                              </w:r>
                            </w:p>
                          </w:txbxContent>
                        </v:textbox>
                      </v:rect>
                      <v:shape id="直接箭头连接符 19" o:spid="_x0000_s1026" o:spt="32" type="#_x0000_t32" style="position:absolute;left:3614420;top:2257425;flip:x y;height:6350;width:320675;" filled="f" stroked="t" coordsize="21600,21600" o:gfxdata="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ONR/1QAAAAUBAAAPAAAAAAAA&#10;AAEAIAAAACIAAABkcnMvZG93bnJldi54bWxQSwECFAAUAAAACACHTuJAnERwPxUCAADuAwAADgAA&#10;AAAAAAABACAAAAAkAQAAZHJzL2Uyb0RvYy54bWxQSwUGAAAAAAYABgBZAQAAqwUAAAAA&#10;">
                        <v:fill on="f" focussize="0,0"/>
                        <v:stroke weight="0.5pt" color="#000000 [3213]" joinstyle="round" endarrow="block"/>
                        <v:imagedata o:title=""/>
                        <o:lock v:ext="edit" aspectratio="f"/>
                      </v:shape>
                      <v:rect id="矩形 20" o:spid="_x0000_s1026" o:spt="1" style="position:absolute;left:2569845;top:2017395;height:509270;width:1064260;v-text-anchor:middle;" filled="f" stroked="t" coordsize="21600,21600" o:gfxdata="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A84tdQAAAAFAQAADwAAAAAAAAABACAAAAAiAAAAZHJzL2Rvd25yZXYu&#10;eG1sUEsBAhQAFAAAAAgAh07iQPBK3NdxAgAAzAQAAA4AAAAAAAAAAQAgAAAAIwEAAGRycy9lMm9E&#10;b2MueG1sUEsFBgAAAAAGAAYAWQEAAAYGAAAAAA==&#10;">
                        <v:fill on="f" focussize="0,0"/>
                        <v:stroke weight="0.5pt" color="#000000 [3213]" joinstyle="round"/>
                        <v:imagedata o:title=""/>
                        <o:lock v:ext="edit" aspectratio="f"/>
                        <v:textbox>
                          <w:txbxContent>
                            <w:p w14:paraId="154000D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管廊、管道焊接处防腐</w:t>
                              </w:r>
                            </w:p>
                          </w:txbxContent>
                        </v:textbox>
                      </v:rect>
                      <v:shape id="直接箭头连接符 19" o:spid="_x0000_s1026" o:spt="32" type="#_x0000_t32" style="position:absolute;left:2265680;top:2275205;flip:x;height:8890;width:303530;" filled="f" stroked="t" coordsize="21600,21600" o:gfxdata="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vEAz1AAA&#10;AAUBAAAPAAAAAAAAAAEAIAAAACIAAABkcnMvZG93bnJldi54bWxQSwECFAAUAAAACACHTuJAGgfj&#10;WCICAAAMBAAADgAAAAAAAAABACAAAAAjAQAAZHJzL2Uyb0RvYy54bWxQSwUGAAAAAAYABgBZAQAA&#10;twUAAAAA&#10;">
                        <v:fill on="f" focussize="0,0"/>
                        <v:stroke weight="0.5pt" color="#000000 [3213]" joinstyle="round" endarrow="block"/>
                        <v:imagedata o:title=""/>
                        <o:lock v:ext="edit" aspectratio="f"/>
                      </v:shape>
                      <v:rect id="矩形 20" o:spid="_x0000_s1026" o:spt="1" style="position:absolute;left:1391920;top:2101850;height:363855;width:873760;v-text-anchor:middle;" filled="f" stroked="t" coordsize="21600,21600" o:gfxdata="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ADzi11AAAAAUBAAAPAAAAAAAAAAEAIAAAACIAAABkcnMvZG93bnJldi54bWxQ&#10;SwECFAAUAAAACACHTuJA/+XqK20CAADLBAAADgAAAAAAAAABACAAAAAjAQAAZHJzL2Uyb0RvYy54&#10;bWxQSwUGAAAAAAYABgBZAQAAAgYAAAAA&#10;">
                        <v:fill on="f" focussize="0,0"/>
                        <v:stroke weight="0.5pt" color="#000000 [3213]" joinstyle="round"/>
                        <v:imagedata o:title=""/>
                        <o:lock v:ext="edit" aspectratio="f"/>
                        <v:textbox>
                          <w:txbxContent>
                            <w:p w14:paraId="42757A3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围墙施工</w:t>
                              </w:r>
                            </w:p>
                          </w:txbxContent>
                        </v:textbox>
                      </v:rect>
                      <v:shape id="_x0000_s1026" o:spid="_x0000_s1026" o:spt="32" type="#_x0000_t32" style="position:absolute;left:556260;top:737870;flip:y;height:346075;width:1905;" filled="f" stroked="t" coordsize="21600,21600" o:gfxdata="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4lp0jW&#10;AAAABQEAAA8AAAAAAAAAAQAgAAAAIgAAAGRycy9kb3ducmV2LnhtbFBLAQIUABQAAAAIAIdO4kAW&#10;UO8sIgIAAAsEAAAOAAAAAAAAAAEAIAAAACUBAABkcnMvZTJvRG9jLnhtbFBLBQYAAAAABgAGAFkB&#10;AAC5BQAAAAA=&#10;">
                        <v:fill on="f" focussize="0,0"/>
                        <v:stroke weight="1pt" color="#000000 [3213]" joinstyle="round" dashstyle="1 1" endarrow="block"/>
                        <v:imagedata o:title=""/>
                        <o:lock v:ext="edit" aspectratio="f"/>
                      </v:shape>
                      <v:shape id="_x0000_s1026" o:spid="_x0000_s1026" o:spt="202" type="#_x0000_t202" style="position:absolute;left:98425;top:417195;height:320675;width:883285;" filled="f" stroked="f" coordsize="21600,21600" o:gfxdata="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B8s6dcAAAAFAQAADwAAAAAAAAABACAA&#10;AAAiAAAAZHJzL2Rvd25yZXYueG1sUEsBAhQAFAAAAAgAh07iQDzk+fJHAgAAcAQAAA4AAAAAAAAA&#10;AQAgAAAAJgEAAGRycy9lMm9Eb2MueG1sUEsFBgAAAAAGAAYAWQEAAN8FAAAAAA==&#10;">
                        <v:fill on="f" focussize="0,0"/>
                        <v:stroke on="f" weight="0.5pt"/>
                        <v:imagedata o:title=""/>
                        <o:lock v:ext="edit" aspectratio="f"/>
                        <v:textbox>
                          <w:txbxContent>
                            <w:p w14:paraId="0A59F69F">
                              <w:r>
                                <w:rPr>
                                  <w:rFonts w:hint="eastAsia"/>
                                </w:rPr>
                                <w:t>扬尘、噪声</w:t>
                              </w:r>
                            </w:p>
                          </w:txbxContent>
                        </v:textbox>
                      </v:shape>
                      <v:shape id="_x0000_s1026" o:spid="_x0000_s1026" o:spt="32" type="#_x0000_t32" style="position:absolute;left:1728470;top:760095;flip:y;height:346075;width:1905;" filled="f" stroked="t" coordsize="21600,21600" o:gfxdata="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4lp0jWAAAABQEAAA8AAAAAAAAA&#10;AQAgAAAAIgAAAGRycy9kb3ducmV2LnhtbFBLAQIUABQAAAAIAIdO4kAh6/d7EwIAAOUDAAAOAAAA&#10;AAAAAAEAIAAAACUBAABkcnMvZTJvRG9jLnhtbFBLBQYAAAAABgAGAFkBAACqBQAAAAA=&#10;">
                        <v:fill on="f" focussize="0,0"/>
                        <v:stroke weight="1pt" color="#000000 [3213]" joinstyle="round" dashstyle="1 1" endarrow="block"/>
                        <v:imagedata o:title=""/>
                        <o:lock v:ext="edit" aspectratio="f"/>
                      </v:shape>
                      <v:shape id="_x0000_s1026" o:spid="_x0000_s1026" o:spt="202" type="#_x0000_t202" style="position:absolute;left:1270635;top:59055;height:682625;width:883285;" filled="f" stroked="f" coordsize="21600,21600" o:gfxdata="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B8s6dcAAAAFAQAADwAAAAAAAAABACAAAAAi&#10;AAAAZHJzL2Rvd25yZXYueG1sUEsBAhQAFAAAAAgAh07iQFjwfJZEAgAAcQQAAA4AAAAAAAAAAQAg&#10;AAAAJgEAAGRycy9lMm9Eb2MueG1sUEsFBgAAAAAGAAYAWQEAANwFAAAAAA==&#10;">
                        <v:fill on="f" focussize="0,0"/>
                        <v:stroke on="f" weight="0.5pt"/>
                        <v:imagedata o:title=""/>
                        <o:lock v:ext="edit" aspectratio="f"/>
                        <v:textbox>
                          <w:txbxContent>
                            <w:p w14:paraId="6E498270">
                              <w:pPr>
                                <w:rPr>
                                  <w:szCs w:val="21"/>
                                </w:rPr>
                              </w:pPr>
                              <w:r>
                                <w:rPr>
                                  <w:rFonts w:hint="eastAsia"/>
                                  <w:szCs w:val="21"/>
                                </w:rPr>
                                <w:t>扬尘、噪声、焊接烟气、废焊条焊渣</w:t>
                              </w:r>
                            </w:p>
                          </w:txbxContent>
                        </v:textbox>
                      </v:shape>
                      <v:shape id="_x0000_s1026" o:spid="_x0000_s1026" o:spt="32" type="#_x0000_t32" style="position:absolute;left:3044825;top:777240;flip:y;height:346075;width:1905;" filled="f" stroked="t" coordsize="21600,21600" o:gfxdata="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uJadI1gAAAAUBAAAPAAAAAAAA&#10;AAEAIAAAACIAAABkcnMvZG93bnJldi54bWxQSwECFAAUAAAACACHTuJAP/ZrYxQCAADlAwAADgAA&#10;AAAAAAABACAAAAAlAQAAZHJzL2Uyb0RvYy54bWxQSwUGAAAAAAYABgBZAQAAqwUAAAAA&#10;">
                        <v:fill on="f" focussize="0,0"/>
                        <v:stroke weight="1pt" color="#000000 [3213]" joinstyle="round" dashstyle="1 1" endarrow="block"/>
                        <v:imagedata o:title=""/>
                        <o:lock v:ext="edit" aspectratio="f"/>
                      </v:shape>
                      <v:shape id="_x0000_s1026" o:spid="_x0000_s1026" o:spt="202" type="#_x0000_t202" style="position:absolute;left:2586990;top:93345;height:683895;width:883285;" filled="f" stroked="f" coordsize="21600,21600" o:gfxdata="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B8s6dcAAAAFAQAADwAAAAAAAAABACAA&#10;AAAiAAAAZHJzL2Rvd25yZXYueG1sUEsBAhQAFAAAAAgAh07iQMuxhPxHAgAAcQQAAA4AAAAAAAAA&#10;AQAgAAAAJgEAAGRycy9lMm9Eb2MueG1sUEsFBgAAAAAGAAYAWQEAAN8FAAAAAA==&#10;">
                        <v:fill on="f" focussize="0,0"/>
                        <v:stroke on="f" weight="0.5pt"/>
                        <v:imagedata o:title=""/>
                        <o:lock v:ext="edit" aspectratio="f"/>
                        <v:textbox>
                          <w:txbxContent>
                            <w:p w14:paraId="5C0ADBA7">
                              <w:pPr>
                                <w:rPr>
                                  <w:szCs w:val="21"/>
                                </w:rPr>
                              </w:pPr>
                              <w:r>
                                <w:rPr>
                                  <w:rFonts w:hint="eastAsia"/>
                                  <w:szCs w:val="21"/>
                                </w:rPr>
                                <w:t>扬尘、噪声、焊接烟气、废焊条焊渣</w:t>
                              </w:r>
                            </w:p>
                          </w:txbxContent>
                        </v:textbox>
                      </v:shape>
                      <v:shape id="_x0000_s1026" o:spid="_x0000_s1026" o:spt="32" type="#_x0000_t32" style="position:absolute;left:4421505;top:802640;flip:y;height:346075;width:1905;" filled="f" stroked="t" coordsize="21600,21600" o:gfxdata="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4lp0jWAAAABQEAAA8AAAAAAAAA&#10;AQAgAAAAIgAAAGRycy9kb3ducmV2LnhtbFBLAQIUABQAAAAIAIdO4kDiS6PgEwIAAOUDAAAOAAAA&#10;AAAAAAEAIAAAACUBAABkcnMvZTJvRG9jLnhtbFBLBQYAAAAABgAGAFkBAACqBQAAAAA=&#10;">
                        <v:fill on="f" focussize="0,0"/>
                        <v:stroke weight="1pt" color="#000000 [3213]" joinstyle="round" dashstyle="1 1" endarrow="block"/>
                        <v:imagedata o:title=""/>
                        <o:lock v:ext="edit" aspectratio="f"/>
                      </v:shape>
                      <v:shape id="_x0000_s1026" o:spid="_x0000_s1026" o:spt="202" type="#_x0000_t202" style="position:absolute;left:3963670;top:266065;height:536575;width:883285;" filled="f" stroked="f" coordsize="21600,21600" o:gfxdata="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gHyzp1wAAAAUBAAAPAAAAAAAAAAEA&#10;IAAAACIAAABkcnMvZG93bnJldi54bWxQSwECFAAUAAAACACHTuJAYReMYUkCAAByBAAADgAAAAAA&#10;AAABACAAAAAmAQAAZHJzL2Uyb0RvYy54bWxQSwUGAAAAAAYABgBZAQAA4QUAAAAA&#10;">
                        <v:fill on="f" focussize="0,0"/>
                        <v:stroke on="f" weight="0.5pt"/>
                        <v:imagedata o:title=""/>
                        <o:lock v:ext="edit" aspectratio="f"/>
                        <v:textbox>
                          <w:txbxContent>
                            <w:p w14:paraId="3D330BBC">
                              <w:r>
                                <w:rPr>
                                  <w:rFonts w:hint="eastAsia"/>
                                </w:rPr>
                                <w:t>试压废水、清洗固废</w:t>
                              </w:r>
                            </w:p>
                          </w:txbxContent>
                        </v:textbox>
                      </v:shape>
                      <v:shape id="_x0000_s1026" o:spid="_x0000_s1026" o:spt="32" type="#_x0000_t32" style="position:absolute;left:4455160;top:2473960;flip:x;height:341630;width:2540;" filled="f" stroked="t" coordsize="21600,21600" o:gfxdata="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iWnSNYAAAAFAQAADwAAAAAAAAAB&#10;ACAAAAAiAAAAZHJzL2Rvd25yZXYueG1sUEsBAhQAFAAAAAgAh07iQOErhOESAgAA5gMAAA4AAAAA&#10;AAAAAQAgAAAAJQEAAGRycy9lMm9Eb2MueG1sUEsFBgAAAAAGAAYAWQEAAKkFAAAAAA==&#10;">
                        <v:fill on="f" focussize="0,0"/>
                        <v:stroke weight="1pt" color="#000000 [3213]" joinstyle="round" dashstyle="1 1" endarrow="block"/>
                        <v:imagedata o:title=""/>
                        <o:lock v:ext="edit" aspectratio="f"/>
                      </v:shape>
                      <v:shape id="_x0000_s1026" o:spid="_x0000_s1026" o:spt="202" type="#_x0000_t202" style="position:absolute;left:4067810;top:2820670;height:501650;width:883285;" filled="f" stroked="f" coordsize="21600,21600" o:gfxdata="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gHyzp1wAAAAUBAAAPAAAAAAAAAAEAIAAA&#10;ACIAAABkcnMvZG93bnJldi54bWxQSwECFAAUAAAACACHTuJAWM+n70YCAABzBAAADgAAAAAAAAAB&#10;ACAAAAAmAQAAZHJzL2Uyb0RvYy54bWxQSwUGAAAAAAYABgBZAQAA3gUAAAAA&#10;">
                        <v:fill on="f" focussize="0,0"/>
                        <v:stroke on="f" weight="0.5pt"/>
                        <v:imagedata o:title=""/>
                        <o:lock v:ext="edit" aspectratio="f"/>
                        <v:textbox>
                          <w:txbxContent>
                            <w:p w14:paraId="6E4B766C">
                              <w:pPr>
                                <w:rPr>
                                  <w:color w:val="FF0000"/>
                                </w:rPr>
                              </w:pPr>
                              <w:r>
                                <w:rPr>
                                  <w:rFonts w:hint="eastAsia"/>
                                </w:rPr>
                                <w:t>清管固废、</w:t>
                              </w:r>
                              <w:r>
                                <w:rPr>
                                  <w:rFonts w:hint="eastAsia"/>
                                  <w:color w:val="000000" w:themeColor="text1"/>
                                  <w14:textFill>
                                    <w14:solidFill>
                                      <w14:schemeClr w14:val="tx1"/>
                                    </w14:solidFill>
                                  </w14:textFill>
                                </w:rPr>
                                <w:t>废气</w:t>
                              </w:r>
                            </w:p>
                          </w:txbxContent>
                        </v:textbox>
                      </v:shape>
                      <v:shape id="_x0000_s1026" o:spid="_x0000_s1026" o:spt="32" type="#_x0000_t32" style="position:absolute;left:3069590;top:2540635;height:283845;width:0;" filled="f" stroked="t" coordsize="21600,21600" o:gfxdata="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AInv7VAAAABQEAAA8AAAAAAAAAAQAgAAAAIgAA&#10;AGRycy9kb3ducmV2LnhtbFBLAQIUABQAAAAIAIdO4kACoAyBCwIAANkDAAAOAAAAAAAAAAEAIAAA&#10;ACQBAABkcnMvZTJvRG9jLnhtbFBLBQYAAAAABgAGAFkBAAChBQAAAAA=&#10;">
                        <v:fill on="f" focussize="0,0"/>
                        <v:stroke weight="1pt" color="#000000 [3213]" joinstyle="round" dashstyle="1 1" endarrow="block"/>
                        <v:imagedata o:title=""/>
                        <o:lock v:ext="edit" aspectratio="f"/>
                      </v:shape>
                      <v:shape id="_x0000_s1026" o:spid="_x0000_s1026" o:spt="202" type="#_x0000_t202" style="position:absolute;left:2682240;top:2829560;height:546100;width:883285;" filled="f" stroked="f" coordsize="21600,21600" o:gfxdata="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AfLOnXAAAABQEAAA8AAAAAAAAAAQAg&#10;AAAAIgAAAGRycy9kb3ducmV2LnhtbFBLAQIUABQAAAAIAIdO4kBfgu+/SAIAAHMEAAAOAAAAAAAA&#10;AAEAIAAAACYBAABkcnMvZTJvRG9jLnhtbFBLBQYAAAAABgAGAFkBAADgBQAAAAA=&#10;">
                        <v:fill on="f" focussize="0,0"/>
                        <v:stroke on="f" weight="0.5pt"/>
                        <v:imagedata o:title=""/>
                        <o:lock v:ext="edit" aspectratio="f"/>
                        <v:textbox>
                          <w:txbxContent>
                            <w:p w14:paraId="3954B6AF">
                              <w:r>
                                <w:rPr>
                                  <w:rFonts w:hint="eastAsia"/>
                                </w:rPr>
                                <w:t>涂漆废气、废油漆</w:t>
                              </w:r>
                            </w:p>
                          </w:txbxContent>
                        </v:textbox>
                      </v:shape>
                      <v:shape id="_x0000_s1026" o:spid="_x0000_s1026" o:spt="32" type="#_x0000_t32" style="position:absolute;left:1772920;top:2474595;flip:x;height:341630;width:2540;" filled="f" stroked="t" coordsize="21600,21600" o:gfxdata="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iWnSNYAAAAFAQAADwAAAAAA&#10;AAABACAAAAAiAAAAZHJzL2Rvd25yZXYueG1sUEsBAhQAFAAAAAgAh07iQKDjOmcVAgAA5gMAAA4A&#10;AAAAAAAAAQAgAAAAJQEAAGRycy9lMm9Eb2MueG1sUEsFBgAAAAAGAAYAWQEAAKwFAAAAAA==&#10;">
                        <v:fill on="f" focussize="0,0"/>
                        <v:stroke weight="1pt" color="#000000 [3213]" joinstyle="round" dashstyle="1 1" endarrow="block"/>
                        <v:imagedata o:title=""/>
                        <o:lock v:ext="edit" aspectratio="f"/>
                      </v:shape>
                      <v:shape id="_x0000_s1026" o:spid="_x0000_s1026" o:spt="202" type="#_x0000_t202" style="position:absolute;left:1115695;top:2794000;height:570230;width:1289685;" filled="f" stroked="f" coordsize="21600,21600" o:gfxdata="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AfLOnXAAAABQEAAA8AAAAAAAAAAQAg&#10;AAAAIgAAAGRycy9kb3ducmV2LnhtbFBLAQIUABQAAAAIAIdO4kCYaRugSAIAAHQEAAAOAAAAAAAA&#10;AAEAIAAAACYBAABkcnMvZTJvRG9jLnhtbFBLBQYAAAAABgAGAFkBAADgBQAAAAA=&#10;">
                        <v:fill on="f" focussize="0,0"/>
                        <v:stroke on="f" weight="0.5pt"/>
                        <v:imagedata o:title=""/>
                        <o:lock v:ext="edit" aspectratio="f"/>
                        <v:textbox>
                          <w:txbxContent>
                            <w:p w14:paraId="73623E27">
                              <w:pPr>
                                <w:rPr>
                                  <w:szCs w:val="21"/>
                                </w:rPr>
                              </w:pPr>
                              <w:r>
                                <w:rPr>
                                  <w:rFonts w:hint="eastAsia"/>
                                  <w:szCs w:val="21"/>
                                </w:rPr>
                                <w:t>扬尘、噪声、焊接烟气、废焊条焊渣</w:t>
                              </w:r>
                            </w:p>
                          </w:txbxContent>
                        </v:textbox>
                      </v:shape>
                      <v:shape id="直接箭头连接符 19" o:spid="_x0000_s1026" o:spt="32" type="#_x0000_t32" style="position:absolute;left:1096645;top:2244090;flip:x;height:8890;width:303530;" filled="f" stroked="t" coordsize="21600,21600" o:gfxdata="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vEAz1AAAAAUBAAAPAAAAAAAAAAEAIAAA&#10;ACIAAABkcnMvZG93bnJldi54bWxQSwECFAAUAAAACACHTuJA24gebhACAADkAwAADgAAAAAAAAAB&#10;ACAAAAAjAQAAZHJzL2Uyb0RvYy54bWxQSwUGAAAAAAYABgBZAQAApQUAAAAA&#10;">
                        <v:fill on="f" focussize="0,0"/>
                        <v:stroke weight="0.5pt" color="#000000 [3213]" joinstyle="round" endarrow="block"/>
                        <v:imagedata o:title=""/>
                        <o:lock v:ext="edit" aspectratio="f"/>
                      </v:shape>
                      <v:rect id="矩形 20" o:spid="_x0000_s1026" o:spt="1" style="position:absolute;left:93345;top:1918335;height:649605;width:1003300;v-text-anchor:middle;" filled="f" stroked="t" coordsize="21600,21600" o:gfxdata="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A84tdQAAAAFAQAADwAAAAAAAAABACAAAAAiAAAAZHJzL2Rvd25yZXYueG1s&#10;UEsBAhQAFAAAAAgAh07iQNveR+tuAgAAygQAAA4AAAAAAAAAAQAgAAAAIwEAAGRycy9lMm9Eb2Mu&#10;eG1sUEsFBgAAAAAGAAYAWQEAAAMGAAAAAA==&#10;">
                        <v:fill on="f" focussize="0,0"/>
                        <v:stroke weight="0.5pt" color="#000000 [3213]" joinstyle="round"/>
                        <v:imagedata o:title=""/>
                        <o:lock v:ext="edit" aspectratio="f"/>
                        <v:textbox>
                          <w:txbxContent>
                            <w:p w14:paraId="05DA2004">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迁改管廊对接、</w:t>
                              </w:r>
                              <w:r>
                                <w:rPr>
                                  <w:rFonts w:hint="eastAsia"/>
                                  <w:color w:val="000000" w:themeColor="text1"/>
                                  <w14:textFill>
                                    <w14:solidFill>
                                      <w14:schemeClr w14:val="tx1"/>
                                    </w14:solidFill>
                                  </w14:textFill>
                                </w:rPr>
                                <w:t>旧管廊</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管道拆除</w:t>
                              </w:r>
                            </w:p>
                          </w:txbxContent>
                        </v:textbox>
                      </v:rect>
                      <v:shape id="_x0000_s1026" o:spid="_x0000_s1026" o:spt="32" type="#_x0000_t32" style="position:absolute;left:622300;top:2574290;flip:x;height:341630;width:2540;" filled="f" stroked="t" coordsize="21600,21600" o:gfxdata="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JadI1gAAAAUBAAAPAAAAAAAAAAEA&#10;IAAAACIAAABkcnMvZG93bnJldi54bWxQSwECFAAUAAAACACHTuJAyZwsQRECAADjAwAADgAAAAAA&#10;AAABACAAAAAlAQAAZHJzL2Uyb0RvYy54bWxQSwUGAAAAAAYABgBZAQAAqAUAAAAA&#10;">
                        <v:fill on="f" focussize="0,0"/>
                        <v:stroke weight="1pt" color="#000000 [3213]" joinstyle="round" dashstyle="1 1" endarrow="block"/>
                        <v:imagedata o:title=""/>
                        <o:lock v:ext="edit" aspectratio="f"/>
                      </v:shape>
                      <v:shape id="_x0000_s1026" o:spid="_x0000_s1026" o:spt="202" type="#_x0000_t202" style="position:absolute;left:0;top:2903220;height:527685;width:1202690;" filled="f" stroked="f" coordsize="21600,21600" o:gfxdata="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AfLOnXAAAABQEAAA8AAAAAAAAAAQAgAAAAIgAA&#10;AGRycy9kb3ducmV2LnhtbFBLAQIUABQAAAAIAIdO4kCA3kr4QgIAAGwEAAAOAAAAAAAAAAEAIAAA&#10;ACYBAABkcnMvZTJvRG9jLnhtbFBLBQYAAAAABgAGAFkBAADaBQAAAAA=&#10;">
                        <v:fill on="f" focussize="0,0"/>
                        <v:stroke on="f" weight="0.5pt"/>
                        <v:imagedata o:title=""/>
                        <o:lock v:ext="edit" aspectratio="f"/>
                        <v:textbox>
                          <w:txbxContent>
                            <w:p w14:paraId="3A51FF65">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噪声、吹扫废气、废管架和管道</w:t>
                              </w:r>
                            </w:p>
                          </w:txbxContent>
                        </v:textbox>
                      </v:shape>
                      <w10:wrap type="none"/>
                      <w10:anchorlock/>
                    </v:group>
                  </w:pict>
                </mc:Fallback>
              </mc:AlternateContent>
            </w:r>
          </w:p>
          <w:p w14:paraId="6C57F15B">
            <w:pPr>
              <w:adjustRightInd w:val="0"/>
              <w:snapToGrid w:val="0"/>
              <w:spacing w:line="360" w:lineRule="auto"/>
              <w:jc w:val="center"/>
              <w:rPr>
                <w:color w:val="auto"/>
              </w:rPr>
            </w:pPr>
            <w:r>
              <w:rPr>
                <w:rFonts w:hint="eastAsia"/>
                <w:color w:val="auto"/>
              </w:rPr>
              <w:t>图</w:t>
            </w:r>
            <w:r>
              <w:rPr>
                <w:color w:val="auto"/>
              </w:rPr>
              <w:t>2-</w:t>
            </w:r>
            <w:r>
              <w:rPr>
                <w:rFonts w:hint="eastAsia"/>
                <w:color w:val="auto"/>
              </w:rPr>
              <w:t>2</w:t>
            </w:r>
            <w:r>
              <w:rPr>
                <w:color w:val="auto"/>
              </w:rPr>
              <w:t>施工期</w:t>
            </w:r>
            <w:r>
              <w:rPr>
                <w:rFonts w:hint="eastAsia"/>
                <w:color w:val="auto"/>
              </w:rPr>
              <w:t>工艺流程图</w:t>
            </w:r>
          </w:p>
          <w:p w14:paraId="7C3375AD">
            <w:pPr>
              <w:pStyle w:val="2"/>
              <w:keepNext w:val="0"/>
              <w:keepLines w:val="0"/>
              <w:pageBreakBefore w:val="0"/>
              <w:numPr>
                <w:ilvl w:val="0"/>
                <w:numId w:val="7"/>
              </w:numPr>
              <w:kinsoku/>
              <w:wordWrap/>
              <w:overflowPunct/>
              <w:autoSpaceDE/>
              <w:autoSpaceDN/>
              <w:bidi w:val="0"/>
              <w:adjustRightInd/>
              <w:snapToGrid/>
              <w:spacing w:after="0"/>
              <w:textAlignment w:val="auto"/>
              <w:rPr>
                <w:color w:val="auto"/>
                <w:sz w:val="24"/>
                <w:szCs w:val="24"/>
              </w:rPr>
            </w:pPr>
            <w:r>
              <w:rPr>
                <w:rFonts w:hint="eastAsia"/>
                <w:color w:val="auto"/>
                <w:sz w:val="24"/>
                <w:szCs w:val="24"/>
              </w:rPr>
              <w:t>土建工程包括场地平整、管廊地基开挖、混凝土基础浇筑、消防给水管的管沟开挖等过程，主要的污染物为扬尘和噪声。</w:t>
            </w:r>
          </w:p>
          <w:p w14:paraId="07324690">
            <w:pPr>
              <w:keepNext w:val="0"/>
              <w:keepLines w:val="0"/>
              <w:pageBreakBefore w:val="0"/>
              <w:numPr>
                <w:ilvl w:val="0"/>
                <w:numId w:val="7"/>
              </w:numPr>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rPr>
              <w:t>管廊支架采用钢结构，型钢运输到现场后进行吊装、焊接等过程。</w:t>
            </w:r>
            <w:r>
              <w:rPr>
                <w:rFonts w:hint="eastAsia"/>
                <w:color w:val="auto"/>
                <w:sz w:val="24"/>
                <w:u w:val="single"/>
              </w:rPr>
              <w:t>管廊支架钢结构切割、防腐喷漆等已在加工厂制作完成</w:t>
            </w:r>
            <w:r>
              <w:rPr>
                <w:rFonts w:hint="eastAsia"/>
                <w:color w:val="auto"/>
                <w:sz w:val="24"/>
                <w:u w:val="single"/>
                <w:lang w:eastAsia="zh-CN"/>
              </w:rPr>
              <w:t>。</w:t>
            </w:r>
            <w:r>
              <w:rPr>
                <w:rFonts w:hint="eastAsia"/>
                <w:color w:val="auto"/>
                <w:sz w:val="24"/>
                <w:u w:val="single"/>
                <w:lang w:val="en-US" w:eastAsia="zh-CN"/>
              </w:rPr>
              <w:t>现场只是对尺寸有偏差的地方进行少量切割，只对连接处进行少量焊接、喷漆。</w:t>
            </w:r>
            <w:r>
              <w:rPr>
                <w:rFonts w:hint="eastAsia"/>
                <w:color w:val="auto"/>
                <w:sz w:val="24"/>
              </w:rPr>
              <w:t>现场施工主要产生的污染物为扬尘、噪声、焊接烟气、废焊条焊渣</w:t>
            </w:r>
            <w:r>
              <w:rPr>
                <w:rFonts w:hint="eastAsia"/>
                <w:color w:val="auto"/>
                <w:sz w:val="24"/>
                <w:u w:val="single"/>
                <w:lang w:eastAsia="zh-CN"/>
              </w:rPr>
              <w:t>、</w:t>
            </w:r>
            <w:r>
              <w:rPr>
                <w:rFonts w:hint="eastAsia"/>
                <w:color w:val="auto"/>
                <w:sz w:val="24"/>
                <w:u w:val="single"/>
                <w:lang w:val="en-US" w:eastAsia="zh-CN"/>
              </w:rPr>
              <w:t>废油漆桶、废油漆刷</w:t>
            </w:r>
            <w:r>
              <w:rPr>
                <w:rFonts w:hint="eastAsia"/>
                <w:color w:val="auto"/>
                <w:sz w:val="24"/>
                <w:szCs w:val="24"/>
                <w:lang w:eastAsia="zh-CN"/>
              </w:rPr>
              <w:t>、切割废气、钢结构边角料</w:t>
            </w:r>
            <w:r>
              <w:rPr>
                <w:rFonts w:hint="eastAsia"/>
                <w:color w:val="auto"/>
                <w:sz w:val="24"/>
                <w:szCs w:val="24"/>
              </w:rPr>
              <w:t>。</w:t>
            </w:r>
          </w:p>
          <w:p w14:paraId="23673B36">
            <w:pPr>
              <w:pStyle w:val="2"/>
              <w:keepNext w:val="0"/>
              <w:keepLines w:val="0"/>
              <w:pageBreakBefore w:val="0"/>
              <w:kinsoku/>
              <w:wordWrap/>
              <w:overflowPunct/>
              <w:autoSpaceDE/>
              <w:autoSpaceDN/>
              <w:bidi w:val="0"/>
              <w:adjustRightInd/>
              <w:snapToGrid/>
              <w:spacing w:after="0"/>
              <w:textAlignment w:val="auto"/>
              <w:rPr>
                <w:color w:val="auto"/>
                <w:sz w:val="24"/>
                <w:szCs w:val="24"/>
              </w:rPr>
            </w:pPr>
            <w:r>
              <w:rPr>
                <w:rFonts w:hint="eastAsia"/>
                <w:color w:val="auto"/>
                <w:sz w:val="24"/>
                <w:szCs w:val="24"/>
              </w:rPr>
              <w:t>（3）管道吊装、焊接：</w:t>
            </w:r>
            <w:r>
              <w:rPr>
                <w:rFonts w:hint="eastAsia"/>
                <w:color w:val="auto"/>
                <w:sz w:val="24"/>
                <w:szCs w:val="24"/>
                <w:u w:val="single"/>
              </w:rPr>
              <w:t>管道防腐喷漆已在加工厂制作完成</w:t>
            </w:r>
            <w:r>
              <w:rPr>
                <w:rFonts w:hint="eastAsia"/>
                <w:color w:val="auto"/>
                <w:sz w:val="24"/>
                <w:szCs w:val="24"/>
                <w:u w:val="single"/>
                <w:lang w:eastAsia="zh-CN"/>
              </w:rPr>
              <w:t>。</w:t>
            </w:r>
            <w:r>
              <w:rPr>
                <w:rFonts w:hint="eastAsia"/>
                <w:color w:val="auto"/>
                <w:sz w:val="24"/>
                <w:szCs w:val="24"/>
                <w:u w:val="single"/>
                <w:lang w:val="en-US" w:eastAsia="zh-CN"/>
              </w:rPr>
              <w:t>现场只对尺寸有偏差的地方进行切割，只对连接处</w:t>
            </w:r>
            <w:r>
              <w:rPr>
                <w:rFonts w:hint="eastAsia"/>
                <w:color w:val="auto"/>
                <w:sz w:val="24"/>
                <w:u w:val="single"/>
                <w:lang w:val="en-US" w:eastAsia="zh-CN"/>
              </w:rPr>
              <w:t>进行少量焊接、喷漆。</w:t>
            </w:r>
            <w:r>
              <w:rPr>
                <w:rFonts w:hint="eastAsia"/>
                <w:color w:val="auto"/>
                <w:sz w:val="24"/>
                <w:szCs w:val="24"/>
              </w:rPr>
              <w:t>现场吊装到位的管道采用焊接连接，焊缝按照有关规范进行检验；管道的焊接采用氢弧焊打底，手弧焊成型，管道的切割和坡口加工，采用机械加工，工具为外卡式管道液压切割坡口机，通过液压驱动机械刀具进行切断与坡口。主要污染物为扬尘、噪声、焊接烟气、废焊条焊渣</w:t>
            </w:r>
            <w:r>
              <w:rPr>
                <w:rFonts w:hint="eastAsia"/>
                <w:color w:val="auto"/>
                <w:sz w:val="24"/>
                <w:u w:val="single"/>
                <w:lang w:eastAsia="zh-CN"/>
              </w:rPr>
              <w:t>、</w:t>
            </w:r>
            <w:r>
              <w:rPr>
                <w:rFonts w:hint="eastAsia"/>
                <w:color w:val="auto"/>
                <w:sz w:val="24"/>
                <w:u w:val="single"/>
                <w:lang w:val="en-US" w:eastAsia="zh-CN"/>
              </w:rPr>
              <w:t>废油漆桶、废油漆刷</w:t>
            </w:r>
            <w:r>
              <w:rPr>
                <w:rFonts w:hint="eastAsia"/>
                <w:color w:val="auto"/>
                <w:sz w:val="24"/>
                <w:szCs w:val="24"/>
                <w:lang w:eastAsia="zh-CN"/>
              </w:rPr>
              <w:t>、切割废气、钢结构边角料</w:t>
            </w:r>
            <w:r>
              <w:rPr>
                <w:rFonts w:hint="eastAsia"/>
                <w:color w:val="auto"/>
                <w:sz w:val="24"/>
                <w:szCs w:val="24"/>
              </w:rPr>
              <w:t>。</w:t>
            </w:r>
          </w:p>
          <w:p w14:paraId="2D72022B">
            <w:pPr>
              <w:pStyle w:val="2"/>
              <w:keepNext w:val="0"/>
              <w:keepLines w:val="0"/>
              <w:pageBreakBefore w:val="0"/>
              <w:kinsoku/>
              <w:wordWrap/>
              <w:overflowPunct/>
              <w:autoSpaceDE/>
              <w:autoSpaceDN/>
              <w:bidi w:val="0"/>
              <w:adjustRightInd/>
              <w:snapToGrid/>
              <w:spacing w:after="0"/>
              <w:textAlignment w:val="auto"/>
              <w:rPr>
                <w:color w:val="auto"/>
                <w:sz w:val="24"/>
                <w:szCs w:val="24"/>
              </w:rPr>
            </w:pPr>
            <w:r>
              <w:rPr>
                <w:rFonts w:hint="eastAsia"/>
                <w:color w:val="auto"/>
                <w:sz w:val="24"/>
                <w:szCs w:val="24"/>
              </w:rPr>
              <w:t>为确保管道焊接的质量，管道全部采用射线检测。焊缝检查等级为Ⅰ级的管道焊缝应进行100%无损检测,焊缝</w:t>
            </w:r>
            <w:r>
              <w:rPr>
                <w:rFonts w:hint="eastAsia"/>
                <w:color w:val="auto"/>
                <w:sz w:val="24"/>
                <w:szCs w:val="24"/>
                <w:lang w:eastAsia="zh-CN"/>
              </w:rPr>
              <w:t>检查</w:t>
            </w:r>
            <w:r>
              <w:rPr>
                <w:rFonts w:hint="eastAsia"/>
                <w:color w:val="auto"/>
                <w:sz w:val="24"/>
                <w:szCs w:val="24"/>
              </w:rPr>
              <w:t>等级为Ⅱ级的抽样比例不得少于20%,焊缝检查等级为Ⅲ级的抽样比例不得少于10%,焊缝检査等级为Ⅳ级的抽样比例不得少于5%。</w:t>
            </w:r>
          </w:p>
          <w:p w14:paraId="0E4472FD">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rPr>
              <w:t>（4）清管试压：管道应进行强度试验和泄漏性试验。强度试验介质为洁净水，不锈钢管道水质要求氯离子含量不得高于25mg/L，试验压力为1.5倍设计压力。管道泄漏性试验采用压缩空气进行，试验压力为设计压力。强度试验应缓慢升压，待达到试验压力后，稳压10min，再将试验压力降至设计压力，稳压30min，以压力表压力不降、管道所有部位无渗漏为合格。</w:t>
            </w:r>
          </w:p>
          <w:p w14:paraId="76F5C0E2">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rPr>
              <w:t>泄漏性试验应在强度试验合格后进行。泄漏性试验应逐级缓慢升压，当达到试验压力，并停压10min后，应巡回检查阀门填料函、法兰或螺纹连接处等所有密封点，应以无泄漏为合格。产生的污染物为试压废水。</w:t>
            </w:r>
          </w:p>
          <w:p w14:paraId="29AC71B9">
            <w:pPr>
              <w:pStyle w:val="2"/>
              <w:keepNext w:val="0"/>
              <w:keepLines w:val="0"/>
              <w:pageBreakBefore w:val="0"/>
              <w:kinsoku/>
              <w:wordWrap/>
              <w:overflowPunct/>
              <w:autoSpaceDE/>
              <w:autoSpaceDN/>
              <w:bidi w:val="0"/>
              <w:adjustRightInd/>
              <w:snapToGrid/>
              <w:spacing w:after="0"/>
              <w:textAlignment w:val="auto"/>
              <w:rPr>
                <w:color w:val="auto"/>
              </w:rPr>
            </w:pPr>
            <w:r>
              <w:rPr>
                <w:rFonts w:hint="eastAsia"/>
                <w:color w:val="auto"/>
                <w:sz w:val="24"/>
                <w:szCs w:val="24"/>
              </w:rPr>
              <w:t>（5）管道吹扫：管道吹扫应在压力试验合格后进行，进行管道吹扫。项目采用压缩空气进行吹扫，对于蒸汽管道，采用蒸汽吹扫。产生的污染物为清管固废和废气。</w:t>
            </w:r>
          </w:p>
          <w:p w14:paraId="063EF60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lang w:eastAsia="zh-CN"/>
              </w:rPr>
            </w:pPr>
            <w:r>
              <w:rPr>
                <w:rFonts w:hint="eastAsia"/>
                <w:color w:val="auto"/>
                <w:sz w:val="24"/>
                <w:szCs w:val="24"/>
              </w:rPr>
              <w:t>（</w:t>
            </w:r>
            <w:r>
              <w:rPr>
                <w:rFonts w:hint="eastAsia"/>
                <w:color w:val="auto"/>
                <w:sz w:val="24"/>
                <w:szCs w:val="24"/>
                <w:lang w:val="en-US" w:eastAsia="zh-CN"/>
              </w:rPr>
              <w:t>6</w:t>
            </w:r>
            <w:r>
              <w:rPr>
                <w:rFonts w:hint="eastAsia"/>
                <w:color w:val="auto"/>
                <w:sz w:val="24"/>
                <w:szCs w:val="24"/>
              </w:rPr>
              <w:t>）</w:t>
            </w:r>
            <w:r>
              <w:rPr>
                <w:rFonts w:hint="eastAsia"/>
                <w:color w:val="auto"/>
                <w:sz w:val="24"/>
                <w:szCs w:val="24"/>
                <w:lang w:val="en-US" w:eastAsia="zh-CN"/>
              </w:rPr>
              <w:t>迁改管道连接施工</w:t>
            </w:r>
            <w:r>
              <w:rPr>
                <w:rFonts w:hint="eastAsia"/>
                <w:color w:val="auto"/>
                <w:sz w:val="24"/>
                <w:szCs w:val="24"/>
              </w:rPr>
              <w:t>：泰兴石化生产线停止生产，清空原有管道内的物料，并采用氮气进行吹扫</w:t>
            </w:r>
            <w:r>
              <w:rPr>
                <w:rFonts w:hint="eastAsia"/>
                <w:color w:val="auto"/>
                <w:sz w:val="24"/>
                <w:szCs w:val="24"/>
                <w:lang w:eastAsia="zh-CN"/>
              </w:rPr>
              <w:t>。</w:t>
            </w:r>
            <w:r>
              <w:rPr>
                <w:rFonts w:hint="eastAsia"/>
                <w:color w:val="auto"/>
                <w:sz w:val="24"/>
                <w:szCs w:val="24"/>
              </w:rPr>
              <w:t>物料输送完毕后，先采用通球的方式收集管线内部剩余的物料，物料全部输送至接收方储罐或装备内。</w:t>
            </w:r>
            <w:r>
              <w:rPr>
                <w:rFonts w:hint="eastAsia"/>
                <w:color w:val="auto"/>
                <w:kern w:val="0"/>
                <w:sz w:val="24"/>
                <w:szCs w:val="20"/>
              </w:rPr>
              <w:t>火炬气旧管道和燃料旧管道在拆除前，采用压缩空气对管道进行吹扫，由泰兴石化厂端吹入压缩空气，将管内残存的火炬气和燃料气吹入火炬进行焚烧。每根管道吹扫</w:t>
            </w:r>
            <w:r>
              <w:rPr>
                <w:rFonts w:hint="default" w:ascii="Times New Roman" w:hAnsi="Times New Roman" w:cs="Times New Roman"/>
                <w:color w:val="auto"/>
                <w:kern w:val="0"/>
                <w:sz w:val="24"/>
                <w:szCs w:val="20"/>
              </w:rPr>
              <w:t>3~4</w:t>
            </w:r>
            <w:r>
              <w:rPr>
                <w:rFonts w:hint="eastAsia"/>
                <w:color w:val="auto"/>
                <w:kern w:val="0"/>
                <w:sz w:val="24"/>
                <w:szCs w:val="20"/>
              </w:rPr>
              <w:t>次后，再进行切割</w:t>
            </w:r>
            <w:r>
              <w:rPr>
                <w:rFonts w:hint="eastAsia"/>
                <w:color w:val="auto"/>
                <w:sz w:val="24"/>
                <w:szCs w:val="24"/>
                <w:lang w:val="en-US" w:eastAsia="zh-CN"/>
              </w:rPr>
              <w:t>。采用机械清扫法对凝缩油（属烃类冷凝液）管道从火炬端向泰兴石化厂区端清扫，通过发送一个特定尺寸的橡胶球或者聚氨胎球，通过管道内部，将附着在管道内的凝缩油（属烃类冷凝液）推出管道，清扫出的凝缩油（属烃类冷凝液）回收至泰兴石化的收集罐中</w:t>
            </w:r>
            <w:r>
              <w:rPr>
                <w:rFonts w:hint="eastAsia"/>
                <w:color w:val="auto"/>
                <w:sz w:val="24"/>
                <w:szCs w:val="24"/>
              </w:rPr>
              <w:t>。</w:t>
            </w:r>
            <w:r>
              <w:rPr>
                <w:rFonts w:hint="eastAsia"/>
                <w:color w:val="auto"/>
                <w:sz w:val="24"/>
                <w:szCs w:val="24"/>
                <w:lang w:val="en-US" w:eastAsia="zh-CN"/>
              </w:rPr>
              <w:t>关闭各输送管道两端的截断阀，之后在连接处切断原管道，</w:t>
            </w:r>
            <w:r>
              <w:rPr>
                <w:rFonts w:hint="eastAsia"/>
                <w:color w:val="auto"/>
                <w:sz w:val="24"/>
                <w:szCs w:val="24"/>
              </w:rPr>
              <w:t>再</w:t>
            </w:r>
            <w:r>
              <w:rPr>
                <w:rFonts w:hint="eastAsia"/>
                <w:color w:val="auto"/>
                <w:sz w:val="24"/>
                <w:szCs w:val="24"/>
                <w:lang w:val="en-US" w:eastAsia="zh-CN"/>
              </w:rPr>
              <w:t>将</w:t>
            </w:r>
            <w:r>
              <w:rPr>
                <w:rFonts w:hint="eastAsia"/>
                <w:color w:val="auto"/>
                <w:sz w:val="24"/>
                <w:szCs w:val="24"/>
              </w:rPr>
              <w:t>新管道与泰兴石化厂区和火炬区现有管道进行焊接连接作业，完成后再恢复泰兴石化厂区生产</w:t>
            </w:r>
            <w:r>
              <w:rPr>
                <w:rFonts w:hint="eastAsia"/>
                <w:color w:val="auto"/>
                <w:sz w:val="24"/>
                <w:szCs w:val="24"/>
                <w:lang w:eastAsia="zh-CN"/>
              </w:rPr>
              <w:t>。</w:t>
            </w:r>
          </w:p>
          <w:p w14:paraId="1486B949">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lang w:val="en-US" w:eastAsia="zh-CN"/>
              </w:rPr>
            </w:pPr>
            <w:r>
              <w:rPr>
                <w:rFonts w:hint="eastAsia"/>
                <w:color w:val="auto"/>
                <w:sz w:val="24"/>
                <w:szCs w:val="24"/>
              </w:rPr>
              <w:t>（</w:t>
            </w:r>
            <w:r>
              <w:rPr>
                <w:rFonts w:hint="eastAsia"/>
                <w:color w:val="auto"/>
                <w:sz w:val="24"/>
                <w:szCs w:val="24"/>
                <w:lang w:val="en-US" w:eastAsia="zh-CN"/>
              </w:rPr>
              <w:t>7</w:t>
            </w:r>
            <w:r>
              <w:rPr>
                <w:rFonts w:hint="eastAsia"/>
                <w:color w:val="auto"/>
                <w:sz w:val="24"/>
                <w:szCs w:val="24"/>
              </w:rPr>
              <w:t>）</w:t>
            </w:r>
            <w:r>
              <w:rPr>
                <w:rFonts w:hint="eastAsia"/>
                <w:color w:val="auto"/>
                <w:sz w:val="24"/>
                <w:szCs w:val="24"/>
                <w:u w:val="single"/>
              </w:rPr>
              <w:t>旧管廊、管道拆除：</w:t>
            </w:r>
            <w:r>
              <w:rPr>
                <w:rFonts w:hint="eastAsia"/>
                <w:color w:val="auto"/>
                <w:sz w:val="24"/>
                <w:szCs w:val="24"/>
                <w:u w:val="single"/>
                <w:lang w:val="en-US" w:eastAsia="zh-CN"/>
              </w:rPr>
              <w:t>迁改管廊与原管廊对接施工完成后，泰兴石化恢复正常生产，再拆除旧管廊和管道，</w:t>
            </w:r>
            <w:r>
              <w:rPr>
                <w:rFonts w:hint="eastAsia"/>
                <w:color w:val="auto"/>
                <w:sz w:val="24"/>
                <w:szCs w:val="24"/>
              </w:rPr>
              <w:t>管道拆除前必须保证原管线内物料回收干净。废旧管道和管廊支架</w:t>
            </w:r>
            <w:r>
              <w:rPr>
                <w:rFonts w:hint="eastAsia"/>
                <w:color w:val="auto"/>
                <w:sz w:val="24"/>
                <w:szCs w:val="24"/>
                <w:lang w:val="en-US" w:eastAsia="zh-CN"/>
              </w:rPr>
              <w:t>主要是废钢材，</w:t>
            </w:r>
            <w:r>
              <w:rPr>
                <w:rFonts w:hint="eastAsia"/>
                <w:color w:val="auto"/>
                <w:sz w:val="24"/>
                <w:szCs w:val="24"/>
              </w:rPr>
              <w:t>由建设单位外售或</w:t>
            </w:r>
            <w:r>
              <w:rPr>
                <w:rFonts w:hint="eastAsia"/>
                <w:color w:val="auto"/>
                <w:sz w:val="24"/>
                <w:szCs w:val="24"/>
                <w:lang w:val="en-US" w:eastAsia="zh-CN"/>
              </w:rPr>
              <w:t>回收利用</w:t>
            </w:r>
            <w:r>
              <w:rPr>
                <w:rFonts w:hint="eastAsia"/>
                <w:color w:val="auto"/>
                <w:sz w:val="24"/>
                <w:szCs w:val="24"/>
              </w:rPr>
              <w:t>。</w:t>
            </w:r>
            <w:r>
              <w:rPr>
                <w:rFonts w:hint="eastAsia"/>
                <w:color w:val="auto"/>
                <w:sz w:val="24"/>
                <w:szCs w:val="24"/>
                <w:u w:val="single"/>
                <w:lang w:eastAsia="zh-CN"/>
              </w:rPr>
              <w:t>凝缩油（属烃类冷凝液）</w:t>
            </w:r>
            <w:r>
              <w:rPr>
                <w:rFonts w:hint="eastAsia"/>
                <w:color w:val="auto"/>
                <w:sz w:val="24"/>
                <w:szCs w:val="24"/>
                <w:u w:val="single"/>
              </w:rPr>
              <w:t>废旧管道由泰兴石化回收并妥善保管，作为备用管材在厂内检修时进行利用</w:t>
            </w:r>
            <w:r>
              <w:rPr>
                <w:rFonts w:hint="eastAsia"/>
                <w:color w:val="auto"/>
                <w:sz w:val="24"/>
                <w:szCs w:val="24"/>
                <w:u w:val="single"/>
                <w:lang w:val="en-US" w:eastAsia="zh-CN"/>
              </w:rPr>
              <w:t>。</w:t>
            </w:r>
          </w:p>
          <w:p w14:paraId="3D141911">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rPr>
              <w:t>（</w:t>
            </w:r>
            <w:r>
              <w:rPr>
                <w:rFonts w:hint="eastAsia"/>
                <w:color w:val="auto"/>
                <w:sz w:val="24"/>
                <w:lang w:val="en-US" w:eastAsia="zh-CN"/>
              </w:rPr>
              <w:t>8</w:t>
            </w:r>
            <w:r>
              <w:rPr>
                <w:rFonts w:hint="eastAsia"/>
                <w:color w:val="auto"/>
                <w:sz w:val="24"/>
              </w:rPr>
              <w:t>）围墙施工：包括基础施工、钢构立柱和网片的安装过程。主要产生的污染物为扬尘、噪声、焊接烟气、废焊条焊渣。</w:t>
            </w:r>
          </w:p>
          <w:p w14:paraId="17F24055">
            <w:pPr>
              <w:spacing w:line="360" w:lineRule="auto"/>
              <w:jc w:val="center"/>
              <w:rPr>
                <w:b/>
                <w:color w:val="auto"/>
                <w:kern w:val="0"/>
                <w:szCs w:val="22"/>
                <w:lang w:bidi="en-US"/>
              </w:rPr>
            </w:pPr>
            <w:r>
              <w:rPr>
                <w:b/>
                <w:color w:val="auto"/>
                <w:kern w:val="0"/>
                <w:szCs w:val="22"/>
                <w:lang w:bidi="en-US"/>
              </w:rPr>
              <w:t>表2-</w:t>
            </w:r>
            <w:r>
              <w:rPr>
                <w:rFonts w:hint="eastAsia"/>
                <w:b/>
                <w:color w:val="auto"/>
                <w:kern w:val="0"/>
                <w:szCs w:val="22"/>
                <w:lang w:val="en-US" w:eastAsia="zh-CN" w:bidi="en-US"/>
              </w:rPr>
              <w:t>5</w:t>
            </w:r>
            <w:r>
              <w:rPr>
                <w:b/>
                <w:color w:val="auto"/>
                <w:kern w:val="0"/>
                <w:szCs w:val="22"/>
                <w:lang w:bidi="en-US"/>
              </w:rPr>
              <w:t>施工期主要污染工序一览表</w:t>
            </w:r>
          </w:p>
          <w:tbl>
            <w:tblPr>
              <w:tblStyle w:val="22"/>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5"/>
              <w:gridCol w:w="2901"/>
              <w:gridCol w:w="3042"/>
              <w:gridCol w:w="1214"/>
            </w:tblGrid>
            <w:tr w14:paraId="1F4F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tcMar>
                    <w:left w:w="28" w:type="dxa"/>
                    <w:right w:w="28" w:type="dxa"/>
                  </w:tcMar>
                  <w:vAlign w:val="center"/>
                </w:tcPr>
                <w:p w14:paraId="7CBCB931">
                  <w:pPr>
                    <w:spacing w:line="240" w:lineRule="auto"/>
                    <w:jc w:val="center"/>
                    <w:rPr>
                      <w:color w:val="auto"/>
                    </w:rPr>
                  </w:pPr>
                  <w:r>
                    <w:rPr>
                      <w:color w:val="auto"/>
                    </w:rPr>
                    <w:t>污染源</w:t>
                  </w:r>
                </w:p>
              </w:tc>
              <w:tc>
                <w:tcPr>
                  <w:tcW w:w="2901" w:type="dxa"/>
                  <w:vAlign w:val="center"/>
                </w:tcPr>
                <w:p w14:paraId="60AC6A82">
                  <w:pPr>
                    <w:spacing w:line="240" w:lineRule="auto"/>
                    <w:jc w:val="center"/>
                    <w:rPr>
                      <w:color w:val="auto"/>
                    </w:rPr>
                  </w:pPr>
                  <w:r>
                    <w:rPr>
                      <w:color w:val="auto"/>
                    </w:rPr>
                    <w:t>污染来源</w:t>
                  </w:r>
                </w:p>
              </w:tc>
              <w:tc>
                <w:tcPr>
                  <w:tcW w:w="3042" w:type="dxa"/>
                  <w:vAlign w:val="center"/>
                </w:tcPr>
                <w:p w14:paraId="023C126F">
                  <w:pPr>
                    <w:spacing w:line="240" w:lineRule="auto"/>
                    <w:jc w:val="center"/>
                    <w:rPr>
                      <w:color w:val="auto"/>
                    </w:rPr>
                  </w:pPr>
                  <w:r>
                    <w:rPr>
                      <w:color w:val="auto"/>
                    </w:rPr>
                    <w:t>主要污染物</w:t>
                  </w:r>
                </w:p>
              </w:tc>
              <w:tc>
                <w:tcPr>
                  <w:tcW w:w="1214" w:type="dxa"/>
                  <w:tcMar>
                    <w:left w:w="28" w:type="dxa"/>
                    <w:right w:w="28" w:type="dxa"/>
                  </w:tcMar>
                  <w:vAlign w:val="center"/>
                </w:tcPr>
                <w:p w14:paraId="58A8D55A">
                  <w:pPr>
                    <w:spacing w:line="240" w:lineRule="auto"/>
                    <w:jc w:val="center"/>
                    <w:rPr>
                      <w:color w:val="auto"/>
                    </w:rPr>
                  </w:pPr>
                  <w:r>
                    <w:rPr>
                      <w:color w:val="auto"/>
                    </w:rPr>
                    <w:t>影响特性</w:t>
                  </w:r>
                </w:p>
              </w:tc>
            </w:tr>
            <w:tr w14:paraId="6EA9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restart"/>
                  <w:tcMar>
                    <w:left w:w="28" w:type="dxa"/>
                    <w:right w:w="28" w:type="dxa"/>
                  </w:tcMar>
                  <w:vAlign w:val="center"/>
                </w:tcPr>
                <w:p w14:paraId="27173076">
                  <w:pPr>
                    <w:spacing w:line="240" w:lineRule="auto"/>
                    <w:jc w:val="center"/>
                    <w:rPr>
                      <w:color w:val="auto"/>
                    </w:rPr>
                  </w:pPr>
                  <w:r>
                    <w:rPr>
                      <w:color w:val="auto"/>
                    </w:rPr>
                    <w:t>废气</w:t>
                  </w:r>
                </w:p>
              </w:tc>
              <w:tc>
                <w:tcPr>
                  <w:tcW w:w="2901" w:type="dxa"/>
                  <w:vAlign w:val="center"/>
                </w:tcPr>
                <w:p w14:paraId="476C0753">
                  <w:pPr>
                    <w:spacing w:line="240" w:lineRule="auto"/>
                    <w:jc w:val="center"/>
                    <w:rPr>
                      <w:color w:val="auto"/>
                    </w:rPr>
                  </w:pPr>
                  <w:r>
                    <w:rPr>
                      <w:color w:val="auto"/>
                    </w:rPr>
                    <w:t>车辆运输</w:t>
                  </w:r>
                </w:p>
              </w:tc>
              <w:tc>
                <w:tcPr>
                  <w:tcW w:w="3042" w:type="dxa"/>
                  <w:vAlign w:val="center"/>
                </w:tcPr>
                <w:p w14:paraId="57EA4795">
                  <w:pPr>
                    <w:spacing w:line="240" w:lineRule="auto"/>
                    <w:jc w:val="center"/>
                    <w:rPr>
                      <w:color w:val="auto"/>
                    </w:rPr>
                  </w:pPr>
                  <w:r>
                    <w:rPr>
                      <w:color w:val="auto"/>
                    </w:rPr>
                    <w:t>TSP</w:t>
                  </w:r>
                </w:p>
              </w:tc>
              <w:tc>
                <w:tcPr>
                  <w:tcW w:w="1214" w:type="dxa"/>
                  <w:vMerge w:val="restart"/>
                  <w:tcMar>
                    <w:left w:w="28" w:type="dxa"/>
                    <w:right w:w="28" w:type="dxa"/>
                  </w:tcMar>
                  <w:vAlign w:val="center"/>
                </w:tcPr>
                <w:p w14:paraId="336EDAC4">
                  <w:pPr>
                    <w:spacing w:line="240" w:lineRule="auto"/>
                    <w:jc w:val="center"/>
                    <w:rPr>
                      <w:color w:val="auto"/>
                    </w:rPr>
                  </w:pPr>
                  <w:r>
                    <w:rPr>
                      <w:color w:val="auto"/>
                    </w:rPr>
                    <w:t>短期、可恢复</w:t>
                  </w:r>
                </w:p>
              </w:tc>
            </w:tr>
            <w:tr w14:paraId="08C8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28C292D9">
                  <w:pPr>
                    <w:spacing w:line="240" w:lineRule="auto"/>
                    <w:jc w:val="center"/>
                    <w:rPr>
                      <w:color w:val="auto"/>
                    </w:rPr>
                  </w:pPr>
                </w:p>
              </w:tc>
              <w:tc>
                <w:tcPr>
                  <w:tcW w:w="2901" w:type="dxa"/>
                  <w:vAlign w:val="center"/>
                </w:tcPr>
                <w:p w14:paraId="6819B1D5">
                  <w:pPr>
                    <w:spacing w:line="240" w:lineRule="auto"/>
                    <w:jc w:val="center"/>
                    <w:rPr>
                      <w:color w:val="auto"/>
                    </w:rPr>
                  </w:pPr>
                  <w:r>
                    <w:rPr>
                      <w:color w:val="auto"/>
                    </w:rPr>
                    <w:t>施工机械</w:t>
                  </w:r>
                </w:p>
              </w:tc>
              <w:tc>
                <w:tcPr>
                  <w:tcW w:w="3042" w:type="dxa"/>
                  <w:vAlign w:val="center"/>
                </w:tcPr>
                <w:p w14:paraId="42BD7E93">
                  <w:pPr>
                    <w:spacing w:line="240" w:lineRule="auto"/>
                    <w:jc w:val="center"/>
                    <w:rPr>
                      <w:color w:val="auto"/>
                    </w:rPr>
                  </w:pPr>
                  <w:r>
                    <w:rPr>
                      <w:color w:val="auto"/>
                    </w:rPr>
                    <w:t>SO</w:t>
                  </w:r>
                  <w:r>
                    <w:rPr>
                      <w:color w:val="auto"/>
                      <w:vertAlign w:val="subscript"/>
                    </w:rPr>
                    <w:t>2</w:t>
                  </w:r>
                  <w:r>
                    <w:rPr>
                      <w:color w:val="auto"/>
                    </w:rPr>
                    <w:t>、NOx以及烃类</w:t>
                  </w:r>
                </w:p>
              </w:tc>
              <w:tc>
                <w:tcPr>
                  <w:tcW w:w="1214" w:type="dxa"/>
                  <w:vMerge w:val="continue"/>
                  <w:tcMar>
                    <w:left w:w="28" w:type="dxa"/>
                    <w:right w:w="28" w:type="dxa"/>
                  </w:tcMar>
                  <w:vAlign w:val="center"/>
                </w:tcPr>
                <w:p w14:paraId="1F9F3213">
                  <w:pPr>
                    <w:spacing w:line="240" w:lineRule="auto"/>
                    <w:jc w:val="center"/>
                    <w:rPr>
                      <w:color w:val="auto"/>
                    </w:rPr>
                  </w:pPr>
                </w:p>
              </w:tc>
            </w:tr>
            <w:tr w14:paraId="1F3D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1E636E8F">
                  <w:pPr>
                    <w:spacing w:line="240" w:lineRule="auto"/>
                    <w:jc w:val="center"/>
                    <w:rPr>
                      <w:color w:val="auto"/>
                    </w:rPr>
                  </w:pPr>
                </w:p>
              </w:tc>
              <w:tc>
                <w:tcPr>
                  <w:tcW w:w="2901" w:type="dxa"/>
                  <w:vAlign w:val="center"/>
                </w:tcPr>
                <w:p w14:paraId="473B5F14">
                  <w:pPr>
                    <w:spacing w:line="240" w:lineRule="auto"/>
                    <w:jc w:val="center"/>
                    <w:rPr>
                      <w:color w:val="auto"/>
                    </w:rPr>
                  </w:pPr>
                  <w:r>
                    <w:rPr>
                      <w:rFonts w:hint="eastAsia"/>
                      <w:color w:val="auto"/>
                    </w:rPr>
                    <w:t>管廊支架、</w:t>
                  </w:r>
                  <w:r>
                    <w:rPr>
                      <w:color w:val="auto"/>
                    </w:rPr>
                    <w:t>管道焊接</w:t>
                  </w:r>
                </w:p>
              </w:tc>
              <w:tc>
                <w:tcPr>
                  <w:tcW w:w="3042" w:type="dxa"/>
                  <w:vAlign w:val="center"/>
                </w:tcPr>
                <w:p w14:paraId="42E3ED7B">
                  <w:pPr>
                    <w:spacing w:line="240" w:lineRule="auto"/>
                    <w:jc w:val="center"/>
                    <w:rPr>
                      <w:color w:val="auto"/>
                    </w:rPr>
                  </w:pPr>
                  <w:r>
                    <w:rPr>
                      <w:color w:val="auto"/>
                    </w:rPr>
                    <w:t>颗粒物</w:t>
                  </w:r>
                </w:p>
              </w:tc>
              <w:tc>
                <w:tcPr>
                  <w:tcW w:w="1214" w:type="dxa"/>
                  <w:vMerge w:val="continue"/>
                  <w:tcMar>
                    <w:left w:w="28" w:type="dxa"/>
                    <w:right w:w="28" w:type="dxa"/>
                  </w:tcMar>
                  <w:vAlign w:val="center"/>
                </w:tcPr>
                <w:p w14:paraId="0894CD00">
                  <w:pPr>
                    <w:spacing w:line="240" w:lineRule="auto"/>
                    <w:jc w:val="center"/>
                    <w:rPr>
                      <w:color w:val="auto"/>
                    </w:rPr>
                  </w:pPr>
                </w:p>
              </w:tc>
            </w:tr>
            <w:tr w14:paraId="0699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2DF1AA38">
                  <w:pPr>
                    <w:spacing w:line="240" w:lineRule="auto"/>
                    <w:jc w:val="center"/>
                    <w:rPr>
                      <w:color w:val="auto"/>
                    </w:rPr>
                  </w:pPr>
                </w:p>
              </w:tc>
              <w:tc>
                <w:tcPr>
                  <w:tcW w:w="2901" w:type="dxa"/>
                  <w:vAlign w:val="center"/>
                </w:tcPr>
                <w:p w14:paraId="16A7FAE4">
                  <w:pPr>
                    <w:spacing w:line="240" w:lineRule="auto"/>
                    <w:jc w:val="center"/>
                    <w:rPr>
                      <w:rFonts w:hint="eastAsia" w:eastAsia="宋体"/>
                      <w:color w:val="auto"/>
                      <w:sz w:val="21"/>
                      <w:szCs w:val="21"/>
                      <w:lang w:val="en-US" w:eastAsia="zh-CN"/>
                    </w:rPr>
                  </w:pPr>
                  <w:r>
                    <w:rPr>
                      <w:rFonts w:hint="eastAsia"/>
                      <w:color w:val="auto"/>
                      <w:sz w:val="21"/>
                      <w:szCs w:val="21"/>
                    </w:rPr>
                    <w:t>管廊支架、</w:t>
                  </w:r>
                  <w:r>
                    <w:rPr>
                      <w:color w:val="auto"/>
                      <w:sz w:val="21"/>
                      <w:szCs w:val="21"/>
                    </w:rPr>
                    <w:t>管道</w:t>
                  </w:r>
                  <w:r>
                    <w:rPr>
                      <w:rFonts w:hint="eastAsia"/>
                      <w:color w:val="auto"/>
                      <w:sz w:val="21"/>
                      <w:szCs w:val="21"/>
                      <w:lang w:val="en-US" w:eastAsia="zh-CN"/>
                    </w:rPr>
                    <w:t>切割</w:t>
                  </w:r>
                </w:p>
              </w:tc>
              <w:tc>
                <w:tcPr>
                  <w:tcW w:w="3042" w:type="dxa"/>
                  <w:vAlign w:val="center"/>
                </w:tcPr>
                <w:p w14:paraId="76A56393">
                  <w:pPr>
                    <w:spacing w:line="240" w:lineRule="auto"/>
                    <w:jc w:val="center"/>
                    <w:rPr>
                      <w:color w:val="auto"/>
                      <w:sz w:val="21"/>
                      <w:szCs w:val="21"/>
                    </w:rPr>
                  </w:pPr>
                  <w:r>
                    <w:rPr>
                      <w:rFonts w:hint="eastAsia"/>
                      <w:color w:val="auto"/>
                      <w:sz w:val="21"/>
                      <w:szCs w:val="21"/>
                      <w:lang w:val="en-US" w:eastAsia="zh-CN"/>
                    </w:rPr>
                    <w:t>噪声、</w:t>
                  </w:r>
                  <w:r>
                    <w:rPr>
                      <w:rFonts w:hint="eastAsia"/>
                      <w:color w:val="auto"/>
                      <w:sz w:val="21"/>
                      <w:szCs w:val="21"/>
                      <w:lang w:eastAsia="zh-CN"/>
                    </w:rPr>
                    <w:t>切割废气、钢结构边角料</w:t>
                  </w:r>
                </w:p>
              </w:tc>
              <w:tc>
                <w:tcPr>
                  <w:tcW w:w="1214" w:type="dxa"/>
                  <w:vMerge w:val="continue"/>
                  <w:tcMar>
                    <w:left w:w="28" w:type="dxa"/>
                    <w:right w:w="28" w:type="dxa"/>
                  </w:tcMar>
                  <w:vAlign w:val="center"/>
                </w:tcPr>
                <w:p w14:paraId="128D413E">
                  <w:pPr>
                    <w:spacing w:line="240" w:lineRule="auto"/>
                    <w:jc w:val="center"/>
                    <w:rPr>
                      <w:color w:val="auto"/>
                    </w:rPr>
                  </w:pPr>
                </w:p>
              </w:tc>
            </w:tr>
            <w:tr w14:paraId="0E53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7B784B1A">
                  <w:pPr>
                    <w:spacing w:line="240" w:lineRule="auto"/>
                    <w:jc w:val="center"/>
                    <w:rPr>
                      <w:color w:val="auto"/>
                    </w:rPr>
                  </w:pPr>
                </w:p>
              </w:tc>
              <w:tc>
                <w:tcPr>
                  <w:tcW w:w="2901" w:type="dxa"/>
                  <w:vAlign w:val="center"/>
                </w:tcPr>
                <w:p w14:paraId="1F6DF12F">
                  <w:pPr>
                    <w:spacing w:line="240" w:lineRule="auto"/>
                    <w:jc w:val="center"/>
                    <w:rPr>
                      <w:color w:val="auto"/>
                    </w:rPr>
                  </w:pPr>
                  <w:r>
                    <w:rPr>
                      <w:rFonts w:hint="eastAsia"/>
                      <w:color w:val="auto"/>
                    </w:rPr>
                    <w:t>管廊支架、</w:t>
                  </w:r>
                  <w:r>
                    <w:rPr>
                      <w:color w:val="auto"/>
                    </w:rPr>
                    <w:t>管道</w:t>
                  </w:r>
                  <w:r>
                    <w:rPr>
                      <w:rFonts w:hint="eastAsia"/>
                      <w:color w:val="auto"/>
                    </w:rPr>
                    <w:t>焊接处防腐</w:t>
                  </w:r>
                  <w:r>
                    <w:rPr>
                      <w:color w:val="auto"/>
                    </w:rPr>
                    <w:t>涂漆</w:t>
                  </w:r>
                </w:p>
              </w:tc>
              <w:tc>
                <w:tcPr>
                  <w:tcW w:w="3042" w:type="dxa"/>
                  <w:vAlign w:val="center"/>
                </w:tcPr>
                <w:p w14:paraId="4F0EA2B7">
                  <w:pPr>
                    <w:spacing w:line="240" w:lineRule="auto"/>
                    <w:jc w:val="center"/>
                    <w:rPr>
                      <w:color w:val="auto"/>
                    </w:rPr>
                  </w:pPr>
                  <w:r>
                    <w:rPr>
                      <w:color w:val="auto"/>
                    </w:rPr>
                    <w:t>苯、甲苯、二甲苯以及非甲烷总烃</w:t>
                  </w:r>
                </w:p>
              </w:tc>
              <w:tc>
                <w:tcPr>
                  <w:tcW w:w="1214" w:type="dxa"/>
                  <w:vMerge w:val="continue"/>
                  <w:tcMar>
                    <w:left w:w="28" w:type="dxa"/>
                    <w:right w:w="28" w:type="dxa"/>
                  </w:tcMar>
                  <w:vAlign w:val="center"/>
                </w:tcPr>
                <w:p w14:paraId="1FE17D34">
                  <w:pPr>
                    <w:spacing w:line="240" w:lineRule="auto"/>
                    <w:jc w:val="center"/>
                    <w:rPr>
                      <w:color w:val="auto"/>
                    </w:rPr>
                  </w:pPr>
                </w:p>
              </w:tc>
            </w:tr>
            <w:tr w14:paraId="19B1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6E007E3A">
                  <w:pPr>
                    <w:spacing w:line="240" w:lineRule="auto"/>
                    <w:jc w:val="center"/>
                    <w:rPr>
                      <w:color w:val="auto"/>
                    </w:rPr>
                  </w:pPr>
                </w:p>
              </w:tc>
              <w:tc>
                <w:tcPr>
                  <w:tcW w:w="2901" w:type="dxa"/>
                  <w:vAlign w:val="center"/>
                </w:tcPr>
                <w:p w14:paraId="43493067">
                  <w:pPr>
                    <w:spacing w:line="240" w:lineRule="auto"/>
                    <w:jc w:val="center"/>
                    <w:rPr>
                      <w:color w:val="auto"/>
                    </w:rPr>
                  </w:pPr>
                  <w:r>
                    <w:rPr>
                      <w:rFonts w:hint="eastAsia"/>
                      <w:color w:val="auto"/>
                    </w:rPr>
                    <w:t>旧管廊、管道拆除</w:t>
                  </w:r>
                </w:p>
              </w:tc>
              <w:tc>
                <w:tcPr>
                  <w:tcW w:w="3042" w:type="dxa"/>
                  <w:vAlign w:val="center"/>
                </w:tcPr>
                <w:p w14:paraId="5D681494">
                  <w:pPr>
                    <w:spacing w:line="240" w:lineRule="auto"/>
                    <w:jc w:val="center"/>
                    <w:rPr>
                      <w:color w:val="auto"/>
                    </w:rPr>
                  </w:pPr>
                  <w:r>
                    <w:rPr>
                      <w:color w:val="auto"/>
                    </w:rPr>
                    <w:t>颗粒物</w:t>
                  </w:r>
                  <w:r>
                    <w:rPr>
                      <w:rFonts w:hint="eastAsia"/>
                      <w:color w:val="auto"/>
                    </w:rPr>
                    <w:t>、</w:t>
                  </w:r>
                  <w:r>
                    <w:rPr>
                      <w:color w:val="auto"/>
                    </w:rPr>
                    <w:t>非甲烷总烃</w:t>
                  </w:r>
                  <w:r>
                    <w:rPr>
                      <w:rFonts w:hint="eastAsia"/>
                      <w:color w:val="auto"/>
                    </w:rPr>
                    <w:t>等</w:t>
                  </w:r>
                </w:p>
              </w:tc>
              <w:tc>
                <w:tcPr>
                  <w:tcW w:w="1214" w:type="dxa"/>
                  <w:vMerge w:val="continue"/>
                  <w:tcMar>
                    <w:left w:w="28" w:type="dxa"/>
                    <w:right w:w="28" w:type="dxa"/>
                  </w:tcMar>
                  <w:vAlign w:val="center"/>
                </w:tcPr>
                <w:p w14:paraId="0AFA11BB">
                  <w:pPr>
                    <w:spacing w:line="240" w:lineRule="auto"/>
                    <w:jc w:val="center"/>
                    <w:rPr>
                      <w:color w:val="auto"/>
                    </w:rPr>
                  </w:pPr>
                </w:p>
              </w:tc>
            </w:tr>
            <w:tr w14:paraId="24DD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restart"/>
                  <w:tcMar>
                    <w:left w:w="28" w:type="dxa"/>
                    <w:right w:w="28" w:type="dxa"/>
                  </w:tcMar>
                  <w:vAlign w:val="center"/>
                </w:tcPr>
                <w:p w14:paraId="54F20BDB">
                  <w:pPr>
                    <w:spacing w:line="240" w:lineRule="auto"/>
                    <w:jc w:val="center"/>
                    <w:rPr>
                      <w:color w:val="auto"/>
                    </w:rPr>
                  </w:pPr>
                  <w:r>
                    <w:rPr>
                      <w:color w:val="auto"/>
                    </w:rPr>
                    <w:t>废水</w:t>
                  </w:r>
                </w:p>
              </w:tc>
              <w:tc>
                <w:tcPr>
                  <w:tcW w:w="2901" w:type="dxa"/>
                  <w:vAlign w:val="center"/>
                </w:tcPr>
                <w:p w14:paraId="2AC492D4">
                  <w:pPr>
                    <w:spacing w:line="240" w:lineRule="auto"/>
                    <w:jc w:val="center"/>
                    <w:rPr>
                      <w:color w:val="auto"/>
                    </w:rPr>
                  </w:pPr>
                  <w:r>
                    <w:rPr>
                      <w:color w:val="auto"/>
                    </w:rPr>
                    <w:t>管廊施工废水</w:t>
                  </w:r>
                </w:p>
              </w:tc>
              <w:tc>
                <w:tcPr>
                  <w:tcW w:w="3042" w:type="dxa"/>
                  <w:vAlign w:val="center"/>
                </w:tcPr>
                <w:p w14:paraId="526F5C96">
                  <w:pPr>
                    <w:spacing w:line="240" w:lineRule="auto"/>
                    <w:jc w:val="center"/>
                    <w:rPr>
                      <w:color w:val="auto"/>
                    </w:rPr>
                  </w:pPr>
                  <w:r>
                    <w:rPr>
                      <w:color w:val="auto"/>
                    </w:rPr>
                    <w:t>SS</w:t>
                  </w:r>
                </w:p>
              </w:tc>
              <w:tc>
                <w:tcPr>
                  <w:tcW w:w="1214" w:type="dxa"/>
                  <w:vMerge w:val="restart"/>
                  <w:tcMar>
                    <w:left w:w="28" w:type="dxa"/>
                    <w:right w:w="28" w:type="dxa"/>
                  </w:tcMar>
                  <w:vAlign w:val="center"/>
                </w:tcPr>
                <w:p w14:paraId="6BDB8148">
                  <w:pPr>
                    <w:spacing w:line="240" w:lineRule="auto"/>
                    <w:jc w:val="center"/>
                    <w:rPr>
                      <w:color w:val="auto"/>
                    </w:rPr>
                  </w:pPr>
                  <w:r>
                    <w:rPr>
                      <w:color w:val="auto"/>
                    </w:rPr>
                    <w:t>短期、可恢复</w:t>
                  </w:r>
                </w:p>
              </w:tc>
            </w:tr>
            <w:tr w14:paraId="73D4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5D3FB33F">
                  <w:pPr>
                    <w:spacing w:line="240" w:lineRule="auto"/>
                    <w:jc w:val="center"/>
                    <w:rPr>
                      <w:color w:val="auto"/>
                    </w:rPr>
                  </w:pPr>
                </w:p>
              </w:tc>
              <w:tc>
                <w:tcPr>
                  <w:tcW w:w="2901" w:type="dxa"/>
                  <w:vAlign w:val="center"/>
                </w:tcPr>
                <w:p w14:paraId="4D8213CD">
                  <w:pPr>
                    <w:spacing w:line="240" w:lineRule="auto"/>
                    <w:jc w:val="center"/>
                    <w:rPr>
                      <w:color w:val="auto"/>
                    </w:rPr>
                  </w:pPr>
                  <w:r>
                    <w:rPr>
                      <w:color w:val="auto"/>
                    </w:rPr>
                    <w:t>管线清洗试压</w:t>
                  </w:r>
                </w:p>
              </w:tc>
              <w:tc>
                <w:tcPr>
                  <w:tcW w:w="3042" w:type="dxa"/>
                  <w:vAlign w:val="center"/>
                </w:tcPr>
                <w:p w14:paraId="41318710">
                  <w:pPr>
                    <w:spacing w:line="240" w:lineRule="auto"/>
                    <w:jc w:val="center"/>
                    <w:rPr>
                      <w:color w:val="auto"/>
                    </w:rPr>
                  </w:pPr>
                  <w:r>
                    <w:rPr>
                      <w:color w:val="auto"/>
                    </w:rPr>
                    <w:t>COD、BOD</w:t>
                  </w:r>
                  <w:r>
                    <w:rPr>
                      <w:color w:val="auto"/>
                      <w:vertAlign w:val="subscript"/>
                    </w:rPr>
                    <w:t>5</w:t>
                  </w:r>
                  <w:r>
                    <w:rPr>
                      <w:color w:val="auto"/>
                    </w:rPr>
                    <w:t>、SS、氨氮</w:t>
                  </w:r>
                </w:p>
              </w:tc>
              <w:tc>
                <w:tcPr>
                  <w:tcW w:w="1214" w:type="dxa"/>
                  <w:vMerge w:val="continue"/>
                  <w:tcMar>
                    <w:left w:w="28" w:type="dxa"/>
                    <w:right w:w="28" w:type="dxa"/>
                  </w:tcMar>
                  <w:vAlign w:val="center"/>
                </w:tcPr>
                <w:p w14:paraId="610969D5">
                  <w:pPr>
                    <w:spacing w:line="240" w:lineRule="auto"/>
                    <w:jc w:val="center"/>
                    <w:rPr>
                      <w:color w:val="auto"/>
                    </w:rPr>
                  </w:pPr>
                </w:p>
              </w:tc>
            </w:tr>
            <w:tr w14:paraId="33C8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539DD347">
                  <w:pPr>
                    <w:spacing w:line="240" w:lineRule="auto"/>
                    <w:jc w:val="center"/>
                    <w:rPr>
                      <w:color w:val="auto"/>
                    </w:rPr>
                  </w:pPr>
                </w:p>
              </w:tc>
              <w:tc>
                <w:tcPr>
                  <w:tcW w:w="2901" w:type="dxa"/>
                  <w:vAlign w:val="center"/>
                </w:tcPr>
                <w:p w14:paraId="433BA324">
                  <w:pPr>
                    <w:spacing w:line="240" w:lineRule="auto"/>
                    <w:jc w:val="center"/>
                    <w:rPr>
                      <w:color w:val="auto"/>
                    </w:rPr>
                  </w:pPr>
                  <w:r>
                    <w:rPr>
                      <w:color w:val="auto"/>
                    </w:rPr>
                    <w:t>施工人员生活</w:t>
                  </w:r>
                </w:p>
              </w:tc>
              <w:tc>
                <w:tcPr>
                  <w:tcW w:w="3042" w:type="dxa"/>
                  <w:vAlign w:val="center"/>
                </w:tcPr>
                <w:p w14:paraId="46BE7079">
                  <w:pPr>
                    <w:spacing w:line="240" w:lineRule="auto"/>
                    <w:jc w:val="center"/>
                    <w:rPr>
                      <w:color w:val="auto"/>
                    </w:rPr>
                  </w:pPr>
                  <w:r>
                    <w:rPr>
                      <w:color w:val="auto"/>
                    </w:rPr>
                    <w:t>COD、SS、动植物油类</w:t>
                  </w:r>
                </w:p>
              </w:tc>
              <w:tc>
                <w:tcPr>
                  <w:tcW w:w="1214" w:type="dxa"/>
                  <w:vMerge w:val="continue"/>
                  <w:tcMar>
                    <w:left w:w="28" w:type="dxa"/>
                    <w:right w:w="28" w:type="dxa"/>
                  </w:tcMar>
                  <w:vAlign w:val="center"/>
                </w:tcPr>
                <w:p w14:paraId="601B3EDE">
                  <w:pPr>
                    <w:spacing w:line="240" w:lineRule="auto"/>
                    <w:jc w:val="center"/>
                    <w:rPr>
                      <w:color w:val="auto"/>
                    </w:rPr>
                  </w:pPr>
                </w:p>
              </w:tc>
            </w:tr>
            <w:tr w14:paraId="6D70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restart"/>
                  <w:tcMar>
                    <w:left w:w="28" w:type="dxa"/>
                    <w:right w:w="28" w:type="dxa"/>
                  </w:tcMar>
                  <w:vAlign w:val="center"/>
                </w:tcPr>
                <w:p w14:paraId="4BE227C4">
                  <w:pPr>
                    <w:spacing w:line="240" w:lineRule="auto"/>
                    <w:jc w:val="center"/>
                    <w:rPr>
                      <w:color w:val="auto"/>
                    </w:rPr>
                  </w:pPr>
                  <w:r>
                    <w:rPr>
                      <w:color w:val="auto"/>
                    </w:rPr>
                    <w:t>噪声</w:t>
                  </w:r>
                </w:p>
              </w:tc>
              <w:tc>
                <w:tcPr>
                  <w:tcW w:w="2901" w:type="dxa"/>
                  <w:vAlign w:val="center"/>
                </w:tcPr>
                <w:p w14:paraId="74FA88BB">
                  <w:pPr>
                    <w:spacing w:line="240" w:lineRule="auto"/>
                    <w:jc w:val="center"/>
                    <w:rPr>
                      <w:color w:val="auto"/>
                    </w:rPr>
                  </w:pPr>
                  <w:r>
                    <w:rPr>
                      <w:color w:val="auto"/>
                    </w:rPr>
                    <w:t>施工机械、运输车辆</w:t>
                  </w:r>
                </w:p>
              </w:tc>
              <w:tc>
                <w:tcPr>
                  <w:tcW w:w="3042" w:type="dxa"/>
                  <w:vAlign w:val="center"/>
                </w:tcPr>
                <w:p w14:paraId="5E69D99D">
                  <w:pPr>
                    <w:spacing w:line="240" w:lineRule="auto"/>
                    <w:jc w:val="center"/>
                    <w:rPr>
                      <w:color w:val="auto"/>
                    </w:rPr>
                  </w:pPr>
                  <w:r>
                    <w:rPr>
                      <w:color w:val="auto"/>
                    </w:rPr>
                    <w:t>噪声</w:t>
                  </w:r>
                </w:p>
              </w:tc>
              <w:tc>
                <w:tcPr>
                  <w:tcW w:w="1214" w:type="dxa"/>
                  <w:vMerge w:val="restart"/>
                  <w:tcMar>
                    <w:left w:w="28" w:type="dxa"/>
                    <w:right w:w="28" w:type="dxa"/>
                  </w:tcMar>
                  <w:vAlign w:val="center"/>
                </w:tcPr>
                <w:p w14:paraId="5E2790CF">
                  <w:pPr>
                    <w:spacing w:line="240" w:lineRule="auto"/>
                    <w:jc w:val="center"/>
                    <w:rPr>
                      <w:color w:val="auto"/>
                    </w:rPr>
                  </w:pPr>
                  <w:r>
                    <w:rPr>
                      <w:color w:val="auto"/>
                    </w:rPr>
                    <w:t>短期、可恢复</w:t>
                  </w:r>
                </w:p>
              </w:tc>
            </w:tr>
            <w:tr w14:paraId="6138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67FF6B15">
                  <w:pPr>
                    <w:spacing w:line="240" w:lineRule="auto"/>
                    <w:jc w:val="center"/>
                    <w:rPr>
                      <w:color w:val="auto"/>
                    </w:rPr>
                  </w:pPr>
                </w:p>
              </w:tc>
              <w:tc>
                <w:tcPr>
                  <w:tcW w:w="2901" w:type="dxa"/>
                  <w:vAlign w:val="center"/>
                </w:tcPr>
                <w:p w14:paraId="21EE59CB">
                  <w:pPr>
                    <w:spacing w:line="240" w:lineRule="auto"/>
                    <w:jc w:val="center"/>
                    <w:rPr>
                      <w:color w:val="auto"/>
                    </w:rPr>
                  </w:pPr>
                  <w:r>
                    <w:rPr>
                      <w:rFonts w:hint="eastAsia"/>
                      <w:color w:val="auto"/>
                    </w:rPr>
                    <w:t>旧管廊、管道拆除</w:t>
                  </w:r>
                </w:p>
              </w:tc>
              <w:tc>
                <w:tcPr>
                  <w:tcW w:w="3042" w:type="dxa"/>
                  <w:vAlign w:val="center"/>
                </w:tcPr>
                <w:p w14:paraId="65D526D5">
                  <w:pPr>
                    <w:spacing w:line="240" w:lineRule="auto"/>
                    <w:jc w:val="center"/>
                    <w:rPr>
                      <w:color w:val="auto"/>
                    </w:rPr>
                  </w:pPr>
                  <w:r>
                    <w:rPr>
                      <w:rFonts w:hint="eastAsia"/>
                      <w:color w:val="auto"/>
                    </w:rPr>
                    <w:t>噪声</w:t>
                  </w:r>
                </w:p>
              </w:tc>
              <w:tc>
                <w:tcPr>
                  <w:tcW w:w="1214" w:type="dxa"/>
                  <w:vMerge w:val="continue"/>
                  <w:tcMar>
                    <w:left w:w="28" w:type="dxa"/>
                    <w:right w:w="28" w:type="dxa"/>
                  </w:tcMar>
                  <w:vAlign w:val="center"/>
                </w:tcPr>
                <w:p w14:paraId="4024053D">
                  <w:pPr>
                    <w:spacing w:line="240" w:lineRule="auto"/>
                    <w:jc w:val="center"/>
                    <w:rPr>
                      <w:color w:val="auto"/>
                    </w:rPr>
                  </w:pPr>
                </w:p>
              </w:tc>
            </w:tr>
            <w:tr w14:paraId="5EF2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restart"/>
                  <w:tcMar>
                    <w:left w:w="28" w:type="dxa"/>
                    <w:right w:w="28" w:type="dxa"/>
                  </w:tcMar>
                  <w:vAlign w:val="center"/>
                </w:tcPr>
                <w:p w14:paraId="3412A5A1">
                  <w:pPr>
                    <w:spacing w:line="240" w:lineRule="auto"/>
                    <w:jc w:val="center"/>
                    <w:rPr>
                      <w:color w:val="auto"/>
                    </w:rPr>
                  </w:pPr>
                  <w:r>
                    <w:rPr>
                      <w:color w:val="auto"/>
                    </w:rPr>
                    <w:t>固体废物</w:t>
                  </w:r>
                </w:p>
              </w:tc>
              <w:tc>
                <w:tcPr>
                  <w:tcW w:w="2901" w:type="dxa"/>
                  <w:vAlign w:val="center"/>
                </w:tcPr>
                <w:p w14:paraId="63BDDE73">
                  <w:pPr>
                    <w:spacing w:line="240" w:lineRule="auto"/>
                    <w:jc w:val="center"/>
                    <w:rPr>
                      <w:color w:val="auto"/>
                    </w:rPr>
                  </w:pPr>
                  <w:r>
                    <w:rPr>
                      <w:color w:val="auto"/>
                    </w:rPr>
                    <w:t>管道焊接</w:t>
                  </w:r>
                </w:p>
              </w:tc>
              <w:tc>
                <w:tcPr>
                  <w:tcW w:w="3042" w:type="dxa"/>
                  <w:vAlign w:val="center"/>
                </w:tcPr>
                <w:p w14:paraId="520E6A1E">
                  <w:pPr>
                    <w:spacing w:line="240" w:lineRule="auto"/>
                    <w:jc w:val="center"/>
                    <w:rPr>
                      <w:rFonts w:hint="default" w:eastAsia="宋体"/>
                      <w:color w:val="auto"/>
                      <w:u w:val="single"/>
                      <w:lang w:val="en-US" w:eastAsia="zh-CN"/>
                    </w:rPr>
                  </w:pPr>
                  <w:r>
                    <w:rPr>
                      <w:rFonts w:hint="eastAsia"/>
                      <w:color w:val="auto"/>
                      <w:sz w:val="21"/>
                      <w:szCs w:val="21"/>
                      <w:lang w:eastAsia="zh-CN"/>
                    </w:rPr>
                    <w:t>切割废气、钢结构边角料、</w:t>
                  </w:r>
                  <w:r>
                    <w:rPr>
                      <w:color w:val="auto"/>
                      <w:u w:val="single"/>
                    </w:rPr>
                    <w:t>废焊条、焊渣</w:t>
                  </w:r>
                  <w:r>
                    <w:rPr>
                      <w:rFonts w:hint="eastAsia"/>
                      <w:color w:val="auto"/>
                      <w:u w:val="single"/>
                      <w:lang w:eastAsia="zh-CN"/>
                    </w:rPr>
                    <w:t>，</w:t>
                  </w:r>
                  <w:r>
                    <w:rPr>
                      <w:rFonts w:hint="eastAsia"/>
                      <w:color w:val="auto"/>
                      <w:u w:val="single"/>
                      <w:lang w:val="en-US" w:eastAsia="zh-CN"/>
                    </w:rPr>
                    <w:t>属于一般固废</w:t>
                  </w:r>
                </w:p>
              </w:tc>
              <w:tc>
                <w:tcPr>
                  <w:tcW w:w="1214" w:type="dxa"/>
                  <w:vMerge w:val="restart"/>
                  <w:tcMar>
                    <w:left w:w="28" w:type="dxa"/>
                    <w:right w:w="28" w:type="dxa"/>
                  </w:tcMar>
                  <w:vAlign w:val="center"/>
                </w:tcPr>
                <w:p w14:paraId="57B7F33D">
                  <w:pPr>
                    <w:spacing w:line="240" w:lineRule="auto"/>
                    <w:jc w:val="center"/>
                    <w:rPr>
                      <w:color w:val="auto"/>
                    </w:rPr>
                  </w:pPr>
                  <w:r>
                    <w:rPr>
                      <w:color w:val="auto"/>
                    </w:rPr>
                    <w:t>短期、可恢复</w:t>
                  </w:r>
                </w:p>
              </w:tc>
            </w:tr>
            <w:tr w14:paraId="55A9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51628D8E">
                  <w:pPr>
                    <w:spacing w:line="240" w:lineRule="auto"/>
                    <w:jc w:val="center"/>
                    <w:rPr>
                      <w:color w:val="auto"/>
                    </w:rPr>
                  </w:pPr>
                </w:p>
              </w:tc>
              <w:tc>
                <w:tcPr>
                  <w:tcW w:w="2901" w:type="dxa"/>
                  <w:vAlign w:val="center"/>
                </w:tcPr>
                <w:p w14:paraId="0959AE53">
                  <w:pPr>
                    <w:spacing w:line="240" w:lineRule="auto"/>
                    <w:jc w:val="center"/>
                    <w:rPr>
                      <w:color w:val="auto"/>
                    </w:rPr>
                  </w:pPr>
                  <w:r>
                    <w:rPr>
                      <w:color w:val="auto"/>
                    </w:rPr>
                    <w:t>清管试压</w:t>
                  </w:r>
                </w:p>
              </w:tc>
              <w:tc>
                <w:tcPr>
                  <w:tcW w:w="3042" w:type="dxa"/>
                  <w:vAlign w:val="center"/>
                </w:tcPr>
                <w:p w14:paraId="426529F7">
                  <w:pPr>
                    <w:spacing w:line="240" w:lineRule="auto"/>
                    <w:jc w:val="center"/>
                    <w:rPr>
                      <w:rFonts w:hint="default" w:eastAsia="宋体"/>
                      <w:color w:val="auto"/>
                      <w:u w:val="single"/>
                      <w:lang w:val="en-US" w:eastAsia="zh-CN"/>
                    </w:rPr>
                  </w:pPr>
                  <w:r>
                    <w:rPr>
                      <w:color w:val="auto"/>
                      <w:u w:val="single"/>
                    </w:rPr>
                    <w:t>清管过程排出少量固体废物</w:t>
                  </w:r>
                  <w:r>
                    <w:rPr>
                      <w:rFonts w:hint="eastAsia"/>
                      <w:color w:val="auto"/>
                      <w:u w:val="single"/>
                      <w:lang w:eastAsia="zh-CN"/>
                    </w:rPr>
                    <w:t>，</w:t>
                  </w:r>
                  <w:r>
                    <w:rPr>
                      <w:rFonts w:hint="eastAsia"/>
                      <w:color w:val="auto"/>
                      <w:u w:val="single"/>
                      <w:lang w:val="en-US" w:eastAsia="zh-CN"/>
                    </w:rPr>
                    <w:t>属于一般固废</w:t>
                  </w:r>
                </w:p>
              </w:tc>
              <w:tc>
                <w:tcPr>
                  <w:tcW w:w="1214" w:type="dxa"/>
                  <w:vMerge w:val="continue"/>
                  <w:tcMar>
                    <w:left w:w="28" w:type="dxa"/>
                    <w:right w:w="28" w:type="dxa"/>
                  </w:tcMar>
                  <w:vAlign w:val="center"/>
                </w:tcPr>
                <w:p w14:paraId="4EE20384">
                  <w:pPr>
                    <w:spacing w:line="240" w:lineRule="auto"/>
                    <w:jc w:val="center"/>
                    <w:rPr>
                      <w:color w:val="auto"/>
                    </w:rPr>
                  </w:pPr>
                </w:p>
              </w:tc>
            </w:tr>
            <w:tr w14:paraId="505E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118CDC4E">
                  <w:pPr>
                    <w:spacing w:line="240" w:lineRule="auto"/>
                    <w:jc w:val="center"/>
                    <w:rPr>
                      <w:color w:val="auto"/>
                    </w:rPr>
                  </w:pPr>
                </w:p>
              </w:tc>
              <w:tc>
                <w:tcPr>
                  <w:tcW w:w="2901" w:type="dxa"/>
                  <w:vAlign w:val="center"/>
                </w:tcPr>
                <w:p w14:paraId="1BE3E053">
                  <w:pPr>
                    <w:spacing w:line="240" w:lineRule="auto"/>
                    <w:jc w:val="center"/>
                    <w:rPr>
                      <w:color w:val="auto"/>
                    </w:rPr>
                  </w:pPr>
                  <w:r>
                    <w:rPr>
                      <w:rFonts w:hint="eastAsia"/>
                      <w:color w:val="auto"/>
                    </w:rPr>
                    <w:t>管廊支架、</w:t>
                  </w:r>
                  <w:r>
                    <w:rPr>
                      <w:color w:val="auto"/>
                    </w:rPr>
                    <w:t>管道</w:t>
                  </w:r>
                  <w:r>
                    <w:rPr>
                      <w:rFonts w:hint="eastAsia"/>
                      <w:color w:val="auto"/>
                    </w:rPr>
                    <w:t>焊接处防腐</w:t>
                  </w:r>
                  <w:r>
                    <w:rPr>
                      <w:color w:val="auto"/>
                    </w:rPr>
                    <w:t>涂漆</w:t>
                  </w:r>
                </w:p>
              </w:tc>
              <w:tc>
                <w:tcPr>
                  <w:tcW w:w="3042" w:type="dxa"/>
                  <w:vAlign w:val="center"/>
                </w:tcPr>
                <w:p w14:paraId="5151255D">
                  <w:pPr>
                    <w:spacing w:line="240" w:lineRule="auto"/>
                    <w:jc w:val="center"/>
                    <w:rPr>
                      <w:rFonts w:hint="default" w:eastAsia="宋体"/>
                      <w:color w:val="auto"/>
                      <w:u w:val="single"/>
                      <w:lang w:val="en-US" w:eastAsia="zh-CN"/>
                    </w:rPr>
                  </w:pPr>
                  <w:r>
                    <w:rPr>
                      <w:color w:val="auto"/>
                      <w:u w:val="single"/>
                    </w:rPr>
                    <w:t>废油漆桶、废油漆刷</w:t>
                  </w:r>
                  <w:r>
                    <w:rPr>
                      <w:rFonts w:hint="eastAsia"/>
                      <w:color w:val="auto"/>
                      <w:u w:val="single"/>
                      <w:lang w:eastAsia="zh-CN"/>
                    </w:rPr>
                    <w:t>，</w:t>
                  </w:r>
                  <w:r>
                    <w:rPr>
                      <w:rFonts w:hint="eastAsia"/>
                      <w:color w:val="auto"/>
                      <w:u w:val="single"/>
                      <w:lang w:val="en-US" w:eastAsia="zh-CN"/>
                    </w:rPr>
                    <w:t>属于危险废物HW49（900-041-49）</w:t>
                  </w:r>
                </w:p>
              </w:tc>
              <w:tc>
                <w:tcPr>
                  <w:tcW w:w="1214" w:type="dxa"/>
                  <w:vMerge w:val="continue"/>
                  <w:tcMar>
                    <w:left w:w="28" w:type="dxa"/>
                    <w:right w:w="28" w:type="dxa"/>
                  </w:tcMar>
                  <w:vAlign w:val="center"/>
                </w:tcPr>
                <w:p w14:paraId="1FB13137">
                  <w:pPr>
                    <w:spacing w:line="240" w:lineRule="auto"/>
                    <w:jc w:val="center"/>
                    <w:rPr>
                      <w:color w:val="auto"/>
                    </w:rPr>
                  </w:pPr>
                </w:p>
              </w:tc>
            </w:tr>
            <w:tr w14:paraId="13F3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0382C792">
                  <w:pPr>
                    <w:spacing w:line="240" w:lineRule="auto"/>
                    <w:jc w:val="center"/>
                    <w:rPr>
                      <w:color w:val="auto"/>
                    </w:rPr>
                  </w:pPr>
                </w:p>
              </w:tc>
              <w:tc>
                <w:tcPr>
                  <w:tcW w:w="2901" w:type="dxa"/>
                  <w:vAlign w:val="center"/>
                </w:tcPr>
                <w:p w14:paraId="05371716">
                  <w:pPr>
                    <w:spacing w:line="240" w:lineRule="auto"/>
                    <w:jc w:val="center"/>
                    <w:rPr>
                      <w:color w:val="auto"/>
                    </w:rPr>
                  </w:pPr>
                  <w:r>
                    <w:rPr>
                      <w:color w:val="auto"/>
                    </w:rPr>
                    <w:t>施工人员生活</w:t>
                  </w:r>
                </w:p>
              </w:tc>
              <w:tc>
                <w:tcPr>
                  <w:tcW w:w="3042" w:type="dxa"/>
                  <w:vAlign w:val="center"/>
                </w:tcPr>
                <w:p w14:paraId="1EBF3DA1">
                  <w:pPr>
                    <w:spacing w:line="240" w:lineRule="auto"/>
                    <w:jc w:val="center"/>
                    <w:rPr>
                      <w:rFonts w:hint="default" w:eastAsia="宋体"/>
                      <w:color w:val="auto"/>
                      <w:u w:val="single"/>
                      <w:lang w:val="en-US" w:eastAsia="zh-CN"/>
                    </w:rPr>
                  </w:pPr>
                  <w:r>
                    <w:rPr>
                      <w:color w:val="auto"/>
                      <w:u w:val="single"/>
                    </w:rPr>
                    <w:t>生活垃圾</w:t>
                  </w:r>
                  <w:r>
                    <w:rPr>
                      <w:rFonts w:hint="eastAsia"/>
                      <w:color w:val="auto"/>
                      <w:u w:val="single"/>
                      <w:lang w:eastAsia="zh-CN"/>
                    </w:rPr>
                    <w:t>，</w:t>
                  </w:r>
                  <w:r>
                    <w:rPr>
                      <w:rFonts w:hint="eastAsia"/>
                      <w:color w:val="auto"/>
                      <w:u w:val="single"/>
                      <w:lang w:val="en-US" w:eastAsia="zh-CN"/>
                    </w:rPr>
                    <w:t>属于一般固废</w:t>
                  </w:r>
                </w:p>
              </w:tc>
              <w:tc>
                <w:tcPr>
                  <w:tcW w:w="1214" w:type="dxa"/>
                  <w:vMerge w:val="continue"/>
                  <w:tcMar>
                    <w:left w:w="28" w:type="dxa"/>
                    <w:right w:w="28" w:type="dxa"/>
                  </w:tcMar>
                  <w:vAlign w:val="center"/>
                </w:tcPr>
                <w:p w14:paraId="315E3F49">
                  <w:pPr>
                    <w:spacing w:line="240" w:lineRule="auto"/>
                    <w:jc w:val="center"/>
                    <w:rPr>
                      <w:color w:val="auto"/>
                    </w:rPr>
                  </w:pPr>
                </w:p>
              </w:tc>
            </w:tr>
            <w:tr w14:paraId="48A2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4FC8B946">
                  <w:pPr>
                    <w:spacing w:line="240" w:lineRule="auto"/>
                    <w:jc w:val="center"/>
                    <w:rPr>
                      <w:color w:val="auto"/>
                    </w:rPr>
                  </w:pPr>
                </w:p>
              </w:tc>
              <w:tc>
                <w:tcPr>
                  <w:tcW w:w="2901" w:type="dxa"/>
                  <w:vAlign w:val="center"/>
                </w:tcPr>
                <w:p w14:paraId="54B656EC">
                  <w:pPr>
                    <w:spacing w:line="240" w:lineRule="auto"/>
                    <w:jc w:val="center"/>
                    <w:rPr>
                      <w:color w:val="auto"/>
                    </w:rPr>
                  </w:pPr>
                  <w:r>
                    <w:rPr>
                      <w:rFonts w:hint="eastAsia"/>
                      <w:color w:val="auto"/>
                    </w:rPr>
                    <w:t>旧管廊、管道拆除</w:t>
                  </w:r>
                </w:p>
              </w:tc>
              <w:tc>
                <w:tcPr>
                  <w:tcW w:w="3042" w:type="dxa"/>
                  <w:vAlign w:val="center"/>
                </w:tcPr>
                <w:p w14:paraId="437D3215">
                  <w:pPr>
                    <w:spacing w:line="240" w:lineRule="auto"/>
                    <w:jc w:val="center"/>
                    <w:rPr>
                      <w:rFonts w:hint="default" w:eastAsia="宋体"/>
                      <w:color w:val="auto"/>
                      <w:u w:val="single"/>
                      <w:lang w:val="en-US" w:eastAsia="zh-CN"/>
                    </w:rPr>
                  </w:pPr>
                  <w:r>
                    <w:rPr>
                      <w:rFonts w:hint="eastAsia"/>
                      <w:color w:val="auto"/>
                      <w:u w:val="single"/>
                    </w:rPr>
                    <w:t>废旧管廊支架和管道</w:t>
                  </w:r>
                  <w:r>
                    <w:rPr>
                      <w:rFonts w:hint="eastAsia"/>
                      <w:color w:val="auto"/>
                      <w:u w:val="single"/>
                      <w:lang w:eastAsia="zh-CN"/>
                    </w:rPr>
                    <w:t>，</w:t>
                  </w:r>
                  <w:r>
                    <w:rPr>
                      <w:rFonts w:hint="eastAsia"/>
                      <w:color w:val="auto"/>
                      <w:u w:val="single"/>
                      <w:lang w:val="en-US" w:eastAsia="zh-CN"/>
                    </w:rPr>
                    <w:t>其中</w:t>
                  </w:r>
                  <w:r>
                    <w:rPr>
                      <w:rFonts w:hint="eastAsia"/>
                      <w:color w:val="auto"/>
                      <w:u w:val="single"/>
                      <w:lang w:eastAsia="zh-CN"/>
                    </w:rPr>
                    <w:t>凝缩油（属烃类冷凝液）</w:t>
                  </w:r>
                  <w:r>
                    <w:rPr>
                      <w:rFonts w:hint="eastAsia"/>
                      <w:color w:val="auto"/>
                      <w:u w:val="single"/>
                      <w:lang w:val="en-US" w:eastAsia="zh-CN"/>
                    </w:rPr>
                    <w:t>废旧管道属于危险废物HW49（900-041-49），其他为一般固废</w:t>
                  </w:r>
                </w:p>
              </w:tc>
              <w:tc>
                <w:tcPr>
                  <w:tcW w:w="1214" w:type="dxa"/>
                  <w:vMerge w:val="continue"/>
                  <w:tcMar>
                    <w:left w:w="28" w:type="dxa"/>
                    <w:right w:w="28" w:type="dxa"/>
                  </w:tcMar>
                  <w:vAlign w:val="center"/>
                </w:tcPr>
                <w:p w14:paraId="2BA218DA">
                  <w:pPr>
                    <w:spacing w:line="240" w:lineRule="auto"/>
                    <w:jc w:val="center"/>
                    <w:rPr>
                      <w:color w:val="auto"/>
                    </w:rPr>
                  </w:pPr>
                </w:p>
              </w:tc>
            </w:tr>
            <w:tr w14:paraId="4A86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3362E0A9">
                  <w:pPr>
                    <w:spacing w:line="240" w:lineRule="auto"/>
                    <w:jc w:val="center"/>
                    <w:rPr>
                      <w:color w:val="auto"/>
                    </w:rPr>
                  </w:pPr>
                </w:p>
              </w:tc>
              <w:tc>
                <w:tcPr>
                  <w:tcW w:w="2901" w:type="dxa"/>
                  <w:vAlign w:val="center"/>
                </w:tcPr>
                <w:p w14:paraId="358996CC">
                  <w:pPr>
                    <w:spacing w:line="240" w:lineRule="auto"/>
                    <w:jc w:val="center"/>
                    <w:rPr>
                      <w:rFonts w:hint="default" w:eastAsia="宋体"/>
                      <w:color w:val="auto"/>
                      <w:lang w:val="en-US" w:eastAsia="zh-CN"/>
                    </w:rPr>
                  </w:pPr>
                  <w:r>
                    <w:rPr>
                      <w:rFonts w:hint="eastAsia"/>
                      <w:color w:val="auto"/>
                      <w:lang w:val="en-US" w:eastAsia="zh-CN"/>
                    </w:rPr>
                    <w:t>沉淀池沉渣</w:t>
                  </w:r>
                </w:p>
              </w:tc>
              <w:tc>
                <w:tcPr>
                  <w:tcW w:w="3042" w:type="dxa"/>
                  <w:vAlign w:val="center"/>
                </w:tcPr>
                <w:p w14:paraId="093B3944">
                  <w:pPr>
                    <w:spacing w:line="240" w:lineRule="auto"/>
                    <w:jc w:val="center"/>
                    <w:rPr>
                      <w:rFonts w:hint="eastAsia"/>
                      <w:color w:val="auto"/>
                      <w:u w:val="single"/>
                      <w:lang w:val="en-US" w:eastAsia="zh-CN"/>
                    </w:rPr>
                  </w:pPr>
                  <w:r>
                    <w:rPr>
                      <w:rFonts w:hint="eastAsia"/>
                      <w:color w:val="auto"/>
                      <w:u w:val="single"/>
                      <w:lang w:val="en-US" w:eastAsia="zh-CN"/>
                    </w:rPr>
                    <w:t>沉淀池产生沉渣，主要成分为砂砾和泥土，属于一般固废</w:t>
                  </w:r>
                </w:p>
              </w:tc>
              <w:tc>
                <w:tcPr>
                  <w:tcW w:w="1214" w:type="dxa"/>
                  <w:vMerge w:val="continue"/>
                  <w:tcMar>
                    <w:left w:w="28" w:type="dxa"/>
                    <w:right w:w="28" w:type="dxa"/>
                  </w:tcMar>
                  <w:vAlign w:val="center"/>
                </w:tcPr>
                <w:p w14:paraId="2CE15FD1">
                  <w:pPr>
                    <w:spacing w:line="240" w:lineRule="auto"/>
                    <w:jc w:val="center"/>
                    <w:rPr>
                      <w:color w:val="auto"/>
                    </w:rPr>
                  </w:pPr>
                </w:p>
              </w:tc>
            </w:tr>
            <w:tr w14:paraId="72B2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5" w:type="dxa"/>
                  <w:vMerge w:val="continue"/>
                  <w:tcMar>
                    <w:left w:w="28" w:type="dxa"/>
                    <w:right w:w="28" w:type="dxa"/>
                  </w:tcMar>
                  <w:vAlign w:val="center"/>
                </w:tcPr>
                <w:p w14:paraId="2B2671E9">
                  <w:pPr>
                    <w:spacing w:line="240" w:lineRule="auto"/>
                    <w:jc w:val="center"/>
                    <w:rPr>
                      <w:color w:val="auto"/>
                    </w:rPr>
                  </w:pPr>
                </w:p>
              </w:tc>
              <w:tc>
                <w:tcPr>
                  <w:tcW w:w="2901" w:type="dxa"/>
                  <w:vAlign w:val="center"/>
                </w:tcPr>
                <w:p w14:paraId="1396080E">
                  <w:pPr>
                    <w:spacing w:line="240" w:lineRule="auto"/>
                    <w:jc w:val="center"/>
                    <w:rPr>
                      <w:color w:val="auto"/>
                    </w:rPr>
                  </w:pPr>
                  <w:r>
                    <w:rPr>
                      <w:color w:val="auto"/>
                    </w:rPr>
                    <w:t>建筑垃圾</w:t>
                  </w:r>
                </w:p>
              </w:tc>
              <w:tc>
                <w:tcPr>
                  <w:tcW w:w="3042" w:type="dxa"/>
                  <w:vAlign w:val="center"/>
                </w:tcPr>
                <w:p w14:paraId="14AE0196">
                  <w:pPr>
                    <w:spacing w:line="240" w:lineRule="auto"/>
                    <w:jc w:val="center"/>
                    <w:rPr>
                      <w:rFonts w:hint="default" w:eastAsia="宋体"/>
                      <w:color w:val="auto"/>
                      <w:u w:val="single"/>
                      <w:lang w:val="en-US" w:eastAsia="zh-CN"/>
                    </w:rPr>
                  </w:pPr>
                  <w:r>
                    <w:rPr>
                      <w:rFonts w:hint="eastAsia"/>
                      <w:color w:val="auto"/>
                      <w:u w:val="single"/>
                      <w:lang w:val="en-US" w:eastAsia="zh-CN"/>
                    </w:rPr>
                    <w:t>钢筋、管材边角料，废包装</w:t>
                  </w:r>
                  <w:r>
                    <w:rPr>
                      <w:color w:val="auto"/>
                      <w:u w:val="single"/>
                    </w:rPr>
                    <w:t>等</w:t>
                  </w:r>
                  <w:r>
                    <w:rPr>
                      <w:rFonts w:hint="eastAsia"/>
                      <w:color w:val="auto"/>
                      <w:u w:val="single"/>
                      <w:lang w:eastAsia="zh-CN"/>
                    </w:rPr>
                    <w:t>，</w:t>
                  </w:r>
                  <w:r>
                    <w:rPr>
                      <w:rFonts w:hint="eastAsia"/>
                      <w:color w:val="auto"/>
                      <w:u w:val="single"/>
                      <w:lang w:val="en-US" w:eastAsia="zh-CN"/>
                    </w:rPr>
                    <w:t>属于一般固废</w:t>
                  </w:r>
                </w:p>
              </w:tc>
              <w:tc>
                <w:tcPr>
                  <w:tcW w:w="1214" w:type="dxa"/>
                  <w:vMerge w:val="continue"/>
                  <w:tcMar>
                    <w:left w:w="28" w:type="dxa"/>
                    <w:right w:w="28" w:type="dxa"/>
                  </w:tcMar>
                  <w:vAlign w:val="center"/>
                </w:tcPr>
                <w:p w14:paraId="3308102C">
                  <w:pPr>
                    <w:spacing w:line="240" w:lineRule="auto"/>
                    <w:jc w:val="center"/>
                    <w:rPr>
                      <w:color w:val="auto"/>
                    </w:rPr>
                  </w:pPr>
                </w:p>
              </w:tc>
            </w:tr>
          </w:tbl>
          <w:p w14:paraId="12BF5C3C">
            <w:pPr>
              <w:pStyle w:val="2"/>
              <w:keepNext w:val="0"/>
              <w:keepLines w:val="0"/>
              <w:pageBreakBefore w:val="0"/>
              <w:kinsoku/>
              <w:wordWrap/>
              <w:overflowPunct/>
              <w:autoSpaceDE/>
              <w:autoSpaceDN/>
              <w:bidi w:val="0"/>
              <w:adjustRightInd/>
              <w:snapToGrid/>
              <w:spacing w:after="0"/>
              <w:textAlignment w:val="auto"/>
              <w:rPr>
                <w:color w:val="auto"/>
              </w:rPr>
            </w:pPr>
            <w:r>
              <w:rPr>
                <w:rFonts w:ascii="Times New Roman" w:hAnsi="Times New Roman"/>
                <w:b/>
                <w:color w:val="auto"/>
                <w:szCs w:val="28"/>
              </w:rPr>
              <w:t>2.</w:t>
            </w:r>
            <w:r>
              <w:rPr>
                <w:rFonts w:hint="eastAsia" w:ascii="Times New Roman" w:hAnsi="Times New Roman"/>
                <w:b/>
                <w:color w:val="auto"/>
                <w:szCs w:val="28"/>
                <w:lang w:val="en-US" w:eastAsia="zh-CN"/>
              </w:rPr>
              <w:t>11</w:t>
            </w:r>
            <w:r>
              <w:rPr>
                <w:rFonts w:hint="eastAsia" w:ascii="Times New Roman" w:hAnsi="Times New Roman"/>
                <w:b/>
                <w:color w:val="auto"/>
                <w:szCs w:val="28"/>
              </w:rPr>
              <w:t>建设周期</w:t>
            </w:r>
          </w:p>
          <w:p w14:paraId="4C0F54F1">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rPr>
            </w:pPr>
            <w:r>
              <w:rPr>
                <w:rFonts w:hint="eastAsia"/>
                <w:color w:val="auto"/>
                <w:sz w:val="24"/>
              </w:rPr>
              <w:t>项目施工期为6个月</w:t>
            </w:r>
            <w:r>
              <w:rPr>
                <w:rFonts w:hint="eastAsia"/>
                <w:color w:val="auto"/>
                <w:sz w:val="24"/>
                <w:lang w:eastAsia="zh-CN"/>
              </w:rPr>
              <w:t>，目前已</w:t>
            </w:r>
            <w:bookmarkStart w:id="23" w:name="OLE_LINK21"/>
            <w:r>
              <w:rPr>
                <w:rFonts w:hint="eastAsia"/>
                <w:color w:val="auto"/>
                <w:sz w:val="24"/>
                <w:lang w:eastAsia="zh-CN"/>
              </w:rPr>
              <w:t>开展管廊基础开挖、浇筑混凝土的施工作业</w:t>
            </w:r>
            <w:bookmarkEnd w:id="23"/>
            <w:r>
              <w:rPr>
                <w:rFonts w:hint="eastAsia"/>
                <w:color w:val="auto"/>
                <w:sz w:val="24"/>
              </w:rPr>
              <w:t>。</w:t>
            </w:r>
          </w:p>
        </w:tc>
      </w:tr>
      <w:tr w14:paraId="30232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908" w:type="dxa"/>
            <w:vAlign w:val="center"/>
          </w:tcPr>
          <w:p w14:paraId="50D3F21C">
            <w:pPr>
              <w:pStyle w:val="17"/>
              <w:adjustRightInd w:val="0"/>
              <w:snapToGrid w:val="0"/>
              <w:spacing w:before="0" w:beforeAutospacing="0" w:after="0" w:afterAutospacing="0"/>
              <w:jc w:val="center"/>
              <w:rPr>
                <w:rFonts w:ascii="Times New Roman" w:hAnsi="Times New Roman"/>
                <w:b/>
                <w:color w:val="auto"/>
                <w:sz w:val="21"/>
                <w:szCs w:val="21"/>
              </w:rPr>
            </w:pPr>
            <w:r>
              <w:rPr>
                <w:rFonts w:ascii="Times New Roman" w:hAnsi="Times New Roman"/>
                <w:b/>
                <w:color w:val="auto"/>
                <w:szCs w:val="21"/>
              </w:rPr>
              <w:t>其他</w:t>
            </w:r>
          </w:p>
        </w:tc>
        <w:tc>
          <w:tcPr>
            <w:tcW w:w="8378" w:type="dxa"/>
            <w:vAlign w:val="center"/>
          </w:tcPr>
          <w:p w14:paraId="414FB572">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jc w:val="both"/>
              <w:textAlignment w:val="auto"/>
              <w:rPr>
                <w:rFonts w:hint="eastAsia" w:eastAsia="宋体"/>
                <w:color w:val="auto"/>
                <w:lang w:val="en-US" w:eastAsia="zh-CN"/>
              </w:rPr>
            </w:pPr>
            <w:r>
              <w:rPr>
                <w:rFonts w:hint="eastAsia"/>
                <w:color w:val="auto"/>
                <w:lang w:val="en-US" w:eastAsia="zh-CN"/>
              </w:rPr>
              <w:t>无</w:t>
            </w:r>
          </w:p>
        </w:tc>
      </w:tr>
    </w:tbl>
    <w:p w14:paraId="59469E23">
      <w:pPr>
        <w:pStyle w:val="17"/>
        <w:jc w:val="center"/>
        <w:rPr>
          <w:rFonts w:ascii="Times New Roman" w:hAnsi="Times New Roman"/>
          <w:snapToGrid w:val="0"/>
          <w:color w:val="auto"/>
          <w:sz w:val="36"/>
          <w:szCs w:val="36"/>
        </w:rPr>
        <w:sectPr>
          <w:pgSz w:w="11906" w:h="16838"/>
          <w:pgMar w:top="1418" w:right="1418" w:bottom="1418" w:left="1418" w:header="851" w:footer="851" w:gutter="0"/>
          <w:cols w:space="0" w:num="1"/>
          <w:docGrid w:linePitch="312" w:charSpace="0"/>
        </w:sectPr>
      </w:pPr>
    </w:p>
    <w:p w14:paraId="4C4C1AF0">
      <w:pPr>
        <w:pStyle w:val="17"/>
        <w:spacing w:before="0" w:beforeAutospacing="0" w:after="0" w:afterAutospacing="0" w:line="360" w:lineRule="auto"/>
        <w:jc w:val="center"/>
        <w:outlineLvl w:val="0"/>
        <w:rPr>
          <w:rFonts w:ascii="Times New Roman" w:hAnsi="Times New Roman"/>
          <w:b/>
          <w:snapToGrid w:val="0"/>
          <w:color w:val="auto"/>
          <w:sz w:val="30"/>
          <w:szCs w:val="30"/>
        </w:rPr>
      </w:pPr>
      <w:bookmarkStart w:id="24" w:name="_Toc152336003"/>
      <w:r>
        <w:rPr>
          <w:rFonts w:ascii="Times New Roman" w:hAnsi="Times New Roman"/>
          <w:b/>
          <w:snapToGrid w:val="0"/>
          <w:color w:val="auto"/>
          <w:sz w:val="30"/>
          <w:szCs w:val="30"/>
        </w:rPr>
        <w:t>三、生态环境现状、环境保护目标及评价标准</w:t>
      </w:r>
      <w:bookmarkEnd w:id="24"/>
    </w:p>
    <w:tbl>
      <w:tblPr>
        <w:tblStyle w:val="22"/>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604"/>
      </w:tblGrid>
      <w:tr w14:paraId="589A0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8" w:hRule="atLeast"/>
          <w:jc w:val="center"/>
        </w:trPr>
        <w:tc>
          <w:tcPr>
            <w:tcW w:w="683" w:type="dxa"/>
            <w:vAlign w:val="center"/>
          </w:tcPr>
          <w:p w14:paraId="43F5C2BE">
            <w:pPr>
              <w:adjustRightInd w:val="0"/>
              <w:snapToGrid w:val="0"/>
              <w:jc w:val="center"/>
              <w:rPr>
                <w:color w:val="auto"/>
                <w:kern w:val="0"/>
                <w:szCs w:val="21"/>
              </w:rPr>
            </w:pPr>
            <w:r>
              <w:rPr>
                <w:b/>
                <w:color w:val="auto"/>
                <w:kern w:val="0"/>
                <w:sz w:val="24"/>
                <w:szCs w:val="21"/>
              </w:rPr>
              <w:t>生态环境现状</w:t>
            </w:r>
          </w:p>
        </w:tc>
        <w:tc>
          <w:tcPr>
            <w:tcW w:w="8604" w:type="dxa"/>
            <w:vAlign w:val="center"/>
          </w:tcPr>
          <w:p w14:paraId="25DD2AC9">
            <w:pPr>
              <w:keepNext w:val="0"/>
              <w:keepLines w:val="0"/>
              <w:pageBreakBefore w:val="0"/>
              <w:kinsoku/>
              <w:wordWrap/>
              <w:overflowPunct/>
              <w:autoSpaceDE w:val="0"/>
              <w:autoSpaceDN w:val="0"/>
              <w:bidi w:val="0"/>
              <w:adjustRightInd w:val="0"/>
              <w:spacing w:after="0" w:line="360" w:lineRule="auto"/>
              <w:ind w:firstLine="586" w:firstLineChars="200"/>
              <w:jc w:val="left"/>
              <w:textAlignment w:val="auto"/>
              <w:rPr>
                <w:rFonts w:hint="eastAsia" w:eastAsia="宋体"/>
                <w:b/>
                <w:color w:val="auto"/>
                <w:spacing w:val="6"/>
                <w:kern w:val="0"/>
                <w:sz w:val="28"/>
                <w:u w:val="single"/>
                <w:lang w:val="en-US" w:eastAsia="zh-CN"/>
              </w:rPr>
            </w:pPr>
            <w:r>
              <w:rPr>
                <w:b/>
                <w:color w:val="auto"/>
                <w:spacing w:val="6"/>
                <w:kern w:val="0"/>
                <w:sz w:val="28"/>
                <w:u w:val="single"/>
              </w:rPr>
              <w:t>3.</w:t>
            </w:r>
            <w:r>
              <w:rPr>
                <w:rFonts w:hint="eastAsia"/>
                <w:b/>
                <w:color w:val="auto"/>
                <w:spacing w:val="6"/>
                <w:kern w:val="0"/>
                <w:sz w:val="28"/>
                <w:u w:val="single"/>
                <w:lang w:val="en-US" w:eastAsia="zh-CN"/>
              </w:rPr>
              <w:t>1 项目生态功能区划和主体功能区划情况</w:t>
            </w:r>
          </w:p>
          <w:p w14:paraId="276C145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color w:val="auto"/>
                <w:sz w:val="24"/>
                <w:szCs w:val="24"/>
                <w:u w:val="single"/>
                <w:lang w:val="en-US" w:eastAsia="zh-CN"/>
              </w:rPr>
            </w:pPr>
            <w:r>
              <w:rPr>
                <w:rFonts w:hint="eastAsia"/>
                <w:color w:val="auto"/>
                <w:sz w:val="24"/>
                <w:szCs w:val="24"/>
                <w:u w:val="single"/>
                <w:lang w:val="en-US" w:eastAsia="zh-CN"/>
              </w:rPr>
              <w:t>（1）</w:t>
            </w:r>
            <w:r>
              <w:rPr>
                <w:rFonts w:hint="eastAsia"/>
                <w:b/>
                <w:color w:val="auto"/>
                <w:spacing w:val="6"/>
                <w:kern w:val="0"/>
                <w:sz w:val="24"/>
                <w:szCs w:val="24"/>
                <w:u w:val="single"/>
                <w:lang w:val="en-US" w:eastAsia="zh-CN"/>
              </w:rPr>
              <w:t>项目与广西壮族自治区生态功能区划的关系</w:t>
            </w:r>
          </w:p>
          <w:p w14:paraId="08C1742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u w:val="single"/>
                <w:lang w:val="en-US" w:eastAsia="zh-CN"/>
              </w:rPr>
              <w:t>根据《广西壮族自治区生态功能区划》，全区划分为生态调节、产品提供与人居保障等3类一级生态功能区。在一级生态功能区的基础上，依据生态功能重要性划分为6类二级生态功能区。生态调节功能区包括水源涵养与生物多样性保护功能区、水源涵养功能区、生物多样性保护功能区、土壤保持功能区；产品提供功能区为农林产品提供功能区；人居保障功能区为中心城市功能区。在二级生态功能类型区的基础上，根据生态系统与生态功能的空间差异、地貌差异、土地利用的组合以及主导功能划分为74个三级生态功能区。根据《广西壮族自治区生态功能区划》，本项目所在区域属于“3-1-8 钦州中心城市功能区”。</w:t>
            </w:r>
          </w:p>
          <w:p w14:paraId="382D79F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u w:val="single"/>
                <w:lang w:val="en-US" w:eastAsia="zh-CN"/>
              </w:rPr>
              <w:t>中心城市功能区的主要特征和保护方向如下：</w:t>
            </w:r>
          </w:p>
          <w:p w14:paraId="1825FF7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u w:val="single"/>
                <w:lang w:val="en-US" w:eastAsia="zh-CN"/>
              </w:rPr>
              <w:t>中心城市功能区包括南宁、柳州、桂林、梧州、北海、玉林、贵港、钦州、防城港、河池、百色、贺州、来宾、崇左等14个中心城市。</w:t>
            </w:r>
          </w:p>
          <w:p w14:paraId="33C95A4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u w:val="single"/>
                <w:lang w:val="en-US" w:eastAsia="zh-CN"/>
              </w:rPr>
              <w:t>主要生态问题：城市环保设施滞后，部分城市水环境、空气环境污染问题较为突出，城市生态功能不完善。</w:t>
            </w:r>
          </w:p>
          <w:p w14:paraId="4E460E7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u w:val="single"/>
                <w:lang w:val="en-US" w:eastAsia="zh-CN"/>
              </w:rPr>
              <w:t>生态保护主要方向与措施：推进生态城市建设，改善生态人居，建设生态文明，弘扬生态文化；合理规划布局城市功能组团，完善城市功能；以循环经济理念指导产业发展，加快产业结构调整，推广应用清洁能源，提高资源利用效率；加强城市园林绿地系统建设，保护城市自然植被、水域；深化城市环境综合整治，加快城市环保设施建设；加快公共交通建设，控制机动车尾气排放，减少环境污染。</w:t>
            </w:r>
          </w:p>
          <w:p w14:paraId="157FE73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color w:val="auto"/>
                <w:sz w:val="24"/>
                <w:u w:val="single"/>
                <w:lang w:val="en-US" w:eastAsia="zh-CN"/>
              </w:rPr>
            </w:pPr>
            <w:r>
              <w:rPr>
                <w:rFonts w:hint="eastAsia"/>
                <w:color w:val="auto"/>
                <w:sz w:val="24"/>
                <w:u w:val="single"/>
                <w:lang w:val="en-US" w:eastAsia="zh-CN"/>
              </w:rPr>
              <w:t>项目位于钦州石化产业园内，属于工业园区基础配套设施，运营期正常情况下无污染物排放，对环境影响较小。因此，本工程与《广西壮族自治区生态功能区划》是相符合的，项目与</w:t>
            </w:r>
            <w:r>
              <w:rPr>
                <w:rFonts w:hint="default"/>
                <w:color w:val="auto"/>
                <w:sz w:val="24"/>
                <w:u w:val="single"/>
                <w:lang w:val="en-US" w:eastAsia="zh-CN"/>
              </w:rPr>
              <w:t>广西壮族自治区</w:t>
            </w:r>
            <w:r>
              <w:rPr>
                <w:rFonts w:hint="eastAsia"/>
                <w:color w:val="auto"/>
                <w:sz w:val="24"/>
                <w:u w:val="single"/>
                <w:lang w:val="en-US" w:eastAsia="zh-CN"/>
              </w:rPr>
              <w:t>重要生态功能区关系见附图6。</w:t>
            </w:r>
          </w:p>
          <w:p w14:paraId="4B12E84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szCs w:val="24"/>
                <w:u w:val="single"/>
                <w:lang w:val="en-US" w:eastAsia="zh-CN"/>
              </w:rPr>
              <w:t>（2）</w:t>
            </w:r>
            <w:r>
              <w:rPr>
                <w:rFonts w:hint="eastAsia"/>
                <w:b/>
                <w:color w:val="auto"/>
                <w:spacing w:val="6"/>
                <w:kern w:val="0"/>
                <w:sz w:val="24"/>
                <w:szCs w:val="24"/>
                <w:u w:val="single"/>
                <w:lang w:val="en-US" w:eastAsia="zh-CN"/>
              </w:rPr>
              <w:t>项目与广西主体功能区划关系</w:t>
            </w:r>
          </w:p>
          <w:p w14:paraId="5F4E538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u w:val="single"/>
                <w:lang w:val="en-US" w:eastAsia="zh-CN"/>
              </w:rPr>
              <w:t>根据《广西壮族自治区主体功能区规划》，广西北部湾经济区是国家层面的重点开发区域，位于全国“两横三纵”城市化战略格局中沿海通道纵轴的南端。包括南宁、北海、钦州和防城港四市所辖的13个城区，以及横县、合浦县、灵山县、东兴市等4个县（市）。北部湾经济区是我国西部唯一的沿海地区，最适宜人居的区域之一，区域开发强度不高，可利用土地资源、水资源、深水岸线资源较为丰富，大气环境、水环境质量良好，城镇化水平不高，人口和经济集聚处于起步阶段，区位优势明显，发展潜力巨大。钦州市属于国家层面重点开发区域。</w:t>
            </w:r>
          </w:p>
          <w:p w14:paraId="3D27DA6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u w:val="single"/>
                <w:lang w:val="en-US" w:eastAsia="zh-CN"/>
              </w:rPr>
              <w:t>功能定位：我国面向东盟国家对外开放的重要门户，中国—东盟自由贸易区的前沿地带和桥头堡，中国—东盟区域性的物流基地、商贸基地、加工制造基地和信息交流中心，成为带动支撑西部大开发的战略高地、我国沿海发展新增长极、重要国际区域经济合作区。</w:t>
            </w:r>
          </w:p>
          <w:p w14:paraId="2926B9A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u w:val="single"/>
                <w:lang w:val="en-US" w:eastAsia="zh-CN"/>
              </w:rPr>
              <w:t>发展方向：深入实施广西北部湾经济区发展规划，全面落实国家赋予的各项优惠政策，在资源配置、产业布局、重大项目、政策支持等方面进一步加大倾斜力度，推动产业、港口、交通、物流、城建、旅游、招商、文化等实现大发展，充分发挥引领带动作用。</w:t>
            </w:r>
          </w:p>
          <w:p w14:paraId="58E5EF2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color w:val="auto"/>
                <w:sz w:val="24"/>
                <w:u w:val="single"/>
                <w:lang w:val="en-US" w:eastAsia="zh-CN"/>
              </w:rPr>
            </w:pPr>
            <w:r>
              <w:rPr>
                <w:rFonts w:hint="eastAsia"/>
                <w:color w:val="auto"/>
                <w:sz w:val="24"/>
                <w:u w:val="single"/>
                <w:lang w:val="en-US" w:eastAsia="zh-CN"/>
              </w:rPr>
              <w:t>钦州市重点向东向南发展，实施“东进南拓、向海发展”的城市空间发展战略，打造北部湾临海核心工业区、区域性国际航运中心和物流中心，具有岭南风格、滨海风光的宜商宜居城市。</w:t>
            </w:r>
          </w:p>
          <w:p w14:paraId="4BBCC5A6">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构筑石化、冶金、电子信息、有色金属、能源、船舶、装备制造、造纸、粮油加工、海洋和高新技术，以及物流、金融、旅游、电子商务等现代服务业的现代产业体系。依托国家级和省级开发区，增强配套能力，加快发展产业集群，建设主要利用海外资源的沿海</w:t>
            </w:r>
            <w:r>
              <w:rPr>
                <w:rFonts w:hint="eastAsia" w:cs="Times New Roman"/>
                <w:color w:val="auto"/>
                <w:kern w:val="2"/>
                <w:sz w:val="24"/>
                <w:szCs w:val="24"/>
                <w:u w:val="single"/>
                <w:lang w:val="en-US" w:eastAsia="zh-CN" w:bidi="ar-SA"/>
              </w:rPr>
              <w:t>重工业</w:t>
            </w:r>
            <w:r>
              <w:rPr>
                <w:rFonts w:hint="eastAsia" w:ascii="Times New Roman" w:hAnsi="Times New Roman" w:eastAsia="宋体" w:cs="Times New Roman"/>
                <w:color w:val="auto"/>
                <w:kern w:val="2"/>
                <w:sz w:val="24"/>
                <w:szCs w:val="24"/>
                <w:u w:val="single"/>
                <w:lang w:val="en-US" w:eastAsia="zh-CN" w:bidi="ar-SA"/>
              </w:rPr>
              <w:t>产业带和产业基地。</w:t>
            </w:r>
          </w:p>
          <w:p w14:paraId="36CD640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b/>
                <w:color w:val="auto"/>
                <w:kern w:val="0"/>
                <w:sz w:val="28"/>
                <w:szCs w:val="28"/>
              </w:rPr>
            </w:pPr>
            <w:r>
              <w:rPr>
                <w:rFonts w:hint="eastAsia"/>
                <w:color w:val="auto"/>
                <w:sz w:val="24"/>
                <w:u w:val="single"/>
                <w:lang w:val="en-US" w:eastAsia="zh-CN"/>
              </w:rPr>
              <w:t>项目位于钦州石化产业园内，属于工业园区基础配套设施，符合《广西壮族自治区主体功能区规划》的要求，与广西主体功能区划关系见附图7。</w:t>
            </w:r>
          </w:p>
          <w:p w14:paraId="4FF455D4">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jc w:val="left"/>
              <w:textAlignment w:val="auto"/>
              <w:rPr>
                <w:b/>
                <w:color w:val="auto"/>
                <w:kern w:val="0"/>
                <w:sz w:val="28"/>
                <w:szCs w:val="28"/>
              </w:rPr>
            </w:pPr>
            <w:r>
              <w:rPr>
                <w:b/>
                <w:color w:val="auto"/>
                <w:kern w:val="0"/>
                <w:sz w:val="28"/>
                <w:szCs w:val="28"/>
              </w:rPr>
              <w:t>3.</w:t>
            </w:r>
            <w:r>
              <w:rPr>
                <w:rFonts w:hint="eastAsia"/>
                <w:b/>
                <w:color w:val="auto"/>
                <w:kern w:val="0"/>
                <w:sz w:val="28"/>
                <w:szCs w:val="28"/>
                <w:lang w:val="en-US" w:eastAsia="zh-CN"/>
              </w:rPr>
              <w:t>2</w:t>
            </w:r>
            <w:r>
              <w:rPr>
                <w:b/>
                <w:color w:val="auto"/>
                <w:kern w:val="0"/>
                <w:sz w:val="28"/>
                <w:szCs w:val="28"/>
              </w:rPr>
              <w:t>生态环境现状</w:t>
            </w:r>
          </w:p>
          <w:p w14:paraId="38391D3B">
            <w:pPr>
              <w:keepNext w:val="0"/>
              <w:keepLines w:val="0"/>
              <w:pageBreakBefore w:val="0"/>
              <w:widowControl w:val="0"/>
              <w:kinsoku/>
              <w:wordWrap/>
              <w:overflowPunct/>
              <w:topLinePunct w:val="0"/>
              <w:autoSpaceDE/>
              <w:autoSpaceDN/>
              <w:bidi w:val="0"/>
              <w:spacing w:after="0" w:line="360" w:lineRule="auto"/>
              <w:ind w:firstLine="504" w:firstLineChars="200"/>
              <w:textAlignment w:val="auto"/>
              <w:rPr>
                <w:color w:val="auto"/>
                <w:spacing w:val="6"/>
                <w:kern w:val="0"/>
                <w:sz w:val="24"/>
              </w:rPr>
            </w:pPr>
            <w:r>
              <w:rPr>
                <w:color w:val="auto"/>
                <w:spacing w:val="6"/>
                <w:kern w:val="0"/>
                <w:sz w:val="24"/>
              </w:rPr>
              <w:t>本项目位于广西钦州石化产业园，是位于已批准规划环评的产业园区内且符合规划环评要求，不涉及生态敏感区。</w:t>
            </w:r>
          </w:p>
          <w:p w14:paraId="453C1DB1">
            <w:pPr>
              <w:keepNext w:val="0"/>
              <w:keepLines w:val="0"/>
              <w:pageBreakBefore w:val="0"/>
              <w:widowControl w:val="0"/>
              <w:tabs>
                <w:tab w:val="left" w:pos="2121"/>
              </w:tabs>
              <w:kinsoku/>
              <w:wordWrap/>
              <w:overflowPunct/>
              <w:topLinePunct w:val="0"/>
              <w:autoSpaceDE/>
              <w:autoSpaceDN/>
              <w:bidi w:val="0"/>
              <w:spacing w:after="0" w:line="360" w:lineRule="auto"/>
              <w:ind w:firstLine="504" w:firstLineChars="200"/>
              <w:textAlignment w:val="auto"/>
              <w:rPr>
                <w:color w:val="auto"/>
                <w:spacing w:val="6"/>
                <w:kern w:val="0"/>
                <w:sz w:val="24"/>
              </w:rPr>
            </w:pPr>
            <w:r>
              <w:rPr>
                <w:color w:val="auto"/>
                <w:spacing w:val="6"/>
                <w:kern w:val="0"/>
                <w:sz w:val="24"/>
              </w:rPr>
              <w:t>（1）项目占地情况</w:t>
            </w:r>
          </w:p>
          <w:p w14:paraId="2B296548">
            <w:pPr>
              <w:keepNext w:val="0"/>
              <w:keepLines w:val="0"/>
              <w:pageBreakBefore w:val="0"/>
              <w:widowControl w:val="0"/>
              <w:kinsoku/>
              <w:wordWrap/>
              <w:overflowPunct/>
              <w:topLinePunct w:val="0"/>
              <w:autoSpaceDE/>
              <w:autoSpaceDN/>
              <w:bidi w:val="0"/>
              <w:spacing w:after="0" w:line="360" w:lineRule="auto"/>
              <w:ind w:firstLine="504" w:firstLineChars="200"/>
              <w:textAlignment w:val="auto"/>
              <w:rPr>
                <w:color w:val="auto"/>
                <w:spacing w:val="6"/>
                <w:kern w:val="0"/>
                <w:sz w:val="24"/>
              </w:rPr>
            </w:pPr>
            <w:r>
              <w:rPr>
                <w:color w:val="auto"/>
                <w:spacing w:val="6"/>
                <w:kern w:val="0"/>
                <w:sz w:val="24"/>
              </w:rPr>
              <w:t>项目</w:t>
            </w:r>
            <w:r>
              <w:rPr>
                <w:rFonts w:hint="eastAsia"/>
                <w:color w:val="auto"/>
                <w:sz w:val="24"/>
              </w:rPr>
              <w:t>占地面积：</w:t>
            </w:r>
            <w:r>
              <w:rPr>
                <w:color w:val="auto"/>
                <w:sz w:val="24"/>
              </w:rPr>
              <w:t>694.75</w:t>
            </w:r>
            <w:r>
              <w:rPr>
                <w:rFonts w:hint="eastAsia"/>
                <w:color w:val="auto"/>
                <w:sz w:val="24"/>
              </w:rPr>
              <w:t>m</w:t>
            </w:r>
            <w:r>
              <w:rPr>
                <w:rFonts w:hint="eastAsia"/>
                <w:color w:val="auto"/>
                <w:sz w:val="24"/>
                <w:vertAlign w:val="superscript"/>
              </w:rPr>
              <w:t>2</w:t>
            </w:r>
            <w:r>
              <w:rPr>
                <w:rFonts w:hint="eastAsia"/>
                <w:color w:val="auto"/>
                <w:sz w:val="24"/>
                <w:lang w:eastAsia="zh-CN"/>
              </w:rPr>
              <w:t>，</w:t>
            </w:r>
            <w:r>
              <w:rPr>
                <w:color w:val="auto"/>
                <w:spacing w:val="6"/>
                <w:kern w:val="0"/>
                <w:sz w:val="24"/>
              </w:rPr>
              <w:t>用地范围属于广西钦州石化产业园规划工业用地，用地现状主要为荒地，不涉及占用永久基本农田。</w:t>
            </w:r>
          </w:p>
          <w:p w14:paraId="6DB987B8">
            <w:pPr>
              <w:keepNext w:val="0"/>
              <w:keepLines w:val="0"/>
              <w:pageBreakBefore w:val="0"/>
              <w:widowControl w:val="0"/>
              <w:tabs>
                <w:tab w:val="left" w:pos="2121"/>
              </w:tabs>
              <w:kinsoku/>
              <w:wordWrap/>
              <w:overflowPunct/>
              <w:topLinePunct w:val="0"/>
              <w:autoSpaceDE/>
              <w:autoSpaceDN/>
              <w:bidi w:val="0"/>
              <w:spacing w:after="0" w:line="360" w:lineRule="auto"/>
              <w:ind w:firstLine="504" w:firstLineChars="200"/>
              <w:textAlignment w:val="auto"/>
              <w:rPr>
                <w:color w:val="auto"/>
                <w:spacing w:val="6"/>
                <w:kern w:val="0"/>
                <w:sz w:val="24"/>
              </w:rPr>
            </w:pPr>
            <w:r>
              <w:rPr>
                <w:color w:val="auto"/>
                <w:spacing w:val="6"/>
                <w:kern w:val="0"/>
                <w:sz w:val="24"/>
              </w:rPr>
              <w:t>（2）植被</w:t>
            </w:r>
          </w:p>
          <w:p w14:paraId="26D7D93C">
            <w:pPr>
              <w:keepNext w:val="0"/>
              <w:keepLines w:val="0"/>
              <w:pageBreakBefore w:val="0"/>
              <w:widowControl w:val="0"/>
              <w:kinsoku/>
              <w:wordWrap/>
              <w:overflowPunct/>
              <w:topLinePunct w:val="0"/>
              <w:autoSpaceDE/>
              <w:autoSpaceDN/>
              <w:bidi w:val="0"/>
              <w:spacing w:after="0" w:line="360" w:lineRule="auto"/>
              <w:ind w:firstLine="504" w:firstLineChars="200"/>
              <w:textAlignment w:val="auto"/>
              <w:rPr>
                <w:color w:val="auto"/>
                <w:spacing w:val="6"/>
                <w:kern w:val="0"/>
                <w:sz w:val="24"/>
              </w:rPr>
            </w:pPr>
            <w:r>
              <w:rPr>
                <w:color w:val="auto"/>
                <w:spacing w:val="6"/>
                <w:kern w:val="0"/>
                <w:sz w:val="24"/>
              </w:rPr>
              <w:t>项目所在区域</w:t>
            </w:r>
            <w:r>
              <w:rPr>
                <w:rFonts w:hint="eastAsia"/>
                <w:color w:val="auto"/>
                <w:spacing w:val="6"/>
                <w:kern w:val="0"/>
                <w:sz w:val="24"/>
              </w:rPr>
              <w:t>为园区工业用地，场地经过平整和</w:t>
            </w:r>
            <w:r>
              <w:rPr>
                <w:color w:val="auto"/>
                <w:spacing w:val="6"/>
                <w:kern w:val="0"/>
                <w:sz w:val="24"/>
              </w:rPr>
              <w:t>开发，</w:t>
            </w:r>
            <w:r>
              <w:rPr>
                <w:rFonts w:hint="eastAsia"/>
                <w:color w:val="auto"/>
                <w:spacing w:val="6"/>
                <w:kern w:val="0"/>
                <w:sz w:val="24"/>
              </w:rPr>
              <w:t>周边区域长期受人类活动影响，植被类型单一，多数为人工绿化树种（如小叶榕、夹竹桃等）</w:t>
            </w:r>
            <w:r>
              <w:rPr>
                <w:rFonts w:hint="eastAsia"/>
                <w:color w:val="auto"/>
                <w:spacing w:val="6"/>
                <w:kern w:val="0"/>
                <w:sz w:val="24"/>
                <w:lang w:eastAsia="zh-CN"/>
              </w:rPr>
              <w:t>、</w:t>
            </w:r>
            <w:r>
              <w:rPr>
                <w:rFonts w:hint="eastAsia"/>
                <w:color w:val="auto"/>
                <w:spacing w:val="6"/>
                <w:kern w:val="0"/>
                <w:sz w:val="24"/>
              </w:rPr>
              <w:t>低矮灌丛或草本植物（如五节芒、白茅等），生物多样性简单。评价区域范围内无国家保护的各类珍稀、濒危动植物分布，生态环境一般。</w:t>
            </w:r>
          </w:p>
          <w:p w14:paraId="0DC9F3C3">
            <w:pPr>
              <w:keepNext w:val="0"/>
              <w:keepLines w:val="0"/>
              <w:pageBreakBefore w:val="0"/>
              <w:widowControl w:val="0"/>
              <w:tabs>
                <w:tab w:val="left" w:pos="2121"/>
              </w:tabs>
              <w:kinsoku/>
              <w:wordWrap/>
              <w:overflowPunct/>
              <w:topLinePunct w:val="0"/>
              <w:autoSpaceDE/>
              <w:autoSpaceDN/>
              <w:bidi w:val="0"/>
              <w:spacing w:after="0" w:line="360" w:lineRule="auto"/>
              <w:ind w:firstLine="504" w:firstLineChars="200"/>
              <w:textAlignment w:val="auto"/>
              <w:rPr>
                <w:color w:val="auto"/>
                <w:spacing w:val="6"/>
                <w:kern w:val="0"/>
                <w:sz w:val="24"/>
              </w:rPr>
            </w:pPr>
            <w:r>
              <w:rPr>
                <w:color w:val="auto"/>
                <w:spacing w:val="6"/>
                <w:kern w:val="0"/>
                <w:sz w:val="24"/>
              </w:rPr>
              <w:t>（3）动物</w:t>
            </w:r>
          </w:p>
          <w:p w14:paraId="306EEB6F">
            <w:pPr>
              <w:keepNext w:val="0"/>
              <w:keepLines w:val="0"/>
              <w:pageBreakBefore w:val="0"/>
              <w:widowControl w:val="0"/>
              <w:kinsoku/>
              <w:wordWrap/>
              <w:overflowPunct/>
              <w:topLinePunct w:val="0"/>
              <w:autoSpaceDE/>
              <w:autoSpaceDN/>
              <w:bidi w:val="0"/>
              <w:spacing w:after="0" w:line="360" w:lineRule="auto"/>
              <w:ind w:firstLine="504" w:firstLineChars="200"/>
              <w:textAlignment w:val="auto"/>
              <w:rPr>
                <w:color w:val="auto"/>
                <w:spacing w:val="6"/>
                <w:kern w:val="0"/>
                <w:sz w:val="24"/>
              </w:rPr>
            </w:pPr>
            <w:r>
              <w:rPr>
                <w:color w:val="auto"/>
                <w:spacing w:val="6"/>
                <w:kern w:val="0"/>
                <w:sz w:val="24"/>
              </w:rPr>
              <w:t>由于评价区域已经过开发，长期受人类频繁活动影响，经查阅文献及现场调查、访问等，评价区域未</w:t>
            </w:r>
            <w:r>
              <w:rPr>
                <w:rFonts w:hint="eastAsia"/>
                <w:color w:val="auto"/>
                <w:spacing w:val="6"/>
                <w:kern w:val="0"/>
                <w:sz w:val="24"/>
                <w:lang w:val="en-US" w:eastAsia="zh-CN"/>
              </w:rPr>
              <w:t>发现</w:t>
            </w:r>
            <w:r>
              <w:rPr>
                <w:color w:val="auto"/>
                <w:spacing w:val="6"/>
                <w:kern w:val="0"/>
                <w:sz w:val="24"/>
              </w:rPr>
              <w:t>大型野生动物。现存的动物主要是一些昆虫、爬行类</w:t>
            </w:r>
            <w:r>
              <w:rPr>
                <w:rFonts w:hint="eastAsia"/>
                <w:color w:val="auto"/>
                <w:spacing w:val="6"/>
                <w:kern w:val="0"/>
                <w:sz w:val="24"/>
                <w:lang w:eastAsia="zh-CN"/>
              </w:rPr>
              <w:t>、鸟类及啮齿类动物</w:t>
            </w:r>
            <w:r>
              <w:rPr>
                <w:color w:val="auto"/>
                <w:spacing w:val="6"/>
                <w:kern w:val="0"/>
                <w:sz w:val="24"/>
              </w:rPr>
              <w:t>。而这些种类也是适应性极强或分布广泛，或者是一些在人类居住区常见的物种，如老鼠、蜘蛛、蟋蟀等。</w:t>
            </w:r>
          </w:p>
          <w:p w14:paraId="23A38EA2">
            <w:pPr>
              <w:pStyle w:val="10"/>
              <w:keepNext w:val="0"/>
              <w:keepLines w:val="0"/>
              <w:pageBreakBefore w:val="0"/>
              <w:widowControl w:val="0"/>
              <w:kinsoku/>
              <w:wordWrap/>
              <w:overflowPunct/>
              <w:topLinePunct w:val="0"/>
              <w:autoSpaceDE/>
              <w:autoSpaceDN/>
              <w:bidi w:val="0"/>
              <w:spacing w:after="0" w:line="360" w:lineRule="auto"/>
              <w:ind w:firstLine="504" w:firstLineChars="200"/>
              <w:textAlignment w:val="auto"/>
              <w:rPr>
                <w:color w:val="auto"/>
                <w:spacing w:val="6"/>
                <w:kern w:val="0"/>
              </w:rPr>
            </w:pPr>
            <w:r>
              <w:rPr>
                <w:color w:val="auto"/>
                <w:spacing w:val="6"/>
                <w:kern w:val="0"/>
              </w:rPr>
              <w:t>项目周边</w:t>
            </w:r>
            <w:r>
              <w:rPr>
                <w:rFonts w:hint="eastAsia"/>
                <w:color w:val="auto"/>
                <w:spacing w:val="6"/>
                <w:kern w:val="0"/>
              </w:rPr>
              <w:t>为石化工厂</w:t>
            </w:r>
            <w:r>
              <w:rPr>
                <w:color w:val="auto"/>
                <w:spacing w:val="6"/>
                <w:kern w:val="0"/>
              </w:rPr>
              <w:t>，通过实地调查，评价范围内未</w:t>
            </w:r>
            <w:r>
              <w:rPr>
                <w:rFonts w:hint="eastAsia"/>
                <w:color w:val="auto"/>
                <w:spacing w:val="6"/>
                <w:kern w:val="0"/>
              </w:rPr>
              <w:t>发现珍</w:t>
            </w:r>
            <w:r>
              <w:rPr>
                <w:color w:val="auto"/>
                <w:spacing w:val="6"/>
                <w:kern w:val="0"/>
              </w:rPr>
              <w:t>稀濒危动、植物种类。评价区域生态环境质量一般。</w:t>
            </w:r>
          </w:p>
          <w:p w14:paraId="30D03E92">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jc w:val="left"/>
              <w:textAlignment w:val="auto"/>
              <w:rPr>
                <w:b/>
                <w:color w:val="auto"/>
                <w:kern w:val="0"/>
                <w:sz w:val="28"/>
                <w:szCs w:val="28"/>
              </w:rPr>
            </w:pPr>
            <w:r>
              <w:rPr>
                <w:b/>
                <w:color w:val="auto"/>
                <w:kern w:val="0"/>
                <w:sz w:val="28"/>
                <w:szCs w:val="28"/>
              </w:rPr>
              <w:t>3.</w:t>
            </w:r>
            <w:r>
              <w:rPr>
                <w:rFonts w:hint="eastAsia"/>
                <w:b/>
                <w:color w:val="auto"/>
                <w:kern w:val="0"/>
                <w:sz w:val="28"/>
                <w:szCs w:val="28"/>
                <w:lang w:val="en-US" w:eastAsia="zh-CN"/>
              </w:rPr>
              <w:t>3</w:t>
            </w:r>
            <w:r>
              <w:rPr>
                <w:b/>
                <w:color w:val="auto"/>
                <w:kern w:val="0"/>
                <w:sz w:val="28"/>
                <w:szCs w:val="28"/>
              </w:rPr>
              <w:t>环境空气质量现状</w:t>
            </w:r>
          </w:p>
          <w:p w14:paraId="671D47B9">
            <w:pPr>
              <w:keepNext w:val="0"/>
              <w:keepLines w:val="0"/>
              <w:pageBreakBefore w:val="0"/>
              <w:widowControl w:val="0"/>
              <w:kinsoku/>
              <w:wordWrap/>
              <w:overflowPunct/>
              <w:topLinePunct w:val="0"/>
              <w:autoSpaceDE/>
              <w:autoSpaceDN/>
              <w:bidi w:val="0"/>
              <w:spacing w:after="0" w:line="360" w:lineRule="auto"/>
              <w:ind w:firstLine="480"/>
              <w:textAlignment w:val="auto"/>
              <w:rPr>
                <w:color w:val="auto"/>
                <w:sz w:val="24"/>
              </w:rPr>
            </w:pPr>
            <w:r>
              <w:rPr>
                <w:rFonts w:hint="eastAsia" w:ascii="Times New Roman" w:hAnsi="Times New Roman" w:eastAsia="宋体"/>
                <w:caps w:val="0"/>
                <w:color w:val="auto"/>
                <w:sz w:val="24"/>
                <w:szCs w:val="24"/>
                <w:lang w:val="en-US" w:eastAsia="zh-CN"/>
              </w:rPr>
              <w:t>（1）区域</w:t>
            </w:r>
            <w:r>
              <w:rPr>
                <w:rFonts w:hint="default" w:ascii="Times New Roman" w:hAnsi="Times New Roman" w:eastAsia="宋体"/>
                <w:caps w:val="0"/>
                <w:color w:val="auto"/>
                <w:sz w:val="24"/>
                <w:szCs w:val="24"/>
              </w:rPr>
              <w:t>环境质量现状评价</w:t>
            </w:r>
          </w:p>
          <w:p w14:paraId="5033CD8F">
            <w:pPr>
              <w:keepNext w:val="0"/>
              <w:keepLines w:val="0"/>
              <w:pageBreakBefore w:val="0"/>
              <w:widowControl w:val="0"/>
              <w:kinsoku/>
              <w:wordWrap/>
              <w:overflowPunct/>
              <w:topLinePunct w:val="0"/>
              <w:autoSpaceDE/>
              <w:autoSpaceDN/>
              <w:bidi w:val="0"/>
              <w:spacing w:after="0" w:line="360" w:lineRule="auto"/>
              <w:ind w:firstLine="480"/>
              <w:textAlignment w:val="auto"/>
              <w:rPr>
                <w:color w:val="auto"/>
                <w:sz w:val="24"/>
              </w:rPr>
            </w:pPr>
            <w:r>
              <w:rPr>
                <w:color w:val="auto"/>
                <w:sz w:val="24"/>
              </w:rPr>
              <w:t>本项目厂址位于</w:t>
            </w:r>
            <w:r>
              <w:rPr>
                <w:rFonts w:hint="eastAsia"/>
                <w:bCs/>
                <w:color w:val="auto"/>
                <w:sz w:val="24"/>
              </w:rPr>
              <w:t>广西钦州港经济技术开发区内的石化产业园区</w:t>
            </w:r>
            <w:r>
              <w:rPr>
                <w:color w:val="auto"/>
                <w:sz w:val="24"/>
              </w:rPr>
              <w:t>，属于环境空气二类功能区，执行《环境空气质量标准》（GB3095-2012）及其修改单二级标准。</w:t>
            </w:r>
          </w:p>
          <w:p w14:paraId="5580EF57">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color w:val="auto"/>
                <w:spacing w:val="10"/>
                <w:sz w:val="24"/>
              </w:rPr>
            </w:pPr>
            <w:r>
              <w:rPr>
                <w:color w:val="auto"/>
                <w:sz w:val="24"/>
              </w:rPr>
              <w:t>根据广西壮族自治区生态环境厅网站于202</w:t>
            </w:r>
            <w:r>
              <w:rPr>
                <w:rFonts w:hint="eastAsia"/>
                <w:color w:val="auto"/>
                <w:sz w:val="24"/>
              </w:rPr>
              <w:t>4</w:t>
            </w:r>
            <w:r>
              <w:rPr>
                <w:color w:val="auto"/>
                <w:sz w:val="24"/>
              </w:rPr>
              <w:t>年1月</w:t>
            </w:r>
            <w:r>
              <w:rPr>
                <w:rFonts w:hint="eastAsia"/>
                <w:color w:val="auto"/>
                <w:sz w:val="24"/>
              </w:rPr>
              <w:t>11</w:t>
            </w:r>
            <w:r>
              <w:rPr>
                <w:color w:val="auto"/>
                <w:sz w:val="24"/>
              </w:rPr>
              <w:t>日发布的《</w:t>
            </w:r>
            <w:bookmarkStart w:id="25" w:name="OLE_LINK11"/>
            <w:r>
              <w:rPr>
                <w:color w:val="auto"/>
                <w:sz w:val="24"/>
              </w:rPr>
              <w:t>自治区生态环境厅关于通报 202</w:t>
            </w:r>
            <w:r>
              <w:rPr>
                <w:rFonts w:hint="eastAsia"/>
                <w:color w:val="auto"/>
                <w:sz w:val="24"/>
              </w:rPr>
              <w:t>3</w:t>
            </w:r>
            <w:r>
              <w:rPr>
                <w:color w:val="auto"/>
                <w:sz w:val="24"/>
              </w:rPr>
              <w:t>年设区城市及各县（市、区）环境空气质量的函</w:t>
            </w:r>
            <w:bookmarkEnd w:id="25"/>
            <w:r>
              <w:rPr>
                <w:color w:val="auto"/>
                <w:sz w:val="24"/>
              </w:rPr>
              <w:t>》（桂环函〔202</w:t>
            </w:r>
            <w:r>
              <w:rPr>
                <w:rFonts w:hint="eastAsia"/>
                <w:color w:val="auto"/>
                <w:sz w:val="24"/>
              </w:rPr>
              <w:t>4</w:t>
            </w:r>
            <w:r>
              <w:rPr>
                <w:color w:val="auto"/>
                <w:sz w:val="24"/>
              </w:rPr>
              <w:t>〕</w:t>
            </w:r>
            <w:r>
              <w:rPr>
                <w:rFonts w:hint="eastAsia"/>
                <w:color w:val="auto"/>
                <w:sz w:val="24"/>
              </w:rPr>
              <w:t>58</w:t>
            </w:r>
            <w:r>
              <w:rPr>
                <w:color w:val="auto"/>
                <w:sz w:val="24"/>
              </w:rPr>
              <w:t xml:space="preserve"> 号），202</w:t>
            </w:r>
            <w:r>
              <w:rPr>
                <w:rFonts w:hint="eastAsia"/>
                <w:color w:val="auto"/>
                <w:sz w:val="24"/>
              </w:rPr>
              <w:t>3</w:t>
            </w:r>
            <w:r>
              <w:rPr>
                <w:color w:val="auto"/>
                <w:sz w:val="24"/>
              </w:rPr>
              <w:t>年</w:t>
            </w:r>
            <w:r>
              <w:rPr>
                <w:rFonts w:hint="eastAsia"/>
                <w:color w:val="auto"/>
                <w:sz w:val="24"/>
              </w:rPr>
              <w:t>钦州市</w:t>
            </w:r>
            <w:r>
              <w:rPr>
                <w:color w:val="auto"/>
                <w:sz w:val="24"/>
              </w:rPr>
              <w:t>环境空气各项污染物年平均浓度见表3-1。由表可知，</w:t>
            </w:r>
            <w:r>
              <w:rPr>
                <w:rFonts w:hint="eastAsia"/>
                <w:color w:val="auto"/>
                <w:sz w:val="24"/>
              </w:rPr>
              <w:t>钦州市</w:t>
            </w:r>
            <w:r>
              <w:rPr>
                <w:color w:val="auto"/>
                <w:sz w:val="24"/>
              </w:rPr>
              <w:t>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年平均质量浓度以及CO24小时平均第95百分位数、O</w:t>
            </w:r>
            <w:r>
              <w:rPr>
                <w:color w:val="auto"/>
                <w:sz w:val="24"/>
                <w:vertAlign w:val="subscript"/>
              </w:rPr>
              <w:t>3</w:t>
            </w:r>
            <w:r>
              <w:rPr>
                <w:color w:val="auto"/>
                <w:sz w:val="24"/>
              </w:rPr>
              <w:t>日最大8小时平均第90百分位数浓度均达到《环境空气质量标准》（GB3095-2012）及其2018年修改单中的二级标准。本项目所在区域属于环境空气质量达标区。</w:t>
            </w:r>
          </w:p>
          <w:p w14:paraId="20E12163">
            <w:pPr>
              <w:spacing w:after="0" w:line="240" w:lineRule="auto"/>
              <w:jc w:val="center"/>
              <w:rPr>
                <w:b/>
                <w:bCs/>
                <w:color w:val="auto"/>
                <w:szCs w:val="21"/>
                <w:shd w:val="clear" w:color="auto" w:fill="FFFFFF"/>
              </w:rPr>
            </w:pPr>
            <w:r>
              <w:rPr>
                <w:b/>
                <w:bCs/>
                <w:color w:val="auto"/>
                <w:szCs w:val="21"/>
                <w:shd w:val="clear" w:color="auto" w:fill="FFFFFF"/>
              </w:rPr>
              <w:t>表3-1</w:t>
            </w:r>
            <w:r>
              <w:rPr>
                <w:rFonts w:hint="eastAsia"/>
                <w:b/>
                <w:bCs/>
                <w:color w:val="auto"/>
                <w:szCs w:val="21"/>
                <w:shd w:val="clear" w:color="auto" w:fill="FFFFFF"/>
              </w:rPr>
              <w:t xml:space="preserve">   </w:t>
            </w:r>
            <w:r>
              <w:rPr>
                <w:b/>
                <w:bCs/>
                <w:color w:val="auto"/>
                <w:szCs w:val="21"/>
                <w:shd w:val="clear" w:color="auto" w:fill="FFFFFF"/>
              </w:rPr>
              <w:t>钦州市环境空气质量评价表</w:t>
            </w:r>
          </w:p>
          <w:tbl>
            <w:tblPr>
              <w:tblStyle w:val="22"/>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332"/>
              <w:gridCol w:w="1247"/>
              <w:gridCol w:w="1219"/>
              <w:gridCol w:w="1126"/>
              <w:gridCol w:w="1212"/>
            </w:tblGrid>
            <w:tr w14:paraId="07E3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vAlign w:val="center"/>
                </w:tcPr>
                <w:p w14:paraId="5AAABF00">
                  <w:pPr>
                    <w:widowControl/>
                    <w:adjustRightInd w:val="0"/>
                    <w:snapToGrid w:val="0"/>
                    <w:spacing w:after="0"/>
                    <w:contextualSpacing/>
                    <w:jc w:val="center"/>
                    <w:rPr>
                      <w:b/>
                      <w:bCs/>
                      <w:color w:val="auto"/>
                      <w:szCs w:val="21"/>
                    </w:rPr>
                  </w:pPr>
                  <w:r>
                    <w:rPr>
                      <w:b/>
                      <w:bCs/>
                      <w:color w:val="auto"/>
                      <w:szCs w:val="21"/>
                    </w:rPr>
                    <w:t>污染物</w:t>
                  </w:r>
                </w:p>
              </w:tc>
              <w:tc>
                <w:tcPr>
                  <w:tcW w:w="2332" w:type="dxa"/>
                  <w:vAlign w:val="center"/>
                </w:tcPr>
                <w:p w14:paraId="7209812B">
                  <w:pPr>
                    <w:widowControl/>
                    <w:adjustRightInd w:val="0"/>
                    <w:snapToGrid w:val="0"/>
                    <w:spacing w:after="0"/>
                    <w:contextualSpacing/>
                    <w:jc w:val="center"/>
                    <w:rPr>
                      <w:b/>
                      <w:bCs/>
                      <w:color w:val="auto"/>
                      <w:szCs w:val="21"/>
                    </w:rPr>
                  </w:pPr>
                  <w:r>
                    <w:rPr>
                      <w:b/>
                      <w:bCs/>
                      <w:color w:val="auto"/>
                      <w:szCs w:val="21"/>
                    </w:rPr>
                    <w:t>年评价指标</w:t>
                  </w:r>
                </w:p>
              </w:tc>
              <w:tc>
                <w:tcPr>
                  <w:tcW w:w="1247" w:type="dxa"/>
                  <w:vAlign w:val="center"/>
                </w:tcPr>
                <w:p w14:paraId="5102F817">
                  <w:pPr>
                    <w:widowControl/>
                    <w:adjustRightInd w:val="0"/>
                    <w:snapToGrid w:val="0"/>
                    <w:spacing w:after="0"/>
                    <w:contextualSpacing/>
                    <w:jc w:val="center"/>
                    <w:rPr>
                      <w:b/>
                      <w:bCs/>
                      <w:color w:val="auto"/>
                      <w:szCs w:val="21"/>
                    </w:rPr>
                  </w:pPr>
                  <w:r>
                    <w:rPr>
                      <w:b/>
                      <w:bCs/>
                      <w:color w:val="auto"/>
                      <w:szCs w:val="21"/>
                    </w:rPr>
                    <w:t>现状浓度（μg/m</w:t>
                  </w:r>
                  <w:r>
                    <w:rPr>
                      <w:b/>
                      <w:bCs/>
                      <w:color w:val="auto"/>
                      <w:szCs w:val="21"/>
                      <w:vertAlign w:val="superscript"/>
                    </w:rPr>
                    <w:t>3</w:t>
                  </w:r>
                  <w:r>
                    <w:rPr>
                      <w:b/>
                      <w:bCs/>
                      <w:color w:val="auto"/>
                      <w:szCs w:val="21"/>
                    </w:rPr>
                    <w:t>）</w:t>
                  </w:r>
                </w:p>
              </w:tc>
              <w:tc>
                <w:tcPr>
                  <w:tcW w:w="1219" w:type="dxa"/>
                  <w:vAlign w:val="center"/>
                </w:tcPr>
                <w:p w14:paraId="4A0C59FA">
                  <w:pPr>
                    <w:widowControl/>
                    <w:adjustRightInd w:val="0"/>
                    <w:snapToGrid w:val="0"/>
                    <w:spacing w:after="0"/>
                    <w:contextualSpacing/>
                    <w:jc w:val="center"/>
                    <w:rPr>
                      <w:b/>
                      <w:bCs/>
                      <w:color w:val="auto"/>
                      <w:szCs w:val="21"/>
                    </w:rPr>
                  </w:pPr>
                  <w:r>
                    <w:rPr>
                      <w:b/>
                      <w:bCs/>
                      <w:color w:val="auto"/>
                      <w:szCs w:val="21"/>
                    </w:rPr>
                    <w:t>标准值（μg/m</w:t>
                  </w:r>
                  <w:r>
                    <w:rPr>
                      <w:b/>
                      <w:bCs/>
                      <w:color w:val="auto"/>
                      <w:szCs w:val="21"/>
                      <w:vertAlign w:val="superscript"/>
                    </w:rPr>
                    <w:t>3</w:t>
                  </w:r>
                  <w:r>
                    <w:rPr>
                      <w:b/>
                      <w:bCs/>
                      <w:color w:val="auto"/>
                      <w:szCs w:val="21"/>
                    </w:rPr>
                    <w:t>）</w:t>
                  </w:r>
                </w:p>
              </w:tc>
              <w:tc>
                <w:tcPr>
                  <w:tcW w:w="1126" w:type="dxa"/>
                  <w:vAlign w:val="center"/>
                </w:tcPr>
                <w:p w14:paraId="55C3BA11">
                  <w:pPr>
                    <w:widowControl/>
                    <w:adjustRightInd w:val="0"/>
                    <w:snapToGrid w:val="0"/>
                    <w:spacing w:after="0"/>
                    <w:contextualSpacing/>
                    <w:jc w:val="center"/>
                    <w:rPr>
                      <w:b/>
                      <w:bCs/>
                      <w:color w:val="auto"/>
                      <w:szCs w:val="21"/>
                    </w:rPr>
                  </w:pPr>
                  <w:r>
                    <w:rPr>
                      <w:b/>
                      <w:bCs/>
                      <w:color w:val="auto"/>
                      <w:szCs w:val="21"/>
                    </w:rPr>
                    <w:t>占标率%</w:t>
                  </w:r>
                </w:p>
              </w:tc>
              <w:tc>
                <w:tcPr>
                  <w:tcW w:w="1212" w:type="dxa"/>
                  <w:vAlign w:val="center"/>
                </w:tcPr>
                <w:p w14:paraId="30CE1192">
                  <w:pPr>
                    <w:widowControl/>
                    <w:adjustRightInd w:val="0"/>
                    <w:snapToGrid w:val="0"/>
                    <w:spacing w:after="0"/>
                    <w:contextualSpacing/>
                    <w:jc w:val="center"/>
                    <w:rPr>
                      <w:b/>
                      <w:bCs/>
                      <w:color w:val="auto"/>
                      <w:szCs w:val="21"/>
                    </w:rPr>
                  </w:pPr>
                  <w:r>
                    <w:rPr>
                      <w:b/>
                      <w:bCs/>
                      <w:color w:val="auto"/>
                      <w:szCs w:val="21"/>
                    </w:rPr>
                    <w:t>达标情况</w:t>
                  </w:r>
                </w:p>
              </w:tc>
            </w:tr>
            <w:tr w14:paraId="0B7F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vAlign w:val="center"/>
                </w:tcPr>
                <w:p w14:paraId="081435BA">
                  <w:pPr>
                    <w:widowControl/>
                    <w:adjustRightInd w:val="0"/>
                    <w:snapToGrid w:val="0"/>
                    <w:spacing w:after="0"/>
                    <w:contextualSpacing/>
                    <w:jc w:val="center"/>
                    <w:rPr>
                      <w:color w:val="auto"/>
                      <w:szCs w:val="21"/>
                    </w:rPr>
                  </w:pPr>
                  <w:r>
                    <w:rPr>
                      <w:color w:val="auto"/>
                      <w:szCs w:val="21"/>
                    </w:rPr>
                    <w:t>SO</w:t>
                  </w:r>
                  <w:r>
                    <w:rPr>
                      <w:color w:val="auto"/>
                      <w:szCs w:val="21"/>
                      <w:vertAlign w:val="subscript"/>
                    </w:rPr>
                    <w:t>2</w:t>
                  </w:r>
                </w:p>
              </w:tc>
              <w:tc>
                <w:tcPr>
                  <w:tcW w:w="2332" w:type="dxa"/>
                  <w:vAlign w:val="center"/>
                </w:tcPr>
                <w:p w14:paraId="2F62E3E7">
                  <w:pPr>
                    <w:widowControl/>
                    <w:adjustRightInd w:val="0"/>
                    <w:snapToGrid w:val="0"/>
                    <w:spacing w:after="0"/>
                    <w:contextualSpacing/>
                    <w:jc w:val="center"/>
                    <w:rPr>
                      <w:color w:val="auto"/>
                      <w:szCs w:val="21"/>
                    </w:rPr>
                  </w:pPr>
                  <w:r>
                    <w:rPr>
                      <w:color w:val="auto"/>
                      <w:szCs w:val="21"/>
                    </w:rPr>
                    <w:t>年平均质量浓度</w:t>
                  </w:r>
                </w:p>
              </w:tc>
              <w:tc>
                <w:tcPr>
                  <w:tcW w:w="1247" w:type="dxa"/>
                  <w:vAlign w:val="center"/>
                </w:tcPr>
                <w:p w14:paraId="76C9EEE4">
                  <w:pPr>
                    <w:widowControl/>
                    <w:adjustRightInd w:val="0"/>
                    <w:snapToGrid w:val="0"/>
                    <w:spacing w:after="0"/>
                    <w:contextualSpacing/>
                    <w:jc w:val="center"/>
                    <w:rPr>
                      <w:color w:val="auto"/>
                      <w:szCs w:val="21"/>
                    </w:rPr>
                  </w:pPr>
                </w:p>
              </w:tc>
              <w:tc>
                <w:tcPr>
                  <w:tcW w:w="1219" w:type="dxa"/>
                  <w:vAlign w:val="center"/>
                </w:tcPr>
                <w:p w14:paraId="5CFFEDBE">
                  <w:pPr>
                    <w:widowControl/>
                    <w:adjustRightInd w:val="0"/>
                    <w:snapToGrid w:val="0"/>
                    <w:spacing w:after="0"/>
                    <w:contextualSpacing/>
                    <w:jc w:val="center"/>
                    <w:rPr>
                      <w:color w:val="auto"/>
                      <w:szCs w:val="21"/>
                    </w:rPr>
                  </w:pPr>
                  <w:r>
                    <w:rPr>
                      <w:color w:val="auto"/>
                      <w:szCs w:val="21"/>
                    </w:rPr>
                    <w:t>60</w:t>
                  </w:r>
                </w:p>
              </w:tc>
              <w:tc>
                <w:tcPr>
                  <w:tcW w:w="1126" w:type="dxa"/>
                </w:tcPr>
                <w:p w14:paraId="53932AE6">
                  <w:pPr>
                    <w:widowControl/>
                    <w:adjustRightInd w:val="0"/>
                    <w:snapToGrid w:val="0"/>
                    <w:spacing w:after="0"/>
                    <w:contextualSpacing/>
                    <w:jc w:val="center"/>
                    <w:rPr>
                      <w:color w:val="auto"/>
                      <w:szCs w:val="21"/>
                    </w:rPr>
                  </w:pPr>
                </w:p>
              </w:tc>
              <w:tc>
                <w:tcPr>
                  <w:tcW w:w="1212" w:type="dxa"/>
                </w:tcPr>
                <w:p w14:paraId="59F6D4A8">
                  <w:pPr>
                    <w:widowControl/>
                    <w:adjustRightInd w:val="0"/>
                    <w:snapToGrid w:val="0"/>
                    <w:spacing w:after="0"/>
                    <w:contextualSpacing/>
                    <w:jc w:val="center"/>
                    <w:rPr>
                      <w:color w:val="auto"/>
                      <w:szCs w:val="21"/>
                    </w:rPr>
                  </w:pPr>
                  <w:r>
                    <w:rPr>
                      <w:color w:val="auto"/>
                      <w:szCs w:val="21"/>
                    </w:rPr>
                    <w:t>达标</w:t>
                  </w:r>
                </w:p>
              </w:tc>
            </w:tr>
            <w:tr w14:paraId="34C8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vAlign w:val="center"/>
                </w:tcPr>
                <w:p w14:paraId="314207A9">
                  <w:pPr>
                    <w:widowControl/>
                    <w:adjustRightInd w:val="0"/>
                    <w:snapToGrid w:val="0"/>
                    <w:spacing w:after="0"/>
                    <w:contextualSpacing/>
                    <w:jc w:val="center"/>
                    <w:rPr>
                      <w:color w:val="auto"/>
                      <w:szCs w:val="21"/>
                    </w:rPr>
                  </w:pPr>
                  <w:r>
                    <w:rPr>
                      <w:color w:val="auto"/>
                      <w:szCs w:val="21"/>
                    </w:rPr>
                    <w:t>NO</w:t>
                  </w:r>
                  <w:r>
                    <w:rPr>
                      <w:color w:val="auto"/>
                      <w:szCs w:val="21"/>
                      <w:vertAlign w:val="subscript"/>
                    </w:rPr>
                    <w:t>2</w:t>
                  </w:r>
                </w:p>
              </w:tc>
              <w:tc>
                <w:tcPr>
                  <w:tcW w:w="2332" w:type="dxa"/>
                  <w:vAlign w:val="center"/>
                </w:tcPr>
                <w:p w14:paraId="4504737F">
                  <w:pPr>
                    <w:widowControl/>
                    <w:adjustRightInd w:val="0"/>
                    <w:snapToGrid w:val="0"/>
                    <w:spacing w:after="0"/>
                    <w:contextualSpacing/>
                    <w:jc w:val="center"/>
                    <w:rPr>
                      <w:color w:val="auto"/>
                      <w:szCs w:val="21"/>
                    </w:rPr>
                  </w:pPr>
                  <w:r>
                    <w:rPr>
                      <w:color w:val="auto"/>
                      <w:szCs w:val="21"/>
                    </w:rPr>
                    <w:t>年平均质量浓度</w:t>
                  </w:r>
                </w:p>
              </w:tc>
              <w:tc>
                <w:tcPr>
                  <w:tcW w:w="1247" w:type="dxa"/>
                  <w:vAlign w:val="center"/>
                </w:tcPr>
                <w:p w14:paraId="2CDFB547">
                  <w:pPr>
                    <w:widowControl/>
                    <w:adjustRightInd w:val="0"/>
                    <w:snapToGrid w:val="0"/>
                    <w:spacing w:after="0"/>
                    <w:contextualSpacing/>
                    <w:jc w:val="center"/>
                    <w:rPr>
                      <w:color w:val="auto"/>
                      <w:szCs w:val="21"/>
                    </w:rPr>
                  </w:pPr>
                </w:p>
              </w:tc>
              <w:tc>
                <w:tcPr>
                  <w:tcW w:w="1219" w:type="dxa"/>
                  <w:vAlign w:val="center"/>
                </w:tcPr>
                <w:p w14:paraId="4BDAD68F">
                  <w:pPr>
                    <w:widowControl/>
                    <w:adjustRightInd w:val="0"/>
                    <w:snapToGrid w:val="0"/>
                    <w:spacing w:after="0"/>
                    <w:contextualSpacing/>
                    <w:jc w:val="center"/>
                    <w:rPr>
                      <w:color w:val="auto"/>
                      <w:szCs w:val="21"/>
                    </w:rPr>
                  </w:pPr>
                  <w:r>
                    <w:rPr>
                      <w:color w:val="auto"/>
                      <w:szCs w:val="21"/>
                    </w:rPr>
                    <w:t>40</w:t>
                  </w:r>
                </w:p>
              </w:tc>
              <w:tc>
                <w:tcPr>
                  <w:tcW w:w="1126" w:type="dxa"/>
                </w:tcPr>
                <w:p w14:paraId="37918BD1">
                  <w:pPr>
                    <w:widowControl/>
                    <w:adjustRightInd w:val="0"/>
                    <w:snapToGrid w:val="0"/>
                    <w:spacing w:after="0"/>
                    <w:contextualSpacing/>
                    <w:jc w:val="center"/>
                    <w:rPr>
                      <w:color w:val="auto"/>
                      <w:szCs w:val="21"/>
                    </w:rPr>
                  </w:pPr>
                </w:p>
              </w:tc>
              <w:tc>
                <w:tcPr>
                  <w:tcW w:w="1212" w:type="dxa"/>
                </w:tcPr>
                <w:p w14:paraId="4984C595">
                  <w:pPr>
                    <w:widowControl/>
                    <w:adjustRightInd w:val="0"/>
                    <w:snapToGrid w:val="0"/>
                    <w:spacing w:after="0"/>
                    <w:contextualSpacing/>
                    <w:jc w:val="center"/>
                    <w:rPr>
                      <w:color w:val="auto"/>
                      <w:szCs w:val="21"/>
                    </w:rPr>
                  </w:pPr>
                  <w:r>
                    <w:rPr>
                      <w:color w:val="auto"/>
                      <w:szCs w:val="21"/>
                    </w:rPr>
                    <w:t>达标</w:t>
                  </w:r>
                </w:p>
              </w:tc>
            </w:tr>
            <w:tr w14:paraId="2BEA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vAlign w:val="center"/>
                </w:tcPr>
                <w:p w14:paraId="38F71F00">
                  <w:pPr>
                    <w:widowControl/>
                    <w:adjustRightInd w:val="0"/>
                    <w:snapToGrid w:val="0"/>
                    <w:spacing w:after="0"/>
                    <w:contextualSpacing/>
                    <w:jc w:val="center"/>
                    <w:rPr>
                      <w:color w:val="auto"/>
                      <w:szCs w:val="21"/>
                    </w:rPr>
                  </w:pPr>
                  <w:r>
                    <w:rPr>
                      <w:color w:val="auto"/>
                      <w:szCs w:val="21"/>
                    </w:rPr>
                    <w:t>PM</w:t>
                  </w:r>
                  <w:r>
                    <w:rPr>
                      <w:color w:val="auto"/>
                      <w:szCs w:val="21"/>
                      <w:vertAlign w:val="subscript"/>
                    </w:rPr>
                    <w:t>10</w:t>
                  </w:r>
                </w:p>
              </w:tc>
              <w:tc>
                <w:tcPr>
                  <w:tcW w:w="2332" w:type="dxa"/>
                  <w:vAlign w:val="center"/>
                </w:tcPr>
                <w:p w14:paraId="4DB40B03">
                  <w:pPr>
                    <w:widowControl/>
                    <w:adjustRightInd w:val="0"/>
                    <w:snapToGrid w:val="0"/>
                    <w:spacing w:after="0"/>
                    <w:contextualSpacing/>
                    <w:jc w:val="center"/>
                    <w:rPr>
                      <w:color w:val="auto"/>
                      <w:szCs w:val="21"/>
                    </w:rPr>
                  </w:pPr>
                  <w:r>
                    <w:rPr>
                      <w:color w:val="auto"/>
                      <w:szCs w:val="21"/>
                    </w:rPr>
                    <w:t>年平均质量浓度</w:t>
                  </w:r>
                </w:p>
              </w:tc>
              <w:tc>
                <w:tcPr>
                  <w:tcW w:w="1247" w:type="dxa"/>
                  <w:vAlign w:val="center"/>
                </w:tcPr>
                <w:p w14:paraId="03047BC7">
                  <w:pPr>
                    <w:widowControl/>
                    <w:adjustRightInd w:val="0"/>
                    <w:snapToGrid w:val="0"/>
                    <w:spacing w:after="0"/>
                    <w:contextualSpacing/>
                    <w:jc w:val="center"/>
                    <w:rPr>
                      <w:color w:val="auto"/>
                      <w:szCs w:val="21"/>
                    </w:rPr>
                  </w:pPr>
                </w:p>
              </w:tc>
              <w:tc>
                <w:tcPr>
                  <w:tcW w:w="1219" w:type="dxa"/>
                  <w:vAlign w:val="center"/>
                </w:tcPr>
                <w:p w14:paraId="0C2A103A">
                  <w:pPr>
                    <w:widowControl/>
                    <w:adjustRightInd w:val="0"/>
                    <w:snapToGrid w:val="0"/>
                    <w:spacing w:after="0"/>
                    <w:contextualSpacing/>
                    <w:jc w:val="center"/>
                    <w:rPr>
                      <w:color w:val="auto"/>
                      <w:szCs w:val="21"/>
                    </w:rPr>
                  </w:pPr>
                  <w:r>
                    <w:rPr>
                      <w:color w:val="auto"/>
                      <w:szCs w:val="21"/>
                    </w:rPr>
                    <w:t>70</w:t>
                  </w:r>
                </w:p>
              </w:tc>
              <w:tc>
                <w:tcPr>
                  <w:tcW w:w="1126" w:type="dxa"/>
                </w:tcPr>
                <w:p w14:paraId="60F9BD1C">
                  <w:pPr>
                    <w:widowControl/>
                    <w:adjustRightInd w:val="0"/>
                    <w:snapToGrid w:val="0"/>
                    <w:spacing w:after="0"/>
                    <w:contextualSpacing/>
                    <w:jc w:val="center"/>
                    <w:rPr>
                      <w:color w:val="auto"/>
                      <w:szCs w:val="21"/>
                    </w:rPr>
                  </w:pPr>
                </w:p>
              </w:tc>
              <w:tc>
                <w:tcPr>
                  <w:tcW w:w="1212" w:type="dxa"/>
                </w:tcPr>
                <w:p w14:paraId="653F8814">
                  <w:pPr>
                    <w:widowControl/>
                    <w:adjustRightInd w:val="0"/>
                    <w:snapToGrid w:val="0"/>
                    <w:spacing w:after="0"/>
                    <w:contextualSpacing/>
                    <w:jc w:val="center"/>
                    <w:rPr>
                      <w:color w:val="auto"/>
                      <w:szCs w:val="21"/>
                    </w:rPr>
                  </w:pPr>
                  <w:r>
                    <w:rPr>
                      <w:color w:val="auto"/>
                      <w:szCs w:val="21"/>
                    </w:rPr>
                    <w:t>达标</w:t>
                  </w:r>
                </w:p>
              </w:tc>
            </w:tr>
            <w:tr w14:paraId="58D5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vAlign w:val="center"/>
                </w:tcPr>
                <w:p w14:paraId="7929FBBE">
                  <w:pPr>
                    <w:widowControl/>
                    <w:adjustRightInd w:val="0"/>
                    <w:snapToGrid w:val="0"/>
                    <w:spacing w:after="0"/>
                    <w:contextualSpacing/>
                    <w:jc w:val="center"/>
                    <w:rPr>
                      <w:color w:val="auto"/>
                      <w:szCs w:val="21"/>
                    </w:rPr>
                  </w:pPr>
                  <w:r>
                    <w:rPr>
                      <w:color w:val="auto"/>
                      <w:szCs w:val="21"/>
                    </w:rPr>
                    <w:t>PM</w:t>
                  </w:r>
                  <w:r>
                    <w:rPr>
                      <w:color w:val="auto"/>
                      <w:szCs w:val="21"/>
                      <w:vertAlign w:val="subscript"/>
                    </w:rPr>
                    <w:t>2.5</w:t>
                  </w:r>
                </w:p>
              </w:tc>
              <w:tc>
                <w:tcPr>
                  <w:tcW w:w="2332" w:type="dxa"/>
                  <w:vAlign w:val="center"/>
                </w:tcPr>
                <w:p w14:paraId="3947276D">
                  <w:pPr>
                    <w:widowControl/>
                    <w:adjustRightInd w:val="0"/>
                    <w:snapToGrid w:val="0"/>
                    <w:spacing w:after="0"/>
                    <w:contextualSpacing/>
                    <w:jc w:val="center"/>
                    <w:rPr>
                      <w:color w:val="auto"/>
                      <w:szCs w:val="21"/>
                    </w:rPr>
                  </w:pPr>
                  <w:r>
                    <w:rPr>
                      <w:color w:val="auto"/>
                      <w:szCs w:val="21"/>
                    </w:rPr>
                    <w:t>年平均质量浓度</w:t>
                  </w:r>
                </w:p>
              </w:tc>
              <w:tc>
                <w:tcPr>
                  <w:tcW w:w="1247" w:type="dxa"/>
                  <w:vAlign w:val="center"/>
                </w:tcPr>
                <w:p w14:paraId="351FFE33">
                  <w:pPr>
                    <w:widowControl/>
                    <w:adjustRightInd w:val="0"/>
                    <w:snapToGrid w:val="0"/>
                    <w:spacing w:after="0"/>
                    <w:contextualSpacing/>
                    <w:jc w:val="center"/>
                    <w:rPr>
                      <w:color w:val="auto"/>
                      <w:szCs w:val="21"/>
                    </w:rPr>
                  </w:pPr>
                </w:p>
              </w:tc>
              <w:tc>
                <w:tcPr>
                  <w:tcW w:w="1219" w:type="dxa"/>
                  <w:vAlign w:val="center"/>
                </w:tcPr>
                <w:p w14:paraId="1D84EDE5">
                  <w:pPr>
                    <w:widowControl/>
                    <w:adjustRightInd w:val="0"/>
                    <w:snapToGrid w:val="0"/>
                    <w:spacing w:after="0"/>
                    <w:contextualSpacing/>
                    <w:jc w:val="center"/>
                    <w:rPr>
                      <w:color w:val="auto"/>
                      <w:szCs w:val="21"/>
                    </w:rPr>
                  </w:pPr>
                  <w:r>
                    <w:rPr>
                      <w:color w:val="auto"/>
                      <w:szCs w:val="21"/>
                    </w:rPr>
                    <w:t>35</w:t>
                  </w:r>
                </w:p>
              </w:tc>
              <w:tc>
                <w:tcPr>
                  <w:tcW w:w="1126" w:type="dxa"/>
                </w:tcPr>
                <w:p w14:paraId="0205926B">
                  <w:pPr>
                    <w:widowControl/>
                    <w:adjustRightInd w:val="0"/>
                    <w:snapToGrid w:val="0"/>
                    <w:spacing w:after="0"/>
                    <w:contextualSpacing/>
                    <w:jc w:val="center"/>
                    <w:rPr>
                      <w:color w:val="auto"/>
                      <w:szCs w:val="21"/>
                    </w:rPr>
                  </w:pPr>
                </w:p>
              </w:tc>
              <w:tc>
                <w:tcPr>
                  <w:tcW w:w="1212" w:type="dxa"/>
                </w:tcPr>
                <w:p w14:paraId="75DC8263">
                  <w:pPr>
                    <w:widowControl/>
                    <w:adjustRightInd w:val="0"/>
                    <w:snapToGrid w:val="0"/>
                    <w:spacing w:after="0"/>
                    <w:contextualSpacing/>
                    <w:jc w:val="center"/>
                    <w:rPr>
                      <w:color w:val="auto"/>
                      <w:szCs w:val="21"/>
                    </w:rPr>
                  </w:pPr>
                  <w:r>
                    <w:rPr>
                      <w:color w:val="auto"/>
                      <w:szCs w:val="21"/>
                    </w:rPr>
                    <w:t>达标</w:t>
                  </w:r>
                </w:p>
              </w:tc>
            </w:tr>
            <w:tr w14:paraId="036B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44" w:type="dxa"/>
                  <w:vAlign w:val="center"/>
                </w:tcPr>
                <w:p w14:paraId="05A95FFE">
                  <w:pPr>
                    <w:widowControl/>
                    <w:adjustRightInd w:val="0"/>
                    <w:snapToGrid w:val="0"/>
                    <w:spacing w:after="0"/>
                    <w:contextualSpacing/>
                    <w:jc w:val="center"/>
                    <w:rPr>
                      <w:color w:val="auto"/>
                      <w:szCs w:val="21"/>
                    </w:rPr>
                  </w:pPr>
                  <w:r>
                    <w:rPr>
                      <w:color w:val="auto"/>
                      <w:szCs w:val="21"/>
                    </w:rPr>
                    <w:t>CO</w:t>
                  </w:r>
                </w:p>
              </w:tc>
              <w:tc>
                <w:tcPr>
                  <w:tcW w:w="2332" w:type="dxa"/>
                  <w:vAlign w:val="center"/>
                </w:tcPr>
                <w:p w14:paraId="7E3F5C55">
                  <w:pPr>
                    <w:widowControl/>
                    <w:adjustRightInd w:val="0"/>
                    <w:snapToGrid w:val="0"/>
                    <w:spacing w:after="0"/>
                    <w:contextualSpacing/>
                    <w:jc w:val="center"/>
                    <w:rPr>
                      <w:color w:val="auto"/>
                      <w:szCs w:val="21"/>
                    </w:rPr>
                  </w:pPr>
                  <w:r>
                    <w:rPr>
                      <w:color w:val="auto"/>
                      <w:szCs w:val="21"/>
                    </w:rPr>
                    <w:t>24小时平均浓度日</w:t>
                  </w:r>
                </w:p>
              </w:tc>
              <w:tc>
                <w:tcPr>
                  <w:tcW w:w="1247" w:type="dxa"/>
                  <w:vAlign w:val="center"/>
                </w:tcPr>
                <w:p w14:paraId="7A6BDDEB">
                  <w:pPr>
                    <w:widowControl/>
                    <w:adjustRightInd w:val="0"/>
                    <w:snapToGrid w:val="0"/>
                    <w:spacing w:after="0"/>
                    <w:contextualSpacing/>
                    <w:jc w:val="center"/>
                    <w:rPr>
                      <w:color w:val="auto"/>
                      <w:szCs w:val="21"/>
                    </w:rPr>
                  </w:pPr>
                </w:p>
              </w:tc>
              <w:tc>
                <w:tcPr>
                  <w:tcW w:w="1219" w:type="dxa"/>
                  <w:vAlign w:val="center"/>
                </w:tcPr>
                <w:p w14:paraId="4A1E2EC8">
                  <w:pPr>
                    <w:widowControl/>
                    <w:adjustRightInd w:val="0"/>
                    <w:snapToGrid w:val="0"/>
                    <w:spacing w:after="0"/>
                    <w:contextualSpacing/>
                    <w:jc w:val="center"/>
                    <w:rPr>
                      <w:color w:val="auto"/>
                      <w:szCs w:val="21"/>
                    </w:rPr>
                  </w:pPr>
                  <w:r>
                    <w:rPr>
                      <w:color w:val="auto"/>
                      <w:szCs w:val="21"/>
                    </w:rPr>
                    <w:t>4mg/m</w:t>
                  </w:r>
                  <w:r>
                    <w:rPr>
                      <w:color w:val="auto"/>
                      <w:szCs w:val="21"/>
                      <w:vertAlign w:val="superscript"/>
                    </w:rPr>
                    <w:t>3</w:t>
                  </w:r>
                </w:p>
              </w:tc>
              <w:tc>
                <w:tcPr>
                  <w:tcW w:w="1126" w:type="dxa"/>
                </w:tcPr>
                <w:p w14:paraId="13D43227">
                  <w:pPr>
                    <w:widowControl/>
                    <w:adjustRightInd w:val="0"/>
                    <w:snapToGrid w:val="0"/>
                    <w:spacing w:after="0"/>
                    <w:contextualSpacing/>
                    <w:jc w:val="center"/>
                    <w:rPr>
                      <w:color w:val="auto"/>
                      <w:szCs w:val="21"/>
                    </w:rPr>
                  </w:pPr>
                </w:p>
              </w:tc>
              <w:tc>
                <w:tcPr>
                  <w:tcW w:w="1212" w:type="dxa"/>
                </w:tcPr>
                <w:p w14:paraId="64A0E6A3">
                  <w:pPr>
                    <w:widowControl/>
                    <w:adjustRightInd w:val="0"/>
                    <w:snapToGrid w:val="0"/>
                    <w:spacing w:after="0"/>
                    <w:contextualSpacing/>
                    <w:jc w:val="center"/>
                    <w:rPr>
                      <w:color w:val="auto"/>
                      <w:szCs w:val="21"/>
                    </w:rPr>
                  </w:pPr>
                  <w:r>
                    <w:rPr>
                      <w:color w:val="auto"/>
                      <w:szCs w:val="21"/>
                    </w:rPr>
                    <w:t>达标</w:t>
                  </w:r>
                </w:p>
              </w:tc>
            </w:tr>
            <w:tr w14:paraId="3F6D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4" w:type="dxa"/>
                  <w:vAlign w:val="center"/>
                </w:tcPr>
                <w:p w14:paraId="4CEA90CF">
                  <w:pPr>
                    <w:widowControl/>
                    <w:adjustRightInd w:val="0"/>
                    <w:snapToGrid w:val="0"/>
                    <w:spacing w:after="0"/>
                    <w:contextualSpacing/>
                    <w:jc w:val="center"/>
                    <w:rPr>
                      <w:color w:val="auto"/>
                      <w:szCs w:val="21"/>
                    </w:rPr>
                  </w:pPr>
                  <w:r>
                    <w:rPr>
                      <w:color w:val="auto"/>
                      <w:szCs w:val="21"/>
                    </w:rPr>
                    <w:t>O</w:t>
                  </w:r>
                  <w:r>
                    <w:rPr>
                      <w:color w:val="auto"/>
                      <w:szCs w:val="21"/>
                      <w:vertAlign w:val="subscript"/>
                    </w:rPr>
                    <w:t>3</w:t>
                  </w:r>
                </w:p>
              </w:tc>
              <w:tc>
                <w:tcPr>
                  <w:tcW w:w="2332" w:type="dxa"/>
                  <w:vAlign w:val="center"/>
                </w:tcPr>
                <w:p w14:paraId="028736B3">
                  <w:pPr>
                    <w:widowControl/>
                    <w:adjustRightInd w:val="0"/>
                    <w:snapToGrid w:val="0"/>
                    <w:spacing w:after="0"/>
                    <w:contextualSpacing/>
                    <w:jc w:val="center"/>
                    <w:rPr>
                      <w:color w:val="auto"/>
                      <w:szCs w:val="21"/>
                    </w:rPr>
                  </w:pPr>
                  <w:r>
                    <w:rPr>
                      <w:color w:val="auto"/>
                      <w:szCs w:val="21"/>
                    </w:rPr>
                    <w:t>日最大8小时平均浓度</w:t>
                  </w:r>
                </w:p>
              </w:tc>
              <w:tc>
                <w:tcPr>
                  <w:tcW w:w="1247" w:type="dxa"/>
                  <w:vAlign w:val="center"/>
                </w:tcPr>
                <w:p w14:paraId="19CE6CEE">
                  <w:pPr>
                    <w:widowControl/>
                    <w:adjustRightInd w:val="0"/>
                    <w:snapToGrid w:val="0"/>
                    <w:spacing w:after="0"/>
                    <w:contextualSpacing/>
                    <w:jc w:val="center"/>
                    <w:rPr>
                      <w:color w:val="auto"/>
                      <w:szCs w:val="21"/>
                    </w:rPr>
                  </w:pPr>
                </w:p>
              </w:tc>
              <w:tc>
                <w:tcPr>
                  <w:tcW w:w="1219" w:type="dxa"/>
                  <w:vAlign w:val="center"/>
                </w:tcPr>
                <w:p w14:paraId="59F7BD45">
                  <w:pPr>
                    <w:widowControl/>
                    <w:adjustRightInd w:val="0"/>
                    <w:snapToGrid w:val="0"/>
                    <w:spacing w:after="0"/>
                    <w:contextualSpacing/>
                    <w:jc w:val="center"/>
                    <w:rPr>
                      <w:color w:val="auto"/>
                      <w:szCs w:val="21"/>
                    </w:rPr>
                  </w:pPr>
                  <w:r>
                    <w:rPr>
                      <w:color w:val="auto"/>
                      <w:szCs w:val="21"/>
                    </w:rPr>
                    <w:t>160</w:t>
                  </w:r>
                </w:p>
              </w:tc>
              <w:tc>
                <w:tcPr>
                  <w:tcW w:w="1126" w:type="dxa"/>
                  <w:vAlign w:val="center"/>
                </w:tcPr>
                <w:p w14:paraId="486DB753">
                  <w:pPr>
                    <w:widowControl/>
                    <w:adjustRightInd w:val="0"/>
                    <w:snapToGrid w:val="0"/>
                    <w:spacing w:after="0"/>
                    <w:contextualSpacing/>
                    <w:jc w:val="center"/>
                    <w:rPr>
                      <w:color w:val="auto"/>
                      <w:szCs w:val="21"/>
                    </w:rPr>
                  </w:pPr>
                </w:p>
              </w:tc>
              <w:tc>
                <w:tcPr>
                  <w:tcW w:w="1212" w:type="dxa"/>
                  <w:vAlign w:val="center"/>
                </w:tcPr>
                <w:p w14:paraId="0B1E7B34">
                  <w:pPr>
                    <w:widowControl/>
                    <w:adjustRightInd w:val="0"/>
                    <w:snapToGrid w:val="0"/>
                    <w:spacing w:after="0"/>
                    <w:contextualSpacing/>
                    <w:jc w:val="center"/>
                    <w:rPr>
                      <w:color w:val="auto"/>
                      <w:szCs w:val="21"/>
                    </w:rPr>
                  </w:pPr>
                  <w:r>
                    <w:rPr>
                      <w:color w:val="auto"/>
                      <w:szCs w:val="21"/>
                    </w:rPr>
                    <w:t>达标</w:t>
                  </w:r>
                </w:p>
              </w:tc>
            </w:tr>
          </w:tbl>
          <w:p w14:paraId="53E52FCF">
            <w:pPr>
              <w:widowControl/>
              <w:spacing w:after="0" w:line="360" w:lineRule="auto"/>
              <w:ind w:firstLine="480" w:firstLineChars="200"/>
              <w:jc w:val="left"/>
              <w:rPr>
                <w:color w:val="auto"/>
                <w:sz w:val="24"/>
              </w:rPr>
            </w:pPr>
            <w:r>
              <w:rPr>
                <w:color w:val="auto"/>
                <w:sz w:val="24"/>
              </w:rPr>
              <w:t>从表3-1可知，钦州市202</w:t>
            </w:r>
            <w:r>
              <w:rPr>
                <w:rFonts w:hint="eastAsia"/>
                <w:color w:val="auto"/>
                <w:sz w:val="24"/>
              </w:rPr>
              <w:t>3</w:t>
            </w:r>
            <w:r>
              <w:rPr>
                <w:color w:val="auto"/>
                <w:sz w:val="24"/>
              </w:rPr>
              <w:t>年城市环境空气质量基本污染物的年评价指标均达到《环境空气质量标准》（GB3095-2012）及其2018年修改单中的二级标准，故项目所在区域属于达标区。</w:t>
            </w:r>
          </w:p>
          <w:p w14:paraId="1747F747">
            <w:pPr>
              <w:pStyle w:val="65"/>
              <w:keepNext w:val="0"/>
              <w:keepLines w:val="0"/>
              <w:pageBreakBefore w:val="0"/>
              <w:widowControl w:val="0"/>
              <w:numPr>
                <w:ilvl w:val="3"/>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aps w:val="0"/>
                <w:color w:val="auto"/>
                <w:sz w:val="24"/>
                <w:szCs w:val="24"/>
                <w:u w:val="single"/>
              </w:rPr>
            </w:pPr>
            <w:r>
              <w:rPr>
                <w:rFonts w:hint="eastAsia" w:ascii="Times New Roman" w:hAnsi="Times New Roman" w:eastAsia="宋体"/>
                <w:caps w:val="0"/>
                <w:color w:val="auto"/>
                <w:sz w:val="24"/>
                <w:szCs w:val="24"/>
                <w:u w:val="single"/>
                <w:lang w:val="en-US" w:eastAsia="zh-CN"/>
              </w:rPr>
              <w:t>（2）</w:t>
            </w:r>
            <w:r>
              <w:rPr>
                <w:rFonts w:hint="default" w:ascii="Times New Roman" w:hAnsi="Times New Roman" w:eastAsia="宋体"/>
                <w:caps w:val="0"/>
                <w:color w:val="auto"/>
                <w:sz w:val="24"/>
                <w:szCs w:val="24"/>
                <w:u w:val="single"/>
              </w:rPr>
              <w:t>特征污染物环境质量现状评价</w:t>
            </w:r>
          </w:p>
          <w:p w14:paraId="0E00B525">
            <w:pPr>
              <w:keepNext w:val="0"/>
              <w:keepLines w:val="0"/>
              <w:suppressLineNumbers w:val="0"/>
              <w:spacing w:before="0" w:beforeAutospacing="0" w:after="0" w:afterAutospacing="0" w:line="360" w:lineRule="auto"/>
              <w:ind w:left="0" w:right="0" w:firstLine="480"/>
              <w:rPr>
                <w:rFonts w:hint="eastAsia" w:ascii="Times New Roman" w:hAnsi="Times New Roman" w:eastAsia="宋体"/>
                <w:caps w:val="0"/>
                <w:color w:val="auto"/>
                <w:sz w:val="24"/>
                <w:szCs w:val="24"/>
                <w:u w:val="single"/>
                <w:lang w:val="en-US" w:eastAsia="zh-CN"/>
              </w:rPr>
            </w:pPr>
            <w:r>
              <w:rPr>
                <w:rFonts w:hint="eastAsia" w:ascii="Times New Roman" w:hAnsi="Times New Roman" w:eastAsia="宋体"/>
                <w:caps w:val="0"/>
                <w:color w:val="auto"/>
                <w:sz w:val="24"/>
                <w:szCs w:val="24"/>
                <w:u w:val="single"/>
                <w:lang w:val="en-US" w:eastAsia="zh-CN"/>
              </w:rPr>
              <w:t>1）</w:t>
            </w:r>
            <w:r>
              <w:rPr>
                <w:rFonts w:hint="eastAsia" w:ascii="Times New Roman" w:hAnsi="Times New Roman" w:eastAsia="宋体"/>
                <w:caps w:val="0"/>
                <w:color w:val="auto"/>
                <w:sz w:val="24"/>
                <w:szCs w:val="24"/>
                <w:u w:val="single"/>
                <w:lang w:eastAsia="zh-CN"/>
              </w:rPr>
              <w:t>非甲烷总烃</w:t>
            </w:r>
          </w:p>
          <w:p w14:paraId="50D00B30">
            <w:pPr>
              <w:keepNext w:val="0"/>
              <w:keepLines w:val="0"/>
              <w:suppressLineNumbers w:val="0"/>
              <w:spacing w:before="0" w:beforeAutospacing="0" w:after="0" w:afterAutospacing="0" w:line="360" w:lineRule="auto"/>
              <w:ind w:left="0" w:right="0" w:firstLine="480"/>
              <w:rPr>
                <w:rFonts w:hint="eastAsia" w:ascii="Times New Roman" w:hAnsi="Times New Roman" w:eastAsia="宋体"/>
                <w:caps w:val="0"/>
                <w:color w:val="auto"/>
                <w:sz w:val="24"/>
                <w:szCs w:val="24"/>
                <w:u w:val="single"/>
                <w:lang w:eastAsia="zh-CN"/>
              </w:rPr>
            </w:pPr>
            <w:r>
              <w:rPr>
                <w:rFonts w:hint="default" w:ascii="Times New Roman" w:hAnsi="Times New Roman" w:eastAsia="宋体"/>
                <w:caps w:val="0"/>
                <w:color w:val="auto"/>
                <w:sz w:val="24"/>
                <w:szCs w:val="24"/>
                <w:u w:val="single"/>
              </w:rPr>
              <w:t>为进一步了解项目</w:t>
            </w:r>
            <w:r>
              <w:rPr>
                <w:rFonts w:hint="eastAsia" w:ascii="Times New Roman" w:hAnsi="Times New Roman" w:eastAsia="宋体"/>
                <w:caps w:val="0"/>
                <w:color w:val="auto"/>
                <w:sz w:val="24"/>
                <w:szCs w:val="24"/>
                <w:u w:val="single"/>
                <w:lang w:eastAsia="zh-CN"/>
              </w:rPr>
              <w:t>特征</w:t>
            </w:r>
            <w:r>
              <w:rPr>
                <w:rFonts w:hint="default" w:ascii="Times New Roman" w:hAnsi="Times New Roman" w:eastAsia="宋体"/>
                <w:caps w:val="0"/>
                <w:color w:val="auto"/>
                <w:sz w:val="24"/>
                <w:szCs w:val="24"/>
                <w:u w:val="single"/>
              </w:rPr>
              <w:t>污染物（</w:t>
            </w:r>
            <w:r>
              <w:rPr>
                <w:rFonts w:hint="eastAsia" w:ascii="Times New Roman" w:hAnsi="Times New Roman" w:eastAsia="宋体"/>
                <w:caps w:val="0"/>
                <w:color w:val="auto"/>
                <w:sz w:val="24"/>
                <w:szCs w:val="24"/>
                <w:u w:val="single"/>
                <w:lang w:eastAsia="zh-CN"/>
              </w:rPr>
              <w:t>非甲烷总烃</w:t>
            </w:r>
            <w:r>
              <w:rPr>
                <w:rFonts w:hint="default" w:ascii="Times New Roman" w:hAnsi="Times New Roman" w:eastAsia="宋体"/>
                <w:caps w:val="0"/>
                <w:color w:val="auto"/>
                <w:sz w:val="24"/>
                <w:szCs w:val="24"/>
                <w:u w:val="single"/>
              </w:rPr>
              <w:t>）环境空气质量状况，本</w:t>
            </w:r>
            <w:r>
              <w:rPr>
                <w:rFonts w:hint="eastAsia" w:ascii="Times New Roman" w:hAnsi="Times New Roman" w:eastAsia="宋体"/>
                <w:caps w:val="0"/>
                <w:color w:val="auto"/>
                <w:sz w:val="24"/>
                <w:szCs w:val="24"/>
                <w:u w:val="single"/>
              </w:rPr>
              <w:t>次评价</w:t>
            </w:r>
            <w:r>
              <w:rPr>
                <w:rFonts w:hint="default" w:ascii="Times New Roman" w:hAnsi="Times New Roman" w:eastAsia="宋体"/>
                <w:caps w:val="0"/>
                <w:color w:val="auto"/>
                <w:sz w:val="24"/>
                <w:szCs w:val="24"/>
                <w:u w:val="single"/>
              </w:rPr>
              <w:t>引用《</w:t>
            </w:r>
            <w:bookmarkStart w:id="26" w:name="OLE_LINK22"/>
            <w:r>
              <w:rPr>
                <w:rFonts w:hint="eastAsia" w:ascii="Times New Roman" w:hAnsi="Times New Roman" w:eastAsia="宋体"/>
                <w:caps w:val="0"/>
                <w:color w:val="auto"/>
                <w:sz w:val="24"/>
                <w:szCs w:val="24"/>
                <w:u w:val="single"/>
                <w:lang w:eastAsia="zh-CN"/>
              </w:rPr>
              <w:t>年产3万吨醋酸异丙酯及下游产业链项目环境影响报告书</w:t>
            </w:r>
            <w:bookmarkEnd w:id="26"/>
            <w:r>
              <w:rPr>
                <w:rFonts w:hint="default" w:ascii="Times New Roman" w:hAnsi="Times New Roman" w:eastAsia="宋体"/>
                <w:caps w:val="0"/>
                <w:color w:val="auto"/>
                <w:sz w:val="24"/>
                <w:szCs w:val="24"/>
                <w:u w:val="single"/>
              </w:rPr>
              <w:t>》</w:t>
            </w:r>
            <w:r>
              <w:rPr>
                <w:rFonts w:hint="eastAsia" w:ascii="Times New Roman" w:hAnsi="Times New Roman" w:eastAsia="宋体"/>
                <w:caps w:val="0"/>
                <w:color w:val="auto"/>
                <w:sz w:val="24"/>
                <w:szCs w:val="24"/>
                <w:u w:val="single"/>
                <w:lang w:eastAsia="zh-CN"/>
              </w:rPr>
              <w:t>中南港村</w:t>
            </w:r>
            <w:r>
              <w:rPr>
                <w:rFonts w:hint="eastAsia" w:ascii="Times New Roman" w:hAnsi="Times New Roman" w:eastAsia="宋体" w:cs="Times New Roman"/>
                <w:caps w:val="0"/>
                <w:color w:val="auto"/>
                <w:spacing w:val="0"/>
                <w:sz w:val="24"/>
                <w:szCs w:val="24"/>
                <w:highlight w:val="none"/>
                <w:u w:val="single"/>
                <w:lang w:eastAsia="zh-CN"/>
              </w:rPr>
              <w:t>环境空气环境现状监测点</w:t>
            </w:r>
            <w:r>
              <w:rPr>
                <w:rFonts w:hint="default" w:ascii="Times New Roman" w:hAnsi="Times New Roman" w:eastAsia="宋体"/>
                <w:caps w:val="0"/>
                <w:color w:val="auto"/>
                <w:sz w:val="24"/>
                <w:szCs w:val="24"/>
                <w:u w:val="single"/>
              </w:rPr>
              <w:t>的</w:t>
            </w:r>
            <w:r>
              <w:rPr>
                <w:rFonts w:hint="eastAsia" w:ascii="Times New Roman" w:hAnsi="Times New Roman" w:eastAsia="宋体"/>
                <w:caps w:val="0"/>
                <w:color w:val="auto"/>
                <w:sz w:val="24"/>
                <w:szCs w:val="24"/>
                <w:u w:val="single"/>
              </w:rPr>
              <w:t>监测</w:t>
            </w:r>
            <w:r>
              <w:rPr>
                <w:rFonts w:hint="default" w:ascii="Times New Roman" w:hAnsi="Times New Roman" w:eastAsia="宋体"/>
                <w:caps w:val="0"/>
                <w:color w:val="auto"/>
                <w:sz w:val="24"/>
                <w:szCs w:val="24"/>
                <w:u w:val="single"/>
              </w:rPr>
              <w:t>数据</w:t>
            </w:r>
            <w:r>
              <w:rPr>
                <w:rFonts w:hint="eastAsia" w:ascii="Times New Roman" w:hAnsi="Times New Roman" w:eastAsia="宋体"/>
                <w:caps w:val="0"/>
                <w:color w:val="auto"/>
                <w:sz w:val="24"/>
                <w:szCs w:val="24"/>
                <w:u w:val="single"/>
              </w:rPr>
              <w:t>，</w:t>
            </w:r>
            <w:r>
              <w:rPr>
                <w:rFonts w:hint="default" w:ascii="Times New Roman" w:hAnsi="Times New Roman" w:eastAsia="宋体" w:cs="Times New Roman"/>
                <w:caps w:val="0"/>
                <w:color w:val="auto"/>
                <w:kern w:val="2"/>
                <w:sz w:val="24"/>
                <w:szCs w:val="24"/>
                <w:u w:val="single"/>
              </w:rPr>
              <w:t>2024年9月10日—9月16日</w:t>
            </w:r>
            <w:r>
              <w:rPr>
                <w:rFonts w:hint="default" w:ascii="Times New Roman" w:hAnsi="Times New Roman" w:eastAsia="宋体"/>
                <w:caps w:val="0"/>
                <w:color w:val="auto"/>
                <w:sz w:val="24"/>
                <w:szCs w:val="24"/>
                <w:u w:val="single"/>
              </w:rPr>
              <w:t>。</w:t>
            </w:r>
            <w:r>
              <w:rPr>
                <w:rFonts w:hint="eastAsia" w:ascii="Times New Roman" w:hAnsi="Times New Roman" w:eastAsia="宋体"/>
                <w:caps w:val="0"/>
                <w:color w:val="auto"/>
                <w:sz w:val="24"/>
                <w:szCs w:val="24"/>
                <w:u w:val="single"/>
                <w:lang w:eastAsia="zh-CN"/>
              </w:rPr>
              <w:t>该监测点的监测数据符合《建设项目环境影响报告表编制技术指南（污染影响类）（试行）》关于区域大气环境质量现状评价的要求：“排放国家、地方环境空气质量标准中有标准限值要求的特征污染物时，引用建设项目周边</w:t>
            </w:r>
            <w:r>
              <w:rPr>
                <w:rFonts w:hint="eastAsia" w:ascii="Times New Roman" w:hAnsi="Times New Roman" w:eastAsia="宋体"/>
                <w:caps w:val="0"/>
                <w:color w:val="auto"/>
                <w:sz w:val="24"/>
                <w:szCs w:val="24"/>
                <w:u w:val="single"/>
                <w:lang w:val="en-US" w:eastAsia="zh-CN"/>
              </w:rPr>
              <w:t>5k千米范围内近3年的现有监测数据</w:t>
            </w:r>
            <w:r>
              <w:rPr>
                <w:rFonts w:hint="eastAsia" w:ascii="Times New Roman" w:hAnsi="Times New Roman" w:eastAsia="宋体"/>
                <w:caps w:val="0"/>
                <w:color w:val="auto"/>
                <w:sz w:val="24"/>
                <w:szCs w:val="24"/>
                <w:u w:val="single"/>
                <w:lang w:eastAsia="zh-CN"/>
              </w:rPr>
              <w:t>”。</w:t>
            </w:r>
            <w:r>
              <w:rPr>
                <w:rFonts w:hint="default" w:ascii="Times New Roman" w:hAnsi="Times New Roman" w:eastAsia="宋体"/>
                <w:caps w:val="0"/>
                <w:color w:val="auto"/>
                <w:sz w:val="24"/>
                <w:szCs w:val="24"/>
                <w:u w:val="single"/>
              </w:rPr>
              <w:t>监测点基本情况见</w:t>
            </w:r>
            <w:r>
              <w:rPr>
                <w:rFonts w:hint="eastAsia" w:ascii="Times New Roman" w:hAnsi="Times New Roman" w:eastAsia="宋体"/>
                <w:caps w:val="0"/>
                <w:color w:val="auto"/>
                <w:sz w:val="24"/>
                <w:szCs w:val="24"/>
                <w:u w:val="single"/>
              </w:rPr>
              <w:t>下表</w:t>
            </w:r>
            <w:r>
              <w:rPr>
                <w:rFonts w:hint="eastAsia" w:ascii="Times New Roman" w:hAnsi="Times New Roman" w:eastAsia="宋体"/>
                <w:caps w:val="0"/>
                <w:color w:val="auto"/>
                <w:sz w:val="24"/>
                <w:szCs w:val="24"/>
                <w:u w:val="single"/>
                <w:lang w:val="en-US" w:eastAsia="zh-CN"/>
              </w:rPr>
              <w:t>3-2</w:t>
            </w:r>
            <w:r>
              <w:rPr>
                <w:rFonts w:hint="eastAsia" w:ascii="Times New Roman" w:hAnsi="Times New Roman" w:eastAsia="宋体"/>
                <w:caps w:val="0"/>
                <w:color w:val="auto"/>
                <w:sz w:val="24"/>
                <w:szCs w:val="24"/>
                <w:u w:val="single"/>
                <w:lang w:eastAsia="zh-CN"/>
              </w:rPr>
              <w:t>，监测数据见表</w:t>
            </w:r>
            <w:r>
              <w:rPr>
                <w:rFonts w:hint="eastAsia" w:ascii="Times New Roman" w:hAnsi="Times New Roman" w:eastAsia="宋体"/>
                <w:caps w:val="0"/>
                <w:color w:val="auto"/>
                <w:sz w:val="24"/>
                <w:szCs w:val="24"/>
                <w:u w:val="single"/>
                <w:lang w:val="en-US" w:eastAsia="zh-CN"/>
              </w:rPr>
              <w:t>3-3</w:t>
            </w:r>
            <w:r>
              <w:rPr>
                <w:rFonts w:hint="default" w:ascii="Times New Roman" w:hAnsi="Times New Roman" w:eastAsia="宋体"/>
                <w:caps w:val="0"/>
                <w:color w:val="auto"/>
                <w:sz w:val="24"/>
                <w:szCs w:val="24"/>
                <w:u w:val="single"/>
              </w:rPr>
              <w:t>。</w:t>
            </w:r>
          </w:p>
          <w:p w14:paraId="59706272">
            <w:pPr>
              <w:pStyle w:val="66"/>
              <w:numPr>
                <w:ilvl w:val="4"/>
                <w:numId w:val="0"/>
              </w:numPr>
              <w:suppressLineNumbers w:val="0"/>
              <w:spacing w:before="0" w:beforeAutospacing="0" w:after="0" w:afterAutospacing="0"/>
              <w:ind w:left="2268" w:leftChars="0" w:right="0" w:rightChars="0" w:firstLine="632" w:firstLineChars="300"/>
              <w:jc w:val="both"/>
              <w:rPr>
                <w:rFonts w:hint="eastAsia" w:ascii="Times New Roman" w:hAnsi="Times New Roman" w:eastAsia="宋体"/>
                <w:caps w:val="0"/>
                <w:color w:val="auto"/>
                <w:u w:val="single"/>
                <w:lang w:eastAsia="zh-CN"/>
              </w:rPr>
            </w:pPr>
            <w:r>
              <w:rPr>
                <w:rFonts w:hint="eastAsia" w:ascii="Times New Roman" w:hAnsi="Times New Roman" w:eastAsia="宋体"/>
                <w:caps w:val="0"/>
                <w:color w:val="auto"/>
                <w:u w:val="single"/>
                <w:lang w:eastAsia="zh-CN"/>
              </w:rPr>
              <w:t>表</w:t>
            </w:r>
            <w:r>
              <w:rPr>
                <w:rFonts w:hint="eastAsia" w:ascii="Times New Roman" w:hAnsi="Times New Roman" w:eastAsia="宋体"/>
                <w:caps w:val="0"/>
                <w:color w:val="auto"/>
                <w:u w:val="single"/>
                <w:lang w:val="en-US" w:eastAsia="zh-CN"/>
              </w:rPr>
              <w:t>3-2  引用的</w:t>
            </w:r>
            <w:r>
              <w:rPr>
                <w:rFonts w:hint="default" w:ascii="Times New Roman" w:hAnsi="Times New Roman" w:eastAsia="宋体"/>
                <w:caps w:val="0"/>
                <w:color w:val="auto"/>
                <w:u w:val="single"/>
              </w:rPr>
              <w:t>空气质量现状监测点</w:t>
            </w:r>
            <w:r>
              <w:rPr>
                <w:rFonts w:hint="eastAsia" w:ascii="Times New Roman" w:hAnsi="Times New Roman" w:eastAsia="宋体"/>
                <w:caps w:val="0"/>
                <w:color w:val="auto"/>
                <w:u w:val="single"/>
                <w:lang w:eastAsia="zh-CN"/>
              </w:rPr>
              <w:t>情况表</w:t>
            </w:r>
          </w:p>
          <w:tbl>
            <w:tblPr>
              <w:tblStyle w:val="22"/>
              <w:tblW w:w="8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914"/>
              <w:gridCol w:w="2358"/>
              <w:gridCol w:w="800"/>
              <w:gridCol w:w="1099"/>
              <w:gridCol w:w="1502"/>
            </w:tblGrid>
            <w:tr w14:paraId="35D3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noWrap w:val="0"/>
                  <w:vAlign w:val="center"/>
                </w:tcPr>
                <w:p w14:paraId="63F4A7A2">
                  <w:pPr>
                    <w:pStyle w:val="40"/>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u w:val="single"/>
                    </w:rPr>
                  </w:pPr>
                  <w:r>
                    <w:rPr>
                      <w:rFonts w:hint="default" w:ascii="Times New Roman" w:hAnsi="Times New Roman" w:eastAsia="宋体"/>
                      <w:b w:val="0"/>
                      <w:bCs w:val="0"/>
                      <w:caps w:val="0"/>
                      <w:color w:val="auto"/>
                      <w:u w:val="single"/>
                    </w:rPr>
                    <w:t>编号</w:t>
                  </w:r>
                </w:p>
              </w:tc>
              <w:tc>
                <w:tcPr>
                  <w:tcW w:w="1914" w:type="dxa"/>
                  <w:tcBorders>
                    <w:top w:val="single" w:color="auto" w:sz="4" w:space="0"/>
                    <w:left w:val="nil"/>
                    <w:bottom w:val="single" w:color="auto" w:sz="4" w:space="0"/>
                    <w:right w:val="single" w:color="auto" w:sz="4" w:space="0"/>
                  </w:tcBorders>
                  <w:noWrap w:val="0"/>
                  <w:vAlign w:val="center"/>
                </w:tcPr>
                <w:p w14:paraId="5194148B">
                  <w:pPr>
                    <w:pStyle w:val="40"/>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u w:val="single"/>
                    </w:rPr>
                  </w:pPr>
                  <w:r>
                    <w:rPr>
                      <w:rFonts w:hint="default" w:ascii="Times New Roman" w:hAnsi="Times New Roman" w:eastAsia="宋体"/>
                      <w:b w:val="0"/>
                      <w:bCs w:val="0"/>
                      <w:caps w:val="0"/>
                      <w:color w:val="auto"/>
                      <w:u w:val="single"/>
                    </w:rPr>
                    <w:t>监测点名称</w:t>
                  </w:r>
                </w:p>
              </w:tc>
              <w:tc>
                <w:tcPr>
                  <w:tcW w:w="2358" w:type="dxa"/>
                  <w:tcBorders>
                    <w:top w:val="single" w:color="auto" w:sz="4" w:space="0"/>
                    <w:left w:val="nil"/>
                    <w:bottom w:val="single" w:color="auto" w:sz="4" w:space="0"/>
                    <w:right w:val="single" w:color="auto" w:sz="4" w:space="0"/>
                  </w:tcBorders>
                  <w:noWrap w:val="0"/>
                  <w:vAlign w:val="center"/>
                </w:tcPr>
                <w:p w14:paraId="3EC2E6C4">
                  <w:pPr>
                    <w:pStyle w:val="40"/>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u w:val="single"/>
                    </w:rPr>
                  </w:pPr>
                  <w:r>
                    <w:rPr>
                      <w:rFonts w:hint="default" w:ascii="Times New Roman" w:hAnsi="Times New Roman" w:eastAsia="宋体"/>
                      <w:b w:val="0"/>
                      <w:bCs w:val="0"/>
                      <w:caps w:val="0"/>
                      <w:color w:val="auto"/>
                      <w:u w:val="single"/>
                    </w:rPr>
                    <w:t>与本项目相对位置关系</w:t>
                  </w:r>
                </w:p>
              </w:tc>
              <w:tc>
                <w:tcPr>
                  <w:tcW w:w="800" w:type="dxa"/>
                  <w:tcBorders>
                    <w:top w:val="single" w:color="auto" w:sz="4" w:space="0"/>
                    <w:left w:val="nil"/>
                    <w:bottom w:val="single" w:color="auto" w:sz="4" w:space="0"/>
                    <w:right w:val="single" w:color="auto" w:sz="4" w:space="0"/>
                  </w:tcBorders>
                  <w:noWrap w:val="0"/>
                  <w:vAlign w:val="center"/>
                </w:tcPr>
                <w:p w14:paraId="08E4C28C">
                  <w:pPr>
                    <w:pStyle w:val="40"/>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u w:val="single"/>
                    </w:rPr>
                  </w:pPr>
                  <w:r>
                    <w:rPr>
                      <w:rFonts w:hint="default" w:ascii="Times New Roman" w:hAnsi="Times New Roman" w:eastAsia="宋体"/>
                      <w:b w:val="0"/>
                      <w:bCs w:val="0"/>
                      <w:caps w:val="0"/>
                      <w:color w:val="auto"/>
                      <w:u w:val="single"/>
                    </w:rPr>
                    <w:t>距离</w:t>
                  </w:r>
                </w:p>
              </w:tc>
              <w:tc>
                <w:tcPr>
                  <w:tcW w:w="1099" w:type="dxa"/>
                  <w:tcBorders>
                    <w:top w:val="single" w:color="auto" w:sz="4" w:space="0"/>
                    <w:left w:val="nil"/>
                    <w:bottom w:val="single" w:color="auto" w:sz="4" w:space="0"/>
                    <w:right w:val="single" w:color="auto" w:sz="4" w:space="0"/>
                  </w:tcBorders>
                  <w:noWrap w:val="0"/>
                  <w:vAlign w:val="center"/>
                </w:tcPr>
                <w:p w14:paraId="2A06BAE2">
                  <w:pPr>
                    <w:pStyle w:val="40"/>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u w:val="single"/>
                    </w:rPr>
                  </w:pPr>
                  <w:r>
                    <w:rPr>
                      <w:rFonts w:hint="default" w:ascii="Times New Roman" w:hAnsi="Times New Roman" w:eastAsia="宋体"/>
                      <w:b w:val="0"/>
                      <w:bCs w:val="0"/>
                      <w:caps w:val="0"/>
                      <w:color w:val="auto"/>
                      <w:u w:val="single"/>
                    </w:rPr>
                    <w:t>监测因子</w:t>
                  </w:r>
                </w:p>
              </w:tc>
              <w:tc>
                <w:tcPr>
                  <w:tcW w:w="1502" w:type="dxa"/>
                  <w:tcBorders>
                    <w:top w:val="single" w:color="auto" w:sz="4" w:space="0"/>
                    <w:left w:val="nil"/>
                    <w:bottom w:val="single" w:color="auto" w:sz="4" w:space="0"/>
                    <w:right w:val="single" w:color="auto" w:sz="4" w:space="0"/>
                  </w:tcBorders>
                  <w:noWrap w:val="0"/>
                  <w:vAlign w:val="center"/>
                </w:tcPr>
                <w:p w14:paraId="24C21F8C">
                  <w:pPr>
                    <w:pStyle w:val="40"/>
                    <w:keepNext w:val="0"/>
                    <w:keepLines w:val="0"/>
                    <w:suppressLineNumbers w:val="0"/>
                    <w:spacing w:before="0" w:beforeAutospacing="0" w:after="0" w:afterAutospacing="0"/>
                    <w:ind w:left="0" w:right="0"/>
                    <w:rPr>
                      <w:rFonts w:hint="default" w:ascii="Times New Roman" w:hAnsi="Times New Roman" w:eastAsia="宋体"/>
                      <w:b w:val="0"/>
                      <w:bCs w:val="0"/>
                      <w:caps w:val="0"/>
                      <w:color w:val="auto"/>
                      <w:u w:val="single"/>
                    </w:rPr>
                  </w:pPr>
                  <w:r>
                    <w:rPr>
                      <w:rFonts w:hint="default" w:ascii="Times New Roman" w:hAnsi="Times New Roman" w:eastAsia="宋体"/>
                      <w:b w:val="0"/>
                      <w:bCs w:val="0"/>
                      <w:caps w:val="0"/>
                      <w:color w:val="auto"/>
                      <w:u w:val="single"/>
                    </w:rPr>
                    <w:t>测点概述</w:t>
                  </w:r>
                </w:p>
              </w:tc>
            </w:tr>
            <w:tr w14:paraId="2295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noWrap w:val="0"/>
                  <w:vAlign w:val="center"/>
                </w:tcPr>
                <w:p w14:paraId="62FAE3B0">
                  <w:pPr>
                    <w:pStyle w:val="40"/>
                    <w:keepNext w:val="0"/>
                    <w:keepLines w:val="0"/>
                    <w:suppressLineNumbers w:val="0"/>
                    <w:spacing w:before="0" w:beforeAutospacing="0" w:after="0" w:afterAutospacing="0"/>
                    <w:ind w:left="0" w:right="0"/>
                    <w:rPr>
                      <w:rFonts w:hint="default" w:ascii="Times New Roman" w:hAnsi="Times New Roman" w:eastAsia="宋体"/>
                      <w:caps w:val="0"/>
                      <w:color w:val="auto"/>
                      <w:u w:val="single"/>
                    </w:rPr>
                  </w:pPr>
                  <w:r>
                    <w:rPr>
                      <w:rFonts w:hint="default" w:ascii="Times New Roman" w:hAnsi="Times New Roman" w:eastAsia="宋体"/>
                      <w:caps w:val="0"/>
                      <w:color w:val="auto"/>
                      <w:u w:val="single"/>
                    </w:rPr>
                    <w:t>G1</w:t>
                  </w:r>
                </w:p>
              </w:tc>
              <w:tc>
                <w:tcPr>
                  <w:tcW w:w="1914" w:type="dxa"/>
                  <w:tcBorders>
                    <w:top w:val="single" w:color="auto" w:sz="4" w:space="0"/>
                    <w:left w:val="nil"/>
                    <w:bottom w:val="single" w:color="auto" w:sz="4" w:space="0"/>
                    <w:right w:val="single" w:color="auto" w:sz="4" w:space="0"/>
                  </w:tcBorders>
                  <w:noWrap w:val="0"/>
                  <w:vAlign w:val="center"/>
                </w:tcPr>
                <w:p w14:paraId="7994A7DD">
                  <w:pPr>
                    <w:pStyle w:val="40"/>
                    <w:keepNext w:val="0"/>
                    <w:keepLines w:val="0"/>
                    <w:suppressLineNumbers w:val="0"/>
                    <w:spacing w:before="0" w:beforeAutospacing="0" w:after="0" w:afterAutospacing="0"/>
                    <w:ind w:left="0" w:right="0"/>
                    <w:rPr>
                      <w:rFonts w:hint="default" w:ascii="Times New Roman" w:hAnsi="Times New Roman" w:eastAsia="宋体"/>
                      <w:caps w:val="0"/>
                      <w:color w:val="auto"/>
                      <w:u w:val="single"/>
                    </w:rPr>
                  </w:pPr>
                  <w:r>
                    <w:rPr>
                      <w:rFonts w:hint="eastAsia" w:ascii="Times New Roman" w:hAnsi="Times New Roman" w:eastAsia="宋体" w:cs="Times New Roman"/>
                      <w:caps w:val="0"/>
                      <w:color w:val="auto"/>
                      <w:u w:val="single"/>
                      <w:lang w:eastAsia="zh-CN"/>
                    </w:rPr>
                    <w:t>南港村</w:t>
                  </w:r>
                </w:p>
              </w:tc>
              <w:tc>
                <w:tcPr>
                  <w:tcW w:w="2358" w:type="dxa"/>
                  <w:tcBorders>
                    <w:top w:val="single" w:color="auto" w:sz="4" w:space="0"/>
                    <w:left w:val="nil"/>
                    <w:bottom w:val="single" w:color="auto" w:sz="4" w:space="0"/>
                    <w:right w:val="single" w:color="auto" w:sz="4" w:space="0"/>
                  </w:tcBorders>
                  <w:noWrap w:val="0"/>
                  <w:vAlign w:val="center"/>
                </w:tcPr>
                <w:p w14:paraId="1F043A92">
                  <w:pPr>
                    <w:pStyle w:val="40"/>
                    <w:keepNext w:val="0"/>
                    <w:keepLines w:val="0"/>
                    <w:suppressLineNumbers w:val="0"/>
                    <w:spacing w:before="0" w:beforeAutospacing="0" w:after="0" w:afterAutospacing="0"/>
                    <w:ind w:left="0" w:right="0"/>
                    <w:rPr>
                      <w:rFonts w:hint="eastAsia" w:ascii="Times New Roman" w:hAnsi="Times New Roman" w:eastAsia="宋体"/>
                      <w:caps w:val="0"/>
                      <w:color w:val="auto"/>
                      <w:highlight w:val="yellow"/>
                      <w:u w:val="single"/>
                      <w:lang w:eastAsia="zh-CN"/>
                    </w:rPr>
                  </w:pPr>
                  <w:r>
                    <w:rPr>
                      <w:rFonts w:hint="eastAsia" w:ascii="Times New Roman" w:hAnsi="Times New Roman" w:eastAsia="宋体"/>
                      <w:caps w:val="0"/>
                      <w:color w:val="auto"/>
                      <w:highlight w:val="none"/>
                      <w:u w:val="single"/>
                      <w:lang w:eastAsia="zh-CN"/>
                    </w:rPr>
                    <w:t>南</w:t>
                  </w:r>
                </w:p>
              </w:tc>
              <w:tc>
                <w:tcPr>
                  <w:tcW w:w="800" w:type="dxa"/>
                  <w:tcBorders>
                    <w:top w:val="single" w:color="auto" w:sz="4" w:space="0"/>
                    <w:left w:val="nil"/>
                    <w:bottom w:val="single" w:color="auto" w:sz="4" w:space="0"/>
                    <w:right w:val="single" w:color="auto" w:sz="4" w:space="0"/>
                  </w:tcBorders>
                  <w:noWrap w:val="0"/>
                  <w:vAlign w:val="center"/>
                </w:tcPr>
                <w:p w14:paraId="6E65EB1D">
                  <w:pPr>
                    <w:pStyle w:val="40"/>
                    <w:keepNext w:val="0"/>
                    <w:keepLines w:val="0"/>
                    <w:suppressLineNumbers w:val="0"/>
                    <w:spacing w:before="0" w:beforeAutospacing="0" w:after="0" w:afterAutospacing="0"/>
                    <w:ind w:left="0" w:right="0"/>
                    <w:rPr>
                      <w:rFonts w:hint="default" w:ascii="Times New Roman" w:hAnsi="Times New Roman" w:eastAsia="宋体"/>
                      <w:caps w:val="0"/>
                      <w:color w:val="auto"/>
                      <w:highlight w:val="none"/>
                      <w:u w:val="single"/>
                    </w:rPr>
                  </w:pPr>
                  <w:r>
                    <w:rPr>
                      <w:rFonts w:hint="eastAsia" w:ascii="Times New Roman" w:hAnsi="Times New Roman" w:eastAsia="宋体"/>
                      <w:caps w:val="0"/>
                      <w:color w:val="auto"/>
                      <w:highlight w:val="none"/>
                      <w:u w:val="single"/>
                      <w:lang w:val="en-US" w:eastAsia="zh-CN"/>
                    </w:rPr>
                    <w:t>2</w:t>
                  </w:r>
                  <w:r>
                    <w:rPr>
                      <w:rFonts w:hint="eastAsia" w:ascii="Times New Roman" w:hAnsi="Times New Roman"/>
                      <w:caps w:val="0"/>
                      <w:color w:val="auto"/>
                      <w:highlight w:val="none"/>
                      <w:u w:val="single"/>
                      <w:lang w:val="en-US" w:eastAsia="zh-CN"/>
                    </w:rPr>
                    <w:t>1</w:t>
                  </w:r>
                  <w:r>
                    <w:rPr>
                      <w:rFonts w:hint="eastAsia" w:ascii="Times New Roman" w:hAnsi="Times New Roman" w:eastAsia="宋体"/>
                      <w:caps w:val="0"/>
                      <w:color w:val="auto"/>
                      <w:highlight w:val="none"/>
                      <w:u w:val="single"/>
                      <w:lang w:val="en-US" w:eastAsia="zh-CN"/>
                    </w:rPr>
                    <w:t>5</w:t>
                  </w:r>
                  <w:r>
                    <w:rPr>
                      <w:rFonts w:hint="eastAsia" w:ascii="Times New Roman" w:hAnsi="Times New Roman" w:eastAsia="宋体"/>
                      <w:caps w:val="0"/>
                      <w:color w:val="auto"/>
                      <w:highlight w:val="none"/>
                      <w:u w:val="single"/>
                    </w:rPr>
                    <w:t>0</w:t>
                  </w:r>
                  <w:r>
                    <w:rPr>
                      <w:rFonts w:hint="default" w:ascii="Times New Roman" w:hAnsi="Times New Roman" w:eastAsia="宋体"/>
                      <w:caps w:val="0"/>
                      <w:color w:val="auto"/>
                      <w:highlight w:val="none"/>
                      <w:u w:val="single"/>
                    </w:rPr>
                    <w:t>m</w:t>
                  </w:r>
                </w:p>
              </w:tc>
              <w:tc>
                <w:tcPr>
                  <w:tcW w:w="1099" w:type="dxa"/>
                  <w:tcBorders>
                    <w:top w:val="single" w:color="auto" w:sz="4" w:space="0"/>
                    <w:left w:val="nil"/>
                    <w:bottom w:val="single" w:color="auto" w:sz="4" w:space="0"/>
                    <w:right w:val="single" w:color="auto" w:sz="4" w:space="0"/>
                  </w:tcBorders>
                  <w:noWrap w:val="0"/>
                  <w:vAlign w:val="center"/>
                </w:tcPr>
                <w:p w14:paraId="3C1C9C3B">
                  <w:pPr>
                    <w:pStyle w:val="40"/>
                    <w:keepNext w:val="0"/>
                    <w:keepLines w:val="0"/>
                    <w:suppressLineNumbers w:val="0"/>
                    <w:spacing w:before="0" w:beforeAutospacing="0" w:after="0" w:afterAutospacing="0"/>
                    <w:ind w:left="0" w:right="0"/>
                    <w:rPr>
                      <w:rFonts w:hint="default" w:ascii="Times New Roman" w:hAnsi="Times New Roman" w:eastAsia="宋体"/>
                      <w:caps w:val="0"/>
                      <w:color w:val="auto"/>
                      <w:u w:val="single"/>
                    </w:rPr>
                  </w:pPr>
                  <w:r>
                    <w:rPr>
                      <w:color w:val="auto"/>
                      <w:u w:val="single"/>
                      <w:lang w:eastAsia="zh-CN"/>
                    </w:rPr>
                    <w:t>非甲烷总烃</w:t>
                  </w:r>
                </w:p>
              </w:tc>
              <w:tc>
                <w:tcPr>
                  <w:tcW w:w="1502" w:type="dxa"/>
                  <w:tcBorders>
                    <w:top w:val="single" w:color="auto" w:sz="4" w:space="0"/>
                    <w:left w:val="nil"/>
                    <w:bottom w:val="single" w:color="auto" w:sz="4" w:space="0"/>
                    <w:right w:val="single" w:color="auto" w:sz="4" w:space="0"/>
                  </w:tcBorders>
                  <w:noWrap w:val="0"/>
                  <w:vAlign w:val="center"/>
                </w:tcPr>
                <w:p w14:paraId="592E25CB">
                  <w:pPr>
                    <w:pStyle w:val="40"/>
                    <w:keepNext w:val="0"/>
                    <w:keepLines w:val="0"/>
                    <w:suppressLineNumbers w:val="0"/>
                    <w:spacing w:before="0" w:beforeAutospacing="0" w:after="0" w:afterAutospacing="0"/>
                    <w:ind w:left="0" w:right="0"/>
                    <w:rPr>
                      <w:rFonts w:hint="default" w:ascii="Times New Roman" w:hAnsi="Times New Roman" w:eastAsia="宋体"/>
                      <w:caps w:val="0"/>
                      <w:color w:val="auto"/>
                      <w:u w:val="single"/>
                    </w:rPr>
                  </w:pPr>
                  <w:r>
                    <w:rPr>
                      <w:rFonts w:hint="eastAsia" w:ascii="Times New Roman" w:hAnsi="Times New Roman" w:eastAsia="宋体"/>
                      <w:caps w:val="0"/>
                      <w:color w:val="auto"/>
                      <w:u w:val="single"/>
                      <w:lang w:eastAsia="zh-CN"/>
                    </w:rPr>
                    <w:t>下风</w:t>
                  </w:r>
                  <w:r>
                    <w:rPr>
                      <w:rFonts w:hint="default" w:ascii="Times New Roman" w:hAnsi="Times New Roman" w:eastAsia="宋体"/>
                      <w:caps w:val="0"/>
                      <w:color w:val="auto"/>
                      <w:u w:val="single"/>
                    </w:rPr>
                    <w:t>向</w:t>
                  </w:r>
                  <w:r>
                    <w:rPr>
                      <w:rFonts w:hint="eastAsia" w:ascii="Times New Roman" w:hAnsi="Times New Roman" w:eastAsia="宋体"/>
                      <w:caps w:val="0"/>
                      <w:color w:val="auto"/>
                      <w:u w:val="single"/>
                    </w:rPr>
                    <w:t>侧</w:t>
                  </w:r>
                  <w:r>
                    <w:rPr>
                      <w:rFonts w:hint="default" w:ascii="Times New Roman" w:hAnsi="Times New Roman" w:eastAsia="宋体"/>
                      <w:caps w:val="0"/>
                      <w:color w:val="auto"/>
                      <w:u w:val="single"/>
                    </w:rPr>
                    <w:t>向</w:t>
                  </w:r>
                </w:p>
              </w:tc>
            </w:tr>
          </w:tbl>
          <w:p w14:paraId="61DD64DE">
            <w:pPr>
              <w:pStyle w:val="66"/>
              <w:numPr>
                <w:ilvl w:val="4"/>
                <w:numId w:val="0"/>
              </w:numPr>
              <w:suppressLineNumbers w:val="0"/>
              <w:spacing w:before="0" w:beforeAutospacing="0" w:after="0" w:afterAutospacing="0" w:line="360" w:lineRule="auto"/>
              <w:ind w:left="2268" w:leftChars="0" w:right="0" w:rightChars="0" w:firstLine="422" w:firstLineChars="200"/>
              <w:jc w:val="both"/>
              <w:rPr>
                <w:rFonts w:hint="eastAsia" w:ascii="Times New Roman" w:hAnsi="Times New Roman" w:eastAsia="宋体"/>
                <w:caps w:val="0"/>
                <w:color w:val="auto"/>
                <w:u w:val="single"/>
                <w:lang w:eastAsia="zh-CN"/>
              </w:rPr>
            </w:pPr>
            <w:r>
              <w:rPr>
                <w:rFonts w:hint="eastAsia" w:ascii="Times New Roman" w:hAnsi="Times New Roman" w:eastAsia="宋体"/>
                <w:caps w:val="0"/>
                <w:color w:val="auto"/>
                <w:u w:val="single"/>
                <w:lang w:eastAsia="zh-CN"/>
              </w:rPr>
              <w:t>表</w:t>
            </w:r>
            <w:r>
              <w:rPr>
                <w:rFonts w:hint="eastAsia" w:ascii="Times New Roman" w:hAnsi="Times New Roman" w:eastAsia="宋体"/>
                <w:caps w:val="0"/>
                <w:color w:val="auto"/>
                <w:u w:val="single"/>
                <w:lang w:val="en-US" w:eastAsia="zh-CN"/>
              </w:rPr>
              <w:t>3-3</w:t>
            </w:r>
            <w:r>
              <w:rPr>
                <w:rFonts w:hint="eastAsia" w:ascii="Times New Roman" w:hAnsi="Times New Roman" w:eastAsia="宋体"/>
                <w:caps w:val="0"/>
                <w:color w:val="auto"/>
                <w:u w:val="single"/>
                <w:lang w:eastAsia="zh-CN"/>
              </w:rPr>
              <w:t>特征</w:t>
            </w:r>
            <w:r>
              <w:rPr>
                <w:rFonts w:hint="default" w:ascii="Times New Roman" w:hAnsi="Times New Roman" w:eastAsia="宋体"/>
                <w:caps w:val="0"/>
                <w:color w:val="auto"/>
                <w:u w:val="single"/>
              </w:rPr>
              <w:t>污染物环境质量现状</w:t>
            </w:r>
            <w:r>
              <w:rPr>
                <w:rFonts w:hint="eastAsia" w:ascii="Times New Roman" w:hAnsi="Times New Roman" w:eastAsia="宋体"/>
                <w:caps w:val="0"/>
                <w:color w:val="auto"/>
                <w:u w:val="single"/>
                <w:lang w:eastAsia="zh-CN"/>
              </w:rPr>
              <w:t>评价</w:t>
            </w:r>
          </w:p>
          <w:tbl>
            <w:tblPr>
              <w:tblStyle w:val="22"/>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027"/>
              <w:gridCol w:w="1002"/>
              <w:gridCol w:w="1148"/>
              <w:gridCol w:w="1147"/>
              <w:gridCol w:w="1033"/>
              <w:gridCol w:w="1014"/>
              <w:gridCol w:w="1002"/>
            </w:tblGrid>
            <w:tr w14:paraId="075E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005" w:type="dxa"/>
                  <w:noWrap w:val="0"/>
                  <w:vAlign w:val="center"/>
                </w:tcPr>
                <w:p w14:paraId="74B2BD7F">
                  <w:pPr>
                    <w:pStyle w:val="50"/>
                    <w:jc w:val="center"/>
                    <w:rPr>
                      <w:b/>
                      <w:bCs/>
                      <w:color w:val="auto"/>
                      <w:u w:val="single"/>
                      <w:lang w:eastAsia="zh-CN"/>
                    </w:rPr>
                  </w:pPr>
                  <w:r>
                    <w:rPr>
                      <w:b/>
                      <w:bCs/>
                      <w:color w:val="auto"/>
                      <w:u w:val="single"/>
                      <w:lang w:eastAsia="zh-CN"/>
                    </w:rPr>
                    <w:t>监测位点</w:t>
                  </w:r>
                </w:p>
              </w:tc>
              <w:tc>
                <w:tcPr>
                  <w:tcW w:w="1027" w:type="dxa"/>
                  <w:noWrap w:val="0"/>
                  <w:vAlign w:val="center"/>
                </w:tcPr>
                <w:p w14:paraId="003A642C">
                  <w:pPr>
                    <w:pStyle w:val="50"/>
                    <w:jc w:val="center"/>
                    <w:rPr>
                      <w:b/>
                      <w:bCs/>
                      <w:color w:val="auto"/>
                      <w:u w:val="single"/>
                      <w:lang w:eastAsia="zh-CN"/>
                    </w:rPr>
                  </w:pPr>
                  <w:r>
                    <w:rPr>
                      <w:b/>
                      <w:bCs/>
                      <w:color w:val="auto"/>
                      <w:u w:val="single"/>
                      <w:lang w:eastAsia="zh-CN"/>
                    </w:rPr>
                    <w:t>评价因子</w:t>
                  </w:r>
                </w:p>
              </w:tc>
              <w:tc>
                <w:tcPr>
                  <w:tcW w:w="1002" w:type="dxa"/>
                  <w:noWrap w:val="0"/>
                  <w:vAlign w:val="center"/>
                </w:tcPr>
                <w:p w14:paraId="04C76072">
                  <w:pPr>
                    <w:pStyle w:val="50"/>
                    <w:jc w:val="center"/>
                    <w:rPr>
                      <w:b/>
                      <w:bCs/>
                      <w:color w:val="auto"/>
                      <w:u w:val="single"/>
                      <w:lang w:eastAsia="zh-CN"/>
                    </w:rPr>
                  </w:pPr>
                  <w:r>
                    <w:rPr>
                      <w:b/>
                      <w:bCs/>
                      <w:color w:val="auto"/>
                      <w:u w:val="single"/>
                      <w:lang w:eastAsia="zh-CN"/>
                    </w:rPr>
                    <w:t>平均时段</w:t>
                  </w:r>
                </w:p>
              </w:tc>
              <w:tc>
                <w:tcPr>
                  <w:tcW w:w="1148" w:type="dxa"/>
                  <w:noWrap w:val="0"/>
                  <w:vAlign w:val="center"/>
                </w:tcPr>
                <w:p w14:paraId="75BA67FE">
                  <w:pPr>
                    <w:pStyle w:val="50"/>
                    <w:jc w:val="center"/>
                    <w:rPr>
                      <w:b/>
                      <w:bCs/>
                      <w:color w:val="auto"/>
                      <w:u w:val="single"/>
                      <w:lang w:eastAsia="zh-CN"/>
                    </w:rPr>
                  </w:pPr>
                  <w:r>
                    <w:rPr>
                      <w:b/>
                      <w:bCs/>
                      <w:color w:val="auto"/>
                      <w:u w:val="single"/>
                      <w:lang w:eastAsia="zh-CN"/>
                    </w:rPr>
                    <w:t>评价标准（μg/m</w:t>
                  </w:r>
                  <w:r>
                    <w:rPr>
                      <w:b/>
                      <w:bCs/>
                      <w:color w:val="auto"/>
                      <w:u w:val="single"/>
                      <w:vertAlign w:val="superscript"/>
                      <w:lang w:eastAsia="zh-CN"/>
                    </w:rPr>
                    <w:t>3</w:t>
                  </w:r>
                  <w:r>
                    <w:rPr>
                      <w:b/>
                      <w:bCs/>
                      <w:color w:val="auto"/>
                      <w:u w:val="single"/>
                      <w:lang w:eastAsia="zh-CN"/>
                    </w:rPr>
                    <w:t>）</w:t>
                  </w:r>
                </w:p>
              </w:tc>
              <w:tc>
                <w:tcPr>
                  <w:tcW w:w="1147" w:type="dxa"/>
                  <w:noWrap w:val="0"/>
                  <w:vAlign w:val="center"/>
                </w:tcPr>
                <w:p w14:paraId="19B65A5D">
                  <w:pPr>
                    <w:pStyle w:val="50"/>
                    <w:jc w:val="center"/>
                    <w:rPr>
                      <w:b/>
                      <w:bCs/>
                      <w:color w:val="auto"/>
                      <w:u w:val="single"/>
                      <w:lang w:eastAsia="zh-CN"/>
                    </w:rPr>
                  </w:pPr>
                  <w:r>
                    <w:rPr>
                      <w:b/>
                      <w:bCs/>
                      <w:color w:val="auto"/>
                      <w:u w:val="single"/>
                      <w:lang w:eastAsia="zh-CN"/>
                    </w:rPr>
                    <w:t>监测浓度范围（μg/m</w:t>
                  </w:r>
                  <w:r>
                    <w:rPr>
                      <w:b/>
                      <w:bCs/>
                      <w:color w:val="auto"/>
                      <w:u w:val="single"/>
                      <w:vertAlign w:val="superscript"/>
                      <w:lang w:eastAsia="zh-CN"/>
                    </w:rPr>
                    <w:t>3</w:t>
                  </w:r>
                  <w:r>
                    <w:rPr>
                      <w:b/>
                      <w:bCs/>
                      <w:color w:val="auto"/>
                      <w:u w:val="single"/>
                      <w:lang w:eastAsia="zh-CN"/>
                    </w:rPr>
                    <w:t>）</w:t>
                  </w:r>
                </w:p>
              </w:tc>
              <w:tc>
                <w:tcPr>
                  <w:tcW w:w="1033" w:type="dxa"/>
                  <w:noWrap w:val="0"/>
                  <w:vAlign w:val="center"/>
                </w:tcPr>
                <w:p w14:paraId="21AF2FCA">
                  <w:pPr>
                    <w:pStyle w:val="50"/>
                    <w:jc w:val="center"/>
                    <w:rPr>
                      <w:b/>
                      <w:bCs/>
                      <w:color w:val="auto"/>
                      <w:u w:val="single"/>
                      <w:lang w:eastAsia="zh-CN"/>
                    </w:rPr>
                  </w:pPr>
                  <w:r>
                    <w:rPr>
                      <w:b/>
                      <w:bCs/>
                      <w:color w:val="auto"/>
                      <w:u w:val="single"/>
                      <w:lang w:eastAsia="zh-CN"/>
                    </w:rPr>
                    <w:t>最大浓度占标率%</w:t>
                  </w:r>
                </w:p>
              </w:tc>
              <w:tc>
                <w:tcPr>
                  <w:tcW w:w="1014" w:type="dxa"/>
                  <w:noWrap w:val="0"/>
                  <w:vAlign w:val="center"/>
                </w:tcPr>
                <w:p w14:paraId="02C103FA">
                  <w:pPr>
                    <w:pStyle w:val="50"/>
                    <w:jc w:val="center"/>
                    <w:rPr>
                      <w:b/>
                      <w:bCs/>
                      <w:color w:val="auto"/>
                      <w:u w:val="single"/>
                      <w:lang w:eastAsia="zh-CN"/>
                    </w:rPr>
                  </w:pPr>
                  <w:r>
                    <w:rPr>
                      <w:b/>
                      <w:bCs/>
                      <w:color w:val="auto"/>
                      <w:u w:val="single"/>
                      <w:lang w:eastAsia="zh-CN"/>
                    </w:rPr>
                    <w:t>超标率%</w:t>
                  </w:r>
                </w:p>
              </w:tc>
              <w:tc>
                <w:tcPr>
                  <w:tcW w:w="1002" w:type="dxa"/>
                  <w:noWrap w:val="0"/>
                  <w:vAlign w:val="center"/>
                </w:tcPr>
                <w:p w14:paraId="1425AEAB">
                  <w:pPr>
                    <w:pStyle w:val="50"/>
                    <w:jc w:val="center"/>
                    <w:rPr>
                      <w:b/>
                      <w:bCs/>
                      <w:color w:val="auto"/>
                      <w:u w:val="single"/>
                      <w:lang w:eastAsia="zh-CN"/>
                    </w:rPr>
                  </w:pPr>
                  <w:r>
                    <w:rPr>
                      <w:b/>
                      <w:bCs/>
                      <w:color w:val="auto"/>
                      <w:u w:val="single"/>
                      <w:lang w:eastAsia="zh-CN"/>
                    </w:rPr>
                    <w:t>达标情况</w:t>
                  </w:r>
                </w:p>
              </w:tc>
            </w:tr>
            <w:tr w14:paraId="34E3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5" w:type="dxa"/>
                  <w:noWrap w:val="0"/>
                  <w:vAlign w:val="center"/>
                </w:tcPr>
                <w:p w14:paraId="2B6AE065">
                  <w:pPr>
                    <w:pStyle w:val="50"/>
                    <w:jc w:val="center"/>
                    <w:rPr>
                      <w:color w:val="auto"/>
                      <w:u w:val="single"/>
                      <w:lang w:eastAsia="zh-CN"/>
                    </w:rPr>
                  </w:pPr>
                  <w:r>
                    <w:rPr>
                      <w:color w:val="auto"/>
                      <w:u w:val="single"/>
                      <w:lang w:eastAsia="zh-CN"/>
                    </w:rPr>
                    <w:t>G1</w:t>
                  </w:r>
                  <w:bookmarkStart w:id="27" w:name="OLE_LINK23"/>
                  <w:r>
                    <w:rPr>
                      <w:color w:val="auto"/>
                      <w:u w:val="single"/>
                      <w:lang w:eastAsia="zh-CN"/>
                    </w:rPr>
                    <w:t>南港村</w:t>
                  </w:r>
                  <w:bookmarkEnd w:id="27"/>
                </w:p>
              </w:tc>
              <w:tc>
                <w:tcPr>
                  <w:tcW w:w="1027" w:type="dxa"/>
                  <w:noWrap w:val="0"/>
                  <w:vAlign w:val="center"/>
                </w:tcPr>
                <w:p w14:paraId="7185AC87">
                  <w:pPr>
                    <w:pStyle w:val="50"/>
                    <w:jc w:val="center"/>
                    <w:rPr>
                      <w:color w:val="auto"/>
                      <w:u w:val="single"/>
                      <w:lang w:eastAsia="zh-CN"/>
                    </w:rPr>
                  </w:pPr>
                  <w:r>
                    <w:rPr>
                      <w:color w:val="auto"/>
                      <w:u w:val="single"/>
                      <w:lang w:eastAsia="zh-CN"/>
                    </w:rPr>
                    <w:t>非甲烷总烃</w:t>
                  </w:r>
                </w:p>
              </w:tc>
              <w:tc>
                <w:tcPr>
                  <w:tcW w:w="1002" w:type="dxa"/>
                  <w:noWrap w:val="0"/>
                  <w:vAlign w:val="center"/>
                </w:tcPr>
                <w:p w14:paraId="30BBCCB9">
                  <w:pPr>
                    <w:pStyle w:val="50"/>
                    <w:jc w:val="center"/>
                    <w:rPr>
                      <w:color w:val="auto"/>
                      <w:u w:val="single"/>
                      <w:lang w:eastAsia="zh-CN"/>
                    </w:rPr>
                  </w:pPr>
                  <w:r>
                    <w:rPr>
                      <w:color w:val="auto"/>
                      <w:u w:val="single"/>
                      <w:lang w:eastAsia="zh-CN"/>
                    </w:rPr>
                    <w:t>小时值</w:t>
                  </w:r>
                </w:p>
              </w:tc>
              <w:tc>
                <w:tcPr>
                  <w:tcW w:w="1148" w:type="dxa"/>
                  <w:noWrap w:val="0"/>
                  <w:vAlign w:val="center"/>
                </w:tcPr>
                <w:p w14:paraId="115CECC2">
                  <w:pPr>
                    <w:pStyle w:val="50"/>
                    <w:jc w:val="center"/>
                    <w:rPr>
                      <w:color w:val="auto"/>
                      <w:u w:val="single"/>
                      <w:lang w:eastAsia="zh-CN"/>
                    </w:rPr>
                  </w:pPr>
                  <w:r>
                    <w:rPr>
                      <w:color w:val="auto"/>
                      <w:u w:val="single"/>
                      <w:lang w:eastAsia="zh-CN"/>
                    </w:rPr>
                    <w:t>2000</w:t>
                  </w:r>
                </w:p>
              </w:tc>
              <w:tc>
                <w:tcPr>
                  <w:tcW w:w="1147" w:type="dxa"/>
                  <w:noWrap w:val="0"/>
                  <w:vAlign w:val="center"/>
                </w:tcPr>
                <w:p w14:paraId="5AC8A6CF">
                  <w:pPr>
                    <w:pStyle w:val="50"/>
                    <w:jc w:val="center"/>
                    <w:rPr>
                      <w:color w:val="auto"/>
                      <w:u w:val="single"/>
                      <w:lang w:eastAsia="zh-CN"/>
                    </w:rPr>
                  </w:pPr>
                </w:p>
              </w:tc>
              <w:tc>
                <w:tcPr>
                  <w:tcW w:w="1033" w:type="dxa"/>
                  <w:noWrap w:val="0"/>
                  <w:vAlign w:val="center"/>
                </w:tcPr>
                <w:p w14:paraId="4766BF28">
                  <w:pPr>
                    <w:pStyle w:val="50"/>
                    <w:jc w:val="center"/>
                    <w:rPr>
                      <w:color w:val="auto"/>
                      <w:u w:val="single"/>
                    </w:rPr>
                  </w:pPr>
                </w:p>
              </w:tc>
              <w:tc>
                <w:tcPr>
                  <w:tcW w:w="1014" w:type="dxa"/>
                  <w:noWrap w:val="0"/>
                  <w:vAlign w:val="center"/>
                </w:tcPr>
                <w:p w14:paraId="22DA9104">
                  <w:pPr>
                    <w:pStyle w:val="50"/>
                    <w:jc w:val="center"/>
                    <w:rPr>
                      <w:color w:val="auto"/>
                      <w:u w:val="single"/>
                      <w:lang w:eastAsia="zh-CN"/>
                    </w:rPr>
                  </w:pPr>
                </w:p>
              </w:tc>
              <w:tc>
                <w:tcPr>
                  <w:tcW w:w="1002" w:type="dxa"/>
                  <w:noWrap w:val="0"/>
                  <w:vAlign w:val="center"/>
                </w:tcPr>
                <w:p w14:paraId="75A9E245">
                  <w:pPr>
                    <w:pStyle w:val="50"/>
                    <w:jc w:val="center"/>
                    <w:rPr>
                      <w:color w:val="auto"/>
                      <w:u w:val="single"/>
                      <w:lang w:eastAsia="zh-CN"/>
                    </w:rPr>
                  </w:pPr>
                  <w:r>
                    <w:rPr>
                      <w:color w:val="auto"/>
                      <w:u w:val="single"/>
                      <w:lang w:eastAsia="zh-CN"/>
                    </w:rPr>
                    <w:t>达标</w:t>
                  </w:r>
                </w:p>
              </w:tc>
            </w:tr>
          </w:tbl>
          <w:p w14:paraId="0072BE06">
            <w:pPr>
              <w:pStyle w:val="2"/>
              <w:keepNext w:val="0"/>
              <w:keepLines w:val="0"/>
              <w:pageBreakBefore w:val="0"/>
              <w:kinsoku/>
              <w:wordWrap/>
              <w:overflowPunct/>
              <w:autoSpaceDE/>
              <w:autoSpaceDN/>
              <w:bidi w:val="0"/>
              <w:adjustRightInd/>
              <w:snapToGrid/>
              <w:spacing w:after="0"/>
              <w:textAlignment w:val="auto"/>
              <w:rPr>
                <w:rFonts w:cs="Times New Roman"/>
                <w:color w:val="auto"/>
                <w:sz w:val="24"/>
                <w:szCs w:val="24"/>
                <w:u w:val="single"/>
                <w:lang w:eastAsia="zh-CN"/>
              </w:rPr>
            </w:pPr>
            <w:r>
              <w:rPr>
                <w:rFonts w:hint="eastAsia" w:ascii="Times New Roman" w:hAnsi="Times New Roman" w:eastAsia="宋体"/>
                <w:caps w:val="0"/>
                <w:color w:val="auto"/>
                <w:sz w:val="24"/>
                <w:szCs w:val="24"/>
                <w:u w:val="single"/>
              </w:rPr>
              <w:t>监测结果表明，</w:t>
            </w:r>
            <w:r>
              <w:rPr>
                <w:rFonts w:cs="Times New Roman"/>
                <w:color w:val="auto"/>
                <w:sz w:val="24"/>
                <w:szCs w:val="24"/>
                <w:u w:val="single"/>
                <w:lang w:eastAsia="zh-CN"/>
              </w:rPr>
              <w:t>项目评价范围内的非甲烷总烃符合《大气污染物综合排放标准详解》关于非甲烷总烃环境空气质量的标准要求。</w:t>
            </w:r>
          </w:p>
          <w:p w14:paraId="14EBD383">
            <w:pPr>
              <w:keepNext w:val="0"/>
              <w:keepLines w:val="0"/>
              <w:pageBreakBefore w:val="0"/>
              <w:numPr>
                <w:ilvl w:val="0"/>
                <w:numId w:val="8"/>
              </w:numPr>
              <w:suppressLineNumbers w:val="0"/>
              <w:kinsoku/>
              <w:wordWrap/>
              <w:overflowPunct/>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aps w:val="0"/>
                <w:color w:val="auto"/>
                <w:sz w:val="24"/>
                <w:szCs w:val="24"/>
                <w:u w:val="single"/>
                <w:lang w:eastAsia="zh-CN"/>
              </w:rPr>
            </w:pPr>
            <w:r>
              <w:rPr>
                <w:rFonts w:hint="default" w:ascii="Times New Roman" w:hAnsi="Times New Roman" w:cs="Times New Roman"/>
                <w:color w:val="auto"/>
                <w:sz w:val="24"/>
                <w:highlight w:val="none"/>
                <w:u w:val="single"/>
                <w:lang w:val="en-US" w:eastAsia="zh-CN"/>
              </w:rPr>
              <w:t>TSP</w:t>
            </w:r>
          </w:p>
          <w:p w14:paraId="151C0070">
            <w:pPr>
              <w:keepNext w:val="0"/>
              <w:keepLines w:val="0"/>
              <w:pageBreakBefore w:val="0"/>
              <w:suppressLineNumbers w:val="0"/>
              <w:kinsoku/>
              <w:wordWrap/>
              <w:overflowPunct/>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u w:val="single"/>
                <w:lang w:val="en-US" w:eastAsia="zh-CN"/>
              </w:rPr>
            </w:pPr>
            <w:r>
              <w:rPr>
                <w:rFonts w:hint="default" w:ascii="Times New Roman" w:hAnsi="Times New Roman" w:eastAsia="宋体" w:cs="Times New Roman"/>
                <w:color w:val="auto"/>
                <w:sz w:val="24"/>
                <w:highlight w:val="none"/>
                <w:u w:val="single"/>
                <w:lang w:val="en-US" w:eastAsia="zh-CN"/>
              </w:rPr>
              <w:t>本项目</w:t>
            </w:r>
            <w:r>
              <w:rPr>
                <w:rFonts w:hint="default" w:ascii="Times New Roman" w:hAnsi="Times New Roman" w:cs="Times New Roman"/>
                <w:color w:val="auto"/>
                <w:sz w:val="24"/>
                <w:highlight w:val="none"/>
                <w:u w:val="single"/>
                <w:lang w:val="en-US" w:eastAsia="zh-CN"/>
              </w:rPr>
              <w:t>TSP</w:t>
            </w:r>
            <w:r>
              <w:rPr>
                <w:rFonts w:hint="default" w:ascii="Times New Roman" w:hAnsi="Times New Roman" w:eastAsia="宋体" w:cs="Times New Roman"/>
                <w:color w:val="auto"/>
                <w:sz w:val="24"/>
                <w:highlight w:val="none"/>
                <w:u w:val="single"/>
                <w:lang w:val="en-US" w:eastAsia="zh-CN"/>
              </w:rPr>
              <w:t>引用“</w:t>
            </w:r>
            <w:bookmarkStart w:id="28" w:name="OLE_LINK24"/>
            <w:r>
              <w:rPr>
                <w:rFonts w:hint="default" w:ascii="Times New Roman" w:hAnsi="Times New Roman" w:cs="Times New Roman"/>
                <w:color w:val="auto"/>
                <w:sz w:val="24"/>
                <w:highlight w:val="none"/>
                <w:u w:val="single"/>
              </w:rPr>
              <w:t>远景钦州智能风机叶片制造基地二期项目</w:t>
            </w:r>
            <w:bookmarkEnd w:id="28"/>
            <w:r>
              <w:rPr>
                <w:rFonts w:hint="default" w:ascii="Times New Roman" w:hAnsi="Times New Roman" w:eastAsia="宋体" w:cs="Times New Roman"/>
                <w:color w:val="auto"/>
                <w:sz w:val="24"/>
                <w:highlight w:val="none"/>
                <w:u w:val="single"/>
                <w:lang w:val="en-US" w:eastAsia="zh-CN"/>
              </w:rPr>
              <w:t>”环境影响评价期间监测数据，引用监测点位为远景能源公司厂址</w:t>
            </w:r>
            <w:r>
              <w:rPr>
                <w:rFonts w:hint="eastAsia"/>
                <w:color w:val="auto"/>
                <w:spacing w:val="-1"/>
                <w:w w:val="105"/>
                <w:sz w:val="24"/>
                <w:highlight w:val="none"/>
                <w:u w:val="single"/>
              </w:rPr>
              <w:t>南侧</w:t>
            </w:r>
            <w:r>
              <w:rPr>
                <w:rFonts w:hint="default" w:ascii="Times New Roman" w:hAnsi="Times New Roman" w:eastAsia="宋体" w:cs="Times New Roman"/>
                <w:color w:val="auto"/>
                <w:sz w:val="24"/>
                <w:highlight w:val="none"/>
                <w:u w:val="single"/>
                <w:lang w:val="en-US" w:eastAsia="zh-CN"/>
              </w:rPr>
              <w:t>，距离本项目</w:t>
            </w:r>
            <w:r>
              <w:rPr>
                <w:rFonts w:hint="eastAsia" w:ascii="Times New Roman" w:hAnsi="Times New Roman" w:eastAsia="宋体" w:cs="Times New Roman"/>
                <w:color w:val="auto"/>
                <w:sz w:val="24"/>
                <w:highlight w:val="none"/>
                <w:u w:val="single"/>
                <w:lang w:val="en-US" w:eastAsia="zh-CN"/>
              </w:rPr>
              <w:t>东南面</w:t>
            </w:r>
            <w:r>
              <w:rPr>
                <w:rFonts w:hint="default" w:ascii="Times New Roman" w:hAnsi="Times New Roman" w:eastAsia="宋体" w:cs="Times New Roman"/>
                <w:color w:val="auto"/>
                <w:sz w:val="24"/>
                <w:highlight w:val="none"/>
                <w:u w:val="single"/>
                <w:lang w:val="en-US" w:eastAsia="zh-CN"/>
              </w:rPr>
              <w:t>约</w:t>
            </w:r>
            <w:r>
              <w:rPr>
                <w:rFonts w:hint="eastAsia" w:cs="Times New Roman"/>
                <w:color w:val="auto"/>
                <w:sz w:val="24"/>
                <w:highlight w:val="none"/>
                <w:u w:val="single"/>
                <w:lang w:val="en-US" w:eastAsia="zh-CN"/>
              </w:rPr>
              <w:t>4467</w:t>
            </w:r>
            <w:r>
              <w:rPr>
                <w:rFonts w:hint="default" w:ascii="Times New Roman" w:hAnsi="Times New Roman" w:eastAsia="宋体" w:cs="Times New Roman"/>
                <w:color w:val="auto"/>
                <w:sz w:val="24"/>
                <w:highlight w:val="none"/>
                <w:u w:val="single"/>
                <w:lang w:val="en-US" w:eastAsia="zh-CN"/>
              </w:rPr>
              <w:t>m，监测时间为监测时间202</w:t>
            </w:r>
            <w:r>
              <w:rPr>
                <w:rFonts w:hint="default" w:ascii="Times New Roman" w:hAnsi="Times New Roman" w:cs="Times New Roman"/>
                <w:color w:val="auto"/>
                <w:sz w:val="24"/>
                <w:highlight w:val="none"/>
                <w:u w:val="single"/>
                <w:lang w:val="en-US" w:eastAsia="zh-CN"/>
              </w:rPr>
              <w:t>3</w:t>
            </w:r>
            <w:r>
              <w:rPr>
                <w:rFonts w:hint="default" w:ascii="Times New Roman" w:hAnsi="Times New Roman" w:eastAsia="宋体" w:cs="Times New Roman"/>
                <w:color w:val="auto"/>
                <w:sz w:val="24"/>
                <w:highlight w:val="none"/>
                <w:u w:val="single"/>
                <w:lang w:val="en-US" w:eastAsia="zh-CN"/>
              </w:rPr>
              <w:t>年</w:t>
            </w:r>
            <w:r>
              <w:rPr>
                <w:rFonts w:hint="default" w:ascii="Times New Roman" w:hAnsi="Times New Roman" w:cs="Times New Roman"/>
                <w:color w:val="auto"/>
                <w:sz w:val="24"/>
                <w:highlight w:val="none"/>
                <w:u w:val="single"/>
                <w:lang w:val="en-US" w:eastAsia="zh-CN"/>
              </w:rPr>
              <w:t>8</w:t>
            </w:r>
            <w:r>
              <w:rPr>
                <w:rFonts w:hint="default" w:ascii="Times New Roman" w:hAnsi="Times New Roman" w:eastAsia="宋体" w:cs="Times New Roman"/>
                <w:color w:val="auto"/>
                <w:sz w:val="24"/>
                <w:highlight w:val="none"/>
                <w:u w:val="single"/>
                <w:lang w:val="en-US" w:eastAsia="zh-CN"/>
              </w:rPr>
              <w:t>月</w:t>
            </w:r>
            <w:r>
              <w:rPr>
                <w:rFonts w:hint="default" w:ascii="Times New Roman" w:hAnsi="Times New Roman" w:cs="Times New Roman"/>
                <w:color w:val="auto"/>
                <w:sz w:val="24"/>
                <w:highlight w:val="none"/>
                <w:u w:val="single"/>
                <w:lang w:val="en-US" w:eastAsia="zh-CN"/>
              </w:rPr>
              <w:t>30</w:t>
            </w:r>
            <w:r>
              <w:rPr>
                <w:rFonts w:hint="default" w:ascii="Times New Roman" w:hAnsi="Times New Roman" w:eastAsia="宋体" w:cs="Times New Roman"/>
                <w:color w:val="auto"/>
                <w:sz w:val="24"/>
                <w:highlight w:val="none"/>
                <w:u w:val="single"/>
                <w:lang w:val="en-US" w:eastAsia="zh-CN"/>
              </w:rPr>
              <w:t>日至</w:t>
            </w:r>
            <w:r>
              <w:rPr>
                <w:rFonts w:hint="default" w:ascii="Times New Roman" w:hAnsi="Times New Roman" w:cs="Times New Roman"/>
                <w:color w:val="auto"/>
                <w:sz w:val="24"/>
                <w:highlight w:val="none"/>
                <w:u w:val="single"/>
                <w:lang w:val="en-US" w:eastAsia="zh-CN"/>
              </w:rPr>
              <w:t>9</w:t>
            </w:r>
            <w:r>
              <w:rPr>
                <w:rFonts w:hint="default" w:ascii="Times New Roman" w:hAnsi="Times New Roman" w:eastAsia="宋体" w:cs="Times New Roman"/>
                <w:color w:val="auto"/>
                <w:sz w:val="24"/>
                <w:highlight w:val="none"/>
                <w:u w:val="single"/>
                <w:lang w:val="en-US" w:eastAsia="zh-CN"/>
              </w:rPr>
              <w:t>月</w:t>
            </w:r>
            <w:r>
              <w:rPr>
                <w:rFonts w:hint="default" w:ascii="Times New Roman" w:hAnsi="Times New Roman" w:cs="Times New Roman"/>
                <w:color w:val="auto"/>
                <w:sz w:val="24"/>
                <w:highlight w:val="none"/>
                <w:u w:val="single"/>
                <w:lang w:val="en-US" w:eastAsia="zh-CN"/>
              </w:rPr>
              <w:t>1</w:t>
            </w:r>
            <w:r>
              <w:rPr>
                <w:rFonts w:hint="default" w:ascii="Times New Roman" w:hAnsi="Times New Roman" w:eastAsia="宋体" w:cs="Times New Roman"/>
                <w:color w:val="auto"/>
                <w:sz w:val="24"/>
                <w:highlight w:val="none"/>
                <w:u w:val="single"/>
                <w:lang w:val="en-US" w:eastAsia="zh-CN"/>
              </w:rPr>
              <w:t>日，监测周期为连续</w:t>
            </w:r>
            <w:r>
              <w:rPr>
                <w:rFonts w:hint="default" w:ascii="Times New Roman" w:hAnsi="Times New Roman" w:cs="Times New Roman"/>
                <w:color w:val="auto"/>
                <w:sz w:val="24"/>
                <w:highlight w:val="none"/>
                <w:u w:val="single"/>
                <w:lang w:val="en-US" w:eastAsia="zh-CN"/>
              </w:rPr>
              <w:t>3</w:t>
            </w:r>
            <w:r>
              <w:rPr>
                <w:rFonts w:hint="default" w:ascii="Times New Roman" w:hAnsi="Times New Roman" w:eastAsia="宋体" w:cs="Times New Roman"/>
                <w:color w:val="auto"/>
                <w:sz w:val="24"/>
                <w:highlight w:val="none"/>
                <w:u w:val="single"/>
                <w:lang w:val="en-US" w:eastAsia="zh-CN"/>
              </w:rPr>
              <w:t>天，符合《建设项目环境影响报告表编制</w:t>
            </w:r>
            <w:r>
              <w:rPr>
                <w:rFonts w:hint="default" w:ascii="Times New Roman" w:hAnsi="Times New Roman" w:cs="Times New Roman"/>
                <w:color w:val="auto"/>
                <w:sz w:val="24"/>
                <w:highlight w:val="none"/>
                <w:u w:val="single"/>
                <w:lang w:val="en-US" w:eastAsia="zh-CN"/>
              </w:rPr>
              <w:t>技术</w:t>
            </w:r>
            <w:r>
              <w:rPr>
                <w:rFonts w:hint="default" w:ascii="Times New Roman" w:hAnsi="Times New Roman" w:eastAsia="宋体" w:cs="Times New Roman"/>
                <w:color w:val="auto"/>
                <w:sz w:val="24"/>
                <w:highlight w:val="none"/>
                <w:u w:val="single"/>
                <w:lang w:val="en-US" w:eastAsia="zh-CN"/>
              </w:rPr>
              <w:t>指南</w:t>
            </w:r>
            <w:r>
              <w:rPr>
                <w:rFonts w:hint="eastAsia" w:cs="Times New Roman"/>
                <w:color w:val="auto"/>
                <w:sz w:val="24"/>
                <w:highlight w:val="none"/>
                <w:u w:val="single"/>
                <w:lang w:val="en-US" w:eastAsia="zh-CN"/>
              </w:rPr>
              <w:t>（污染</w:t>
            </w:r>
            <w:r>
              <w:rPr>
                <w:rFonts w:hint="default" w:ascii="Times New Roman" w:hAnsi="Times New Roman" w:eastAsia="宋体" w:cs="Times New Roman"/>
                <w:color w:val="auto"/>
                <w:sz w:val="24"/>
                <w:highlight w:val="none"/>
                <w:u w:val="single"/>
                <w:lang w:val="en-US" w:eastAsia="zh-CN"/>
              </w:rPr>
              <w:t>影响类</w:t>
            </w:r>
            <w:r>
              <w:rPr>
                <w:rFonts w:hint="eastAsia" w:cs="Times New Roman"/>
                <w:color w:val="auto"/>
                <w:sz w:val="24"/>
                <w:highlight w:val="none"/>
                <w:u w:val="single"/>
                <w:lang w:val="en-US" w:eastAsia="zh-CN"/>
              </w:rPr>
              <w:t>）（试行）</w:t>
            </w:r>
            <w:r>
              <w:rPr>
                <w:rFonts w:hint="default" w:ascii="Times New Roman" w:hAnsi="Times New Roman" w:eastAsia="宋体" w:cs="Times New Roman"/>
                <w:color w:val="auto"/>
                <w:sz w:val="24"/>
                <w:highlight w:val="none"/>
                <w:u w:val="single"/>
                <w:lang w:val="en-US" w:eastAsia="zh-CN"/>
              </w:rPr>
              <w:t>》中引用的空间及时效性要求。</w:t>
            </w:r>
          </w:p>
          <w:p w14:paraId="6581B743">
            <w:pPr>
              <w:keepNext w:val="0"/>
              <w:keepLines w:val="0"/>
              <w:pageBreakBefore w:val="0"/>
              <w:suppressLineNumbers w:val="0"/>
              <w:kinsoku/>
              <w:wordWrap/>
              <w:overflowPunct/>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highlight w:val="none"/>
                <w:u w:val="single"/>
                <w:lang w:val="en-US" w:eastAsia="zh-CN"/>
              </w:rPr>
            </w:pPr>
            <w:r>
              <w:rPr>
                <w:rFonts w:hint="default" w:ascii="Times New Roman" w:hAnsi="Times New Roman" w:eastAsia="宋体" w:cs="Times New Roman"/>
                <w:color w:val="auto"/>
                <w:sz w:val="24"/>
                <w:highlight w:val="none"/>
                <w:u w:val="single"/>
                <w:lang w:val="en-US" w:eastAsia="zh-CN"/>
              </w:rPr>
              <w:t>上述监测及评价结果见表</w:t>
            </w:r>
            <w:r>
              <w:rPr>
                <w:rFonts w:hint="default" w:ascii="Times New Roman" w:hAnsi="Times New Roman" w:cs="Times New Roman"/>
                <w:color w:val="auto"/>
                <w:sz w:val="24"/>
                <w:highlight w:val="none"/>
                <w:u w:val="single"/>
                <w:lang w:val="en-US" w:eastAsia="zh-CN"/>
              </w:rPr>
              <w:t>3-</w:t>
            </w:r>
            <w:r>
              <w:rPr>
                <w:rFonts w:hint="eastAsia" w:ascii="Times New Roman" w:hAnsi="Times New Roman" w:cs="Times New Roman"/>
                <w:color w:val="auto"/>
                <w:sz w:val="24"/>
                <w:highlight w:val="none"/>
                <w:u w:val="single"/>
                <w:lang w:val="en-US" w:eastAsia="zh-CN"/>
              </w:rPr>
              <w:t>4</w:t>
            </w:r>
            <w:r>
              <w:rPr>
                <w:rFonts w:hint="eastAsia" w:cs="Times New Roman"/>
                <w:color w:val="auto"/>
                <w:sz w:val="24"/>
                <w:highlight w:val="none"/>
                <w:u w:val="single"/>
                <w:lang w:val="en-US" w:eastAsia="zh-CN"/>
              </w:rPr>
              <w:t>~5</w:t>
            </w:r>
            <w:r>
              <w:rPr>
                <w:rFonts w:hint="default" w:ascii="Times New Roman" w:hAnsi="Times New Roman" w:eastAsia="宋体" w:cs="Times New Roman"/>
                <w:color w:val="auto"/>
                <w:sz w:val="24"/>
                <w:highlight w:val="none"/>
                <w:u w:val="single"/>
                <w:lang w:val="en-US" w:eastAsia="zh-CN"/>
              </w:rPr>
              <w:t>。</w:t>
            </w:r>
          </w:p>
          <w:p w14:paraId="408AC0F4">
            <w:pPr>
              <w:pStyle w:val="66"/>
              <w:numPr>
                <w:ilvl w:val="4"/>
                <w:numId w:val="0"/>
              </w:numPr>
              <w:suppressLineNumbers w:val="0"/>
              <w:spacing w:before="0" w:beforeAutospacing="0" w:after="0" w:afterAutospacing="0"/>
              <w:ind w:left="2268" w:leftChars="0" w:right="0" w:rightChars="0" w:firstLine="632" w:firstLineChars="300"/>
              <w:jc w:val="both"/>
              <w:rPr>
                <w:rFonts w:hint="eastAsia" w:ascii="Times New Roman" w:hAnsi="Times New Roman" w:eastAsia="宋体" w:cs="Times New Roman"/>
                <w:caps w:val="0"/>
                <w:color w:val="auto"/>
                <w:u w:val="single"/>
                <w:lang w:eastAsia="zh-CN"/>
              </w:rPr>
            </w:pPr>
            <w:r>
              <w:rPr>
                <w:rFonts w:hint="eastAsia" w:ascii="Times New Roman" w:hAnsi="Times New Roman" w:eastAsia="宋体" w:cs="Times New Roman"/>
                <w:caps w:val="0"/>
                <w:color w:val="auto"/>
                <w:u w:val="single"/>
                <w:lang w:eastAsia="zh-CN"/>
              </w:rPr>
              <w:t>表3-</w:t>
            </w:r>
            <w:r>
              <w:rPr>
                <w:rFonts w:hint="eastAsia" w:ascii="Times New Roman" w:hAnsi="Times New Roman" w:eastAsia="宋体" w:cs="Times New Roman"/>
                <w:caps w:val="0"/>
                <w:color w:val="auto"/>
                <w:u w:val="single"/>
                <w:lang w:val="en-US" w:eastAsia="zh-CN"/>
              </w:rPr>
              <w:t>4</w:t>
            </w:r>
            <w:r>
              <w:rPr>
                <w:rFonts w:hint="eastAsia" w:ascii="Times New Roman" w:hAnsi="Times New Roman" w:eastAsia="宋体" w:cs="Times New Roman"/>
                <w:caps w:val="0"/>
                <w:color w:val="auto"/>
                <w:u w:val="single"/>
                <w:lang w:eastAsia="zh-CN"/>
              </w:rPr>
              <w:t>环境空气监测结果表</w:t>
            </w:r>
          </w:p>
          <w:tbl>
            <w:tblPr>
              <w:tblStyle w:val="22"/>
              <w:tblpPr w:leftFromText="180" w:rightFromText="180" w:vertAnchor="text" w:tblpXSpec="center" w:tblpY="1"/>
              <w:tblOverlap w:val="never"/>
              <w:tblW w:w="7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2291"/>
              <w:gridCol w:w="3769"/>
            </w:tblGrid>
            <w:tr w14:paraId="01C1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1" w:hRule="atLeast"/>
                <w:jc w:val="center"/>
              </w:trPr>
              <w:tc>
                <w:tcPr>
                  <w:tcW w:w="4110" w:type="dxa"/>
                  <w:gridSpan w:val="2"/>
                  <w:vMerge w:val="restart"/>
                  <w:noWrap w:val="0"/>
                  <w:vAlign w:val="center"/>
                </w:tcPr>
                <w:p w14:paraId="700FE50B">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采样时间</w:t>
                  </w:r>
                </w:p>
              </w:tc>
              <w:tc>
                <w:tcPr>
                  <w:tcW w:w="3769" w:type="dxa"/>
                  <w:noWrap w:val="0"/>
                  <w:vAlign w:val="center"/>
                </w:tcPr>
                <w:p w14:paraId="250487CA">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u w:val="single"/>
                    </w:rPr>
                  </w:pPr>
                  <w:r>
                    <w:rPr>
                      <w:rFonts w:hint="eastAsia"/>
                      <w:color w:val="auto"/>
                      <w:szCs w:val="21"/>
                      <w:highlight w:val="none"/>
                      <w:u w:val="single"/>
                    </w:rPr>
                    <w:t>检测结果</w:t>
                  </w:r>
                  <w:r>
                    <w:rPr>
                      <w:rFonts w:hint="default"/>
                      <w:color w:val="auto"/>
                      <w:szCs w:val="21"/>
                      <w:highlight w:val="none"/>
                      <w:u w:val="single"/>
                    </w:rPr>
                    <w:t>（单位：mg/m</w:t>
                  </w:r>
                  <w:r>
                    <w:rPr>
                      <w:rFonts w:hint="default"/>
                      <w:color w:val="auto"/>
                      <w:szCs w:val="21"/>
                      <w:highlight w:val="none"/>
                      <w:u w:val="single"/>
                      <w:vertAlign w:val="superscript"/>
                    </w:rPr>
                    <w:t>3</w:t>
                  </w:r>
                  <w:r>
                    <w:rPr>
                      <w:rFonts w:hint="default"/>
                      <w:color w:val="auto"/>
                      <w:szCs w:val="21"/>
                      <w:highlight w:val="none"/>
                      <w:u w:val="single"/>
                    </w:rPr>
                    <w:t>）</w:t>
                  </w:r>
                </w:p>
              </w:tc>
            </w:tr>
            <w:tr w14:paraId="1EB0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4110" w:type="dxa"/>
                  <w:gridSpan w:val="2"/>
                  <w:vMerge w:val="continue"/>
                  <w:noWrap w:val="0"/>
                  <w:vAlign w:val="center"/>
                </w:tcPr>
                <w:p w14:paraId="43EA05C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3769" w:type="dxa"/>
                  <w:noWrap w:val="0"/>
                  <w:vAlign w:val="center"/>
                </w:tcPr>
                <w:p w14:paraId="53FEF0C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TSP</w:t>
                  </w:r>
                </w:p>
              </w:tc>
            </w:tr>
            <w:tr w14:paraId="2C58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4110" w:type="dxa"/>
                  <w:gridSpan w:val="2"/>
                  <w:vMerge w:val="continue"/>
                  <w:noWrap w:val="0"/>
                  <w:vAlign w:val="center"/>
                </w:tcPr>
                <w:p w14:paraId="7D9B82AE">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3769" w:type="dxa"/>
                  <w:noWrap w:val="0"/>
                  <w:vAlign w:val="top"/>
                </w:tcPr>
                <w:p w14:paraId="2BF371CE">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r>
                    <w:rPr>
                      <w:rFonts w:hint="eastAsia"/>
                      <w:color w:val="auto"/>
                      <w:highlight w:val="none"/>
                      <w:u w:val="single"/>
                    </w:rPr>
                    <w:t>日均值</w:t>
                  </w:r>
                </w:p>
              </w:tc>
            </w:tr>
            <w:tr w14:paraId="7EF5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restart"/>
                  <w:noWrap w:val="0"/>
                  <w:vAlign w:val="center"/>
                </w:tcPr>
                <w:p w14:paraId="1ABA32CA">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eastAsia"/>
                      <w:color w:val="auto"/>
                      <w:szCs w:val="21"/>
                      <w:highlight w:val="none"/>
                      <w:u w:val="single"/>
                    </w:rPr>
                    <w:t>2023.08.30</w:t>
                  </w:r>
                </w:p>
              </w:tc>
              <w:tc>
                <w:tcPr>
                  <w:tcW w:w="2291" w:type="dxa"/>
                  <w:noWrap w:val="0"/>
                  <w:vAlign w:val="center"/>
                </w:tcPr>
                <w:p w14:paraId="4E08AE3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02</w:t>
                  </w:r>
                  <w:r>
                    <w:rPr>
                      <w:rFonts w:hint="eastAsia"/>
                      <w:color w:val="auto"/>
                      <w:szCs w:val="21"/>
                      <w:highlight w:val="none"/>
                      <w:u w:val="single"/>
                    </w:rPr>
                    <w:t>:</w:t>
                  </w:r>
                  <w:r>
                    <w:rPr>
                      <w:rFonts w:hint="default"/>
                      <w:color w:val="auto"/>
                      <w:szCs w:val="21"/>
                      <w:highlight w:val="none"/>
                      <w:u w:val="single"/>
                    </w:rPr>
                    <w:t>00-03</w:t>
                  </w:r>
                  <w:r>
                    <w:rPr>
                      <w:rFonts w:hint="eastAsia"/>
                      <w:color w:val="auto"/>
                      <w:szCs w:val="21"/>
                      <w:highlight w:val="none"/>
                      <w:u w:val="single"/>
                    </w:rPr>
                    <w:t>:</w:t>
                  </w:r>
                  <w:r>
                    <w:rPr>
                      <w:rFonts w:hint="default"/>
                      <w:color w:val="auto"/>
                      <w:szCs w:val="21"/>
                      <w:highlight w:val="none"/>
                      <w:u w:val="single"/>
                    </w:rPr>
                    <w:t>00</w:t>
                  </w:r>
                </w:p>
              </w:tc>
              <w:tc>
                <w:tcPr>
                  <w:tcW w:w="3769" w:type="dxa"/>
                  <w:vMerge w:val="restart"/>
                  <w:noWrap w:val="0"/>
                  <w:vAlign w:val="center"/>
                </w:tcPr>
                <w:p w14:paraId="701E26A9">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008D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continue"/>
                  <w:noWrap w:val="0"/>
                  <w:vAlign w:val="center"/>
                </w:tcPr>
                <w:p w14:paraId="26C4450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2291" w:type="dxa"/>
                  <w:noWrap w:val="0"/>
                  <w:vAlign w:val="center"/>
                </w:tcPr>
                <w:p w14:paraId="08F774E4">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08</w:t>
                  </w:r>
                  <w:r>
                    <w:rPr>
                      <w:rFonts w:hint="eastAsia"/>
                      <w:color w:val="auto"/>
                      <w:szCs w:val="21"/>
                      <w:highlight w:val="none"/>
                      <w:u w:val="single"/>
                    </w:rPr>
                    <w:t>:</w:t>
                  </w:r>
                  <w:r>
                    <w:rPr>
                      <w:rFonts w:hint="default"/>
                      <w:color w:val="auto"/>
                      <w:szCs w:val="21"/>
                      <w:highlight w:val="none"/>
                      <w:u w:val="single"/>
                    </w:rPr>
                    <w:t>00-09:00</w:t>
                  </w:r>
                </w:p>
              </w:tc>
              <w:tc>
                <w:tcPr>
                  <w:tcW w:w="3769" w:type="dxa"/>
                  <w:vMerge w:val="continue"/>
                  <w:noWrap w:val="0"/>
                  <w:vAlign w:val="center"/>
                </w:tcPr>
                <w:p w14:paraId="2055049E">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7C2B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continue"/>
                  <w:noWrap w:val="0"/>
                  <w:vAlign w:val="center"/>
                </w:tcPr>
                <w:p w14:paraId="53B082D4">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2291" w:type="dxa"/>
                  <w:noWrap w:val="0"/>
                  <w:vAlign w:val="center"/>
                </w:tcPr>
                <w:p w14:paraId="02B58E6F">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14</w:t>
                  </w:r>
                  <w:r>
                    <w:rPr>
                      <w:rFonts w:hint="eastAsia"/>
                      <w:color w:val="auto"/>
                      <w:szCs w:val="21"/>
                      <w:highlight w:val="none"/>
                      <w:u w:val="single"/>
                    </w:rPr>
                    <w:t>:</w:t>
                  </w:r>
                  <w:r>
                    <w:rPr>
                      <w:rFonts w:hint="default"/>
                      <w:color w:val="auto"/>
                      <w:szCs w:val="21"/>
                      <w:highlight w:val="none"/>
                      <w:u w:val="single"/>
                    </w:rPr>
                    <w:t>00-15:00</w:t>
                  </w:r>
                </w:p>
              </w:tc>
              <w:tc>
                <w:tcPr>
                  <w:tcW w:w="3769" w:type="dxa"/>
                  <w:vMerge w:val="continue"/>
                  <w:noWrap w:val="0"/>
                  <w:vAlign w:val="center"/>
                </w:tcPr>
                <w:p w14:paraId="2FD0F374">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32D9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continue"/>
                  <w:noWrap w:val="0"/>
                  <w:vAlign w:val="center"/>
                </w:tcPr>
                <w:p w14:paraId="27F42A3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2291" w:type="dxa"/>
                  <w:noWrap w:val="0"/>
                  <w:vAlign w:val="center"/>
                </w:tcPr>
                <w:p w14:paraId="39F33E70">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20</w:t>
                  </w:r>
                  <w:r>
                    <w:rPr>
                      <w:rFonts w:hint="eastAsia"/>
                      <w:color w:val="auto"/>
                      <w:szCs w:val="21"/>
                      <w:highlight w:val="none"/>
                      <w:u w:val="single"/>
                    </w:rPr>
                    <w:t>:</w:t>
                  </w:r>
                  <w:r>
                    <w:rPr>
                      <w:rFonts w:hint="default"/>
                      <w:color w:val="auto"/>
                      <w:szCs w:val="21"/>
                      <w:highlight w:val="none"/>
                      <w:u w:val="single"/>
                    </w:rPr>
                    <w:t>00</w:t>
                  </w:r>
                  <w:r>
                    <w:rPr>
                      <w:rFonts w:hint="eastAsia"/>
                      <w:color w:val="auto"/>
                      <w:szCs w:val="21"/>
                      <w:highlight w:val="none"/>
                      <w:u w:val="single"/>
                    </w:rPr>
                    <w:t>-21:00</w:t>
                  </w:r>
                </w:p>
              </w:tc>
              <w:tc>
                <w:tcPr>
                  <w:tcW w:w="3769" w:type="dxa"/>
                  <w:vMerge w:val="continue"/>
                  <w:noWrap w:val="0"/>
                  <w:vAlign w:val="center"/>
                </w:tcPr>
                <w:p w14:paraId="6A621162">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0C5B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restart"/>
                  <w:noWrap w:val="0"/>
                  <w:vAlign w:val="center"/>
                </w:tcPr>
                <w:p w14:paraId="4AD25CBA">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r>
                    <w:rPr>
                      <w:rFonts w:hint="eastAsia"/>
                      <w:color w:val="auto"/>
                      <w:szCs w:val="21"/>
                      <w:highlight w:val="none"/>
                      <w:u w:val="single"/>
                    </w:rPr>
                    <w:t>2023.08.31</w:t>
                  </w:r>
                </w:p>
              </w:tc>
              <w:tc>
                <w:tcPr>
                  <w:tcW w:w="2291" w:type="dxa"/>
                  <w:noWrap w:val="0"/>
                  <w:vAlign w:val="center"/>
                </w:tcPr>
                <w:p w14:paraId="5D793D4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02</w:t>
                  </w:r>
                  <w:r>
                    <w:rPr>
                      <w:rFonts w:hint="eastAsia"/>
                      <w:color w:val="auto"/>
                      <w:szCs w:val="21"/>
                      <w:highlight w:val="none"/>
                      <w:u w:val="single"/>
                    </w:rPr>
                    <w:t>:</w:t>
                  </w:r>
                  <w:r>
                    <w:rPr>
                      <w:rFonts w:hint="default"/>
                      <w:color w:val="auto"/>
                      <w:szCs w:val="21"/>
                      <w:highlight w:val="none"/>
                      <w:u w:val="single"/>
                    </w:rPr>
                    <w:t>00-03</w:t>
                  </w:r>
                  <w:r>
                    <w:rPr>
                      <w:rFonts w:hint="eastAsia"/>
                      <w:color w:val="auto"/>
                      <w:szCs w:val="21"/>
                      <w:highlight w:val="none"/>
                      <w:u w:val="single"/>
                    </w:rPr>
                    <w:t>:</w:t>
                  </w:r>
                  <w:r>
                    <w:rPr>
                      <w:rFonts w:hint="default"/>
                      <w:color w:val="auto"/>
                      <w:szCs w:val="21"/>
                      <w:highlight w:val="none"/>
                      <w:u w:val="single"/>
                    </w:rPr>
                    <w:t>00</w:t>
                  </w:r>
                </w:p>
              </w:tc>
              <w:tc>
                <w:tcPr>
                  <w:tcW w:w="3769" w:type="dxa"/>
                  <w:vMerge w:val="restart"/>
                  <w:noWrap w:val="0"/>
                  <w:vAlign w:val="center"/>
                </w:tcPr>
                <w:p w14:paraId="1B0E28EC">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1484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continue"/>
                  <w:noWrap w:val="0"/>
                  <w:vAlign w:val="center"/>
                </w:tcPr>
                <w:p w14:paraId="5F32F2B4">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2291" w:type="dxa"/>
                  <w:noWrap w:val="0"/>
                  <w:vAlign w:val="center"/>
                </w:tcPr>
                <w:p w14:paraId="3A335480">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08</w:t>
                  </w:r>
                  <w:r>
                    <w:rPr>
                      <w:rFonts w:hint="eastAsia"/>
                      <w:color w:val="auto"/>
                      <w:szCs w:val="21"/>
                      <w:highlight w:val="none"/>
                      <w:u w:val="single"/>
                    </w:rPr>
                    <w:t>:</w:t>
                  </w:r>
                  <w:r>
                    <w:rPr>
                      <w:rFonts w:hint="default"/>
                      <w:color w:val="auto"/>
                      <w:szCs w:val="21"/>
                      <w:highlight w:val="none"/>
                      <w:u w:val="single"/>
                    </w:rPr>
                    <w:t>00-09:00</w:t>
                  </w:r>
                </w:p>
              </w:tc>
              <w:tc>
                <w:tcPr>
                  <w:tcW w:w="3769" w:type="dxa"/>
                  <w:vMerge w:val="continue"/>
                  <w:noWrap w:val="0"/>
                  <w:vAlign w:val="center"/>
                </w:tcPr>
                <w:p w14:paraId="33FA7DB1">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4BE2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continue"/>
                  <w:noWrap w:val="0"/>
                  <w:vAlign w:val="center"/>
                </w:tcPr>
                <w:p w14:paraId="321F41C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2291" w:type="dxa"/>
                  <w:noWrap w:val="0"/>
                  <w:vAlign w:val="center"/>
                </w:tcPr>
                <w:p w14:paraId="03032A62">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14</w:t>
                  </w:r>
                  <w:r>
                    <w:rPr>
                      <w:rFonts w:hint="eastAsia"/>
                      <w:color w:val="auto"/>
                      <w:szCs w:val="21"/>
                      <w:highlight w:val="none"/>
                      <w:u w:val="single"/>
                    </w:rPr>
                    <w:t>:</w:t>
                  </w:r>
                  <w:r>
                    <w:rPr>
                      <w:rFonts w:hint="default"/>
                      <w:color w:val="auto"/>
                      <w:szCs w:val="21"/>
                      <w:highlight w:val="none"/>
                      <w:u w:val="single"/>
                    </w:rPr>
                    <w:t>00-15:00</w:t>
                  </w:r>
                </w:p>
              </w:tc>
              <w:tc>
                <w:tcPr>
                  <w:tcW w:w="3769" w:type="dxa"/>
                  <w:vMerge w:val="continue"/>
                  <w:noWrap w:val="0"/>
                  <w:vAlign w:val="center"/>
                </w:tcPr>
                <w:p w14:paraId="60020462">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30D3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continue"/>
                  <w:noWrap w:val="0"/>
                  <w:vAlign w:val="center"/>
                </w:tcPr>
                <w:p w14:paraId="5578BA48">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2291" w:type="dxa"/>
                  <w:noWrap w:val="0"/>
                  <w:vAlign w:val="center"/>
                </w:tcPr>
                <w:p w14:paraId="5B69EF56">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20</w:t>
                  </w:r>
                  <w:r>
                    <w:rPr>
                      <w:rFonts w:hint="eastAsia"/>
                      <w:color w:val="auto"/>
                      <w:szCs w:val="21"/>
                      <w:highlight w:val="none"/>
                      <w:u w:val="single"/>
                    </w:rPr>
                    <w:t>:</w:t>
                  </w:r>
                  <w:r>
                    <w:rPr>
                      <w:rFonts w:hint="default"/>
                      <w:color w:val="auto"/>
                      <w:szCs w:val="21"/>
                      <w:highlight w:val="none"/>
                      <w:u w:val="single"/>
                    </w:rPr>
                    <w:t>00</w:t>
                  </w:r>
                  <w:r>
                    <w:rPr>
                      <w:rFonts w:hint="eastAsia"/>
                      <w:color w:val="auto"/>
                      <w:szCs w:val="21"/>
                      <w:highlight w:val="none"/>
                      <w:u w:val="single"/>
                    </w:rPr>
                    <w:t>-21:00</w:t>
                  </w:r>
                </w:p>
              </w:tc>
              <w:tc>
                <w:tcPr>
                  <w:tcW w:w="3769" w:type="dxa"/>
                  <w:vMerge w:val="continue"/>
                  <w:noWrap w:val="0"/>
                  <w:vAlign w:val="center"/>
                </w:tcPr>
                <w:p w14:paraId="52F8C9C2">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06DA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restart"/>
                  <w:noWrap w:val="0"/>
                  <w:vAlign w:val="center"/>
                </w:tcPr>
                <w:p w14:paraId="45744FC4">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r>
                    <w:rPr>
                      <w:rFonts w:hint="eastAsia"/>
                      <w:color w:val="auto"/>
                      <w:szCs w:val="21"/>
                      <w:highlight w:val="none"/>
                      <w:u w:val="single"/>
                    </w:rPr>
                    <w:t>2023.09.01</w:t>
                  </w:r>
                </w:p>
              </w:tc>
              <w:tc>
                <w:tcPr>
                  <w:tcW w:w="2291" w:type="dxa"/>
                  <w:noWrap w:val="0"/>
                  <w:vAlign w:val="center"/>
                </w:tcPr>
                <w:p w14:paraId="24897C8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02</w:t>
                  </w:r>
                  <w:r>
                    <w:rPr>
                      <w:rFonts w:hint="eastAsia"/>
                      <w:color w:val="auto"/>
                      <w:szCs w:val="21"/>
                      <w:highlight w:val="none"/>
                      <w:u w:val="single"/>
                    </w:rPr>
                    <w:t>:</w:t>
                  </w:r>
                  <w:r>
                    <w:rPr>
                      <w:rFonts w:hint="default"/>
                      <w:color w:val="auto"/>
                      <w:szCs w:val="21"/>
                      <w:highlight w:val="none"/>
                      <w:u w:val="single"/>
                    </w:rPr>
                    <w:t>00-03</w:t>
                  </w:r>
                  <w:r>
                    <w:rPr>
                      <w:rFonts w:hint="eastAsia"/>
                      <w:color w:val="auto"/>
                      <w:szCs w:val="21"/>
                      <w:highlight w:val="none"/>
                      <w:u w:val="single"/>
                    </w:rPr>
                    <w:t>:</w:t>
                  </w:r>
                  <w:r>
                    <w:rPr>
                      <w:rFonts w:hint="default"/>
                      <w:color w:val="auto"/>
                      <w:szCs w:val="21"/>
                      <w:highlight w:val="none"/>
                      <w:u w:val="single"/>
                    </w:rPr>
                    <w:t>00</w:t>
                  </w:r>
                </w:p>
              </w:tc>
              <w:tc>
                <w:tcPr>
                  <w:tcW w:w="3769" w:type="dxa"/>
                  <w:vMerge w:val="restart"/>
                  <w:noWrap w:val="0"/>
                  <w:vAlign w:val="center"/>
                </w:tcPr>
                <w:p w14:paraId="009AA18B">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6EA1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continue"/>
                  <w:noWrap w:val="0"/>
                  <w:vAlign w:val="center"/>
                </w:tcPr>
                <w:p w14:paraId="6706A61C">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2291" w:type="dxa"/>
                  <w:noWrap w:val="0"/>
                  <w:vAlign w:val="center"/>
                </w:tcPr>
                <w:p w14:paraId="737BD82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08</w:t>
                  </w:r>
                  <w:r>
                    <w:rPr>
                      <w:rFonts w:hint="eastAsia"/>
                      <w:color w:val="auto"/>
                      <w:szCs w:val="21"/>
                      <w:highlight w:val="none"/>
                      <w:u w:val="single"/>
                    </w:rPr>
                    <w:t>:</w:t>
                  </w:r>
                  <w:r>
                    <w:rPr>
                      <w:rFonts w:hint="default"/>
                      <w:color w:val="auto"/>
                      <w:szCs w:val="21"/>
                      <w:highlight w:val="none"/>
                      <w:u w:val="single"/>
                    </w:rPr>
                    <w:t>00-09:00</w:t>
                  </w:r>
                </w:p>
              </w:tc>
              <w:tc>
                <w:tcPr>
                  <w:tcW w:w="3769" w:type="dxa"/>
                  <w:vMerge w:val="continue"/>
                  <w:noWrap w:val="0"/>
                  <w:vAlign w:val="center"/>
                </w:tcPr>
                <w:p w14:paraId="1E45C5C0">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4F40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819" w:type="dxa"/>
                  <w:vMerge w:val="continue"/>
                  <w:noWrap w:val="0"/>
                  <w:vAlign w:val="center"/>
                </w:tcPr>
                <w:p w14:paraId="2F9B3D0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2291" w:type="dxa"/>
                  <w:noWrap w:val="0"/>
                  <w:vAlign w:val="center"/>
                </w:tcPr>
                <w:p w14:paraId="229B300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14</w:t>
                  </w:r>
                  <w:r>
                    <w:rPr>
                      <w:rFonts w:hint="eastAsia"/>
                      <w:color w:val="auto"/>
                      <w:szCs w:val="21"/>
                      <w:highlight w:val="none"/>
                      <w:u w:val="single"/>
                    </w:rPr>
                    <w:t>:</w:t>
                  </w:r>
                  <w:r>
                    <w:rPr>
                      <w:rFonts w:hint="default"/>
                      <w:color w:val="auto"/>
                      <w:szCs w:val="21"/>
                      <w:highlight w:val="none"/>
                      <w:u w:val="single"/>
                    </w:rPr>
                    <w:t>00-15:00</w:t>
                  </w:r>
                </w:p>
              </w:tc>
              <w:tc>
                <w:tcPr>
                  <w:tcW w:w="3769" w:type="dxa"/>
                  <w:vMerge w:val="continue"/>
                  <w:noWrap w:val="0"/>
                  <w:vAlign w:val="center"/>
                </w:tcPr>
                <w:p w14:paraId="67574A5D">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r w14:paraId="2034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819" w:type="dxa"/>
                  <w:vMerge w:val="continue"/>
                  <w:noWrap w:val="0"/>
                  <w:vAlign w:val="center"/>
                </w:tcPr>
                <w:p w14:paraId="4F88C039">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p>
              </w:tc>
              <w:tc>
                <w:tcPr>
                  <w:tcW w:w="2291" w:type="dxa"/>
                  <w:noWrap w:val="0"/>
                  <w:vAlign w:val="center"/>
                </w:tcPr>
                <w:p w14:paraId="791D6FF1">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u w:val="single"/>
                    </w:rPr>
                  </w:pPr>
                  <w:r>
                    <w:rPr>
                      <w:rFonts w:hint="default"/>
                      <w:color w:val="auto"/>
                      <w:szCs w:val="21"/>
                      <w:highlight w:val="none"/>
                      <w:u w:val="single"/>
                    </w:rPr>
                    <w:t>20</w:t>
                  </w:r>
                  <w:r>
                    <w:rPr>
                      <w:rFonts w:hint="eastAsia"/>
                      <w:color w:val="auto"/>
                      <w:szCs w:val="21"/>
                      <w:highlight w:val="none"/>
                      <w:u w:val="single"/>
                    </w:rPr>
                    <w:t>:</w:t>
                  </w:r>
                  <w:r>
                    <w:rPr>
                      <w:rFonts w:hint="default"/>
                      <w:color w:val="auto"/>
                      <w:szCs w:val="21"/>
                      <w:highlight w:val="none"/>
                      <w:u w:val="single"/>
                    </w:rPr>
                    <w:t>00</w:t>
                  </w:r>
                  <w:r>
                    <w:rPr>
                      <w:rFonts w:hint="eastAsia"/>
                      <w:color w:val="auto"/>
                      <w:szCs w:val="21"/>
                      <w:highlight w:val="none"/>
                      <w:u w:val="single"/>
                    </w:rPr>
                    <w:t>-21:00</w:t>
                  </w:r>
                </w:p>
              </w:tc>
              <w:tc>
                <w:tcPr>
                  <w:tcW w:w="3769" w:type="dxa"/>
                  <w:vMerge w:val="continue"/>
                  <w:noWrap w:val="0"/>
                  <w:vAlign w:val="center"/>
                </w:tcPr>
                <w:p w14:paraId="0DBB208E">
                  <w:pPr>
                    <w:keepNext w:val="0"/>
                    <w:keepLines w:val="0"/>
                    <w:suppressLineNumbers w:val="0"/>
                    <w:adjustRightInd w:val="0"/>
                    <w:snapToGrid w:val="0"/>
                    <w:spacing w:before="0" w:beforeAutospacing="0" w:after="0" w:afterAutospacing="0"/>
                    <w:ind w:left="0" w:right="0"/>
                    <w:jc w:val="center"/>
                    <w:rPr>
                      <w:rFonts w:hint="default"/>
                      <w:color w:val="auto"/>
                      <w:highlight w:val="none"/>
                      <w:u w:val="single"/>
                    </w:rPr>
                  </w:pPr>
                </w:p>
              </w:tc>
            </w:tr>
          </w:tbl>
          <w:p w14:paraId="4BBEB35F">
            <w:pPr>
              <w:pStyle w:val="66"/>
              <w:numPr>
                <w:ilvl w:val="4"/>
                <w:numId w:val="0"/>
              </w:numPr>
              <w:suppressLineNumbers w:val="0"/>
              <w:spacing w:before="0" w:beforeAutospacing="0" w:after="0" w:afterAutospacing="0"/>
              <w:ind w:left="2268" w:leftChars="0" w:right="0" w:rightChars="0" w:firstLine="632" w:firstLineChars="300"/>
              <w:jc w:val="both"/>
              <w:rPr>
                <w:rFonts w:hint="eastAsia" w:ascii="Times New Roman" w:hAnsi="Times New Roman" w:eastAsia="宋体" w:cs="Times New Roman"/>
                <w:caps w:val="0"/>
                <w:color w:val="auto"/>
                <w:u w:val="single"/>
                <w:lang w:eastAsia="zh-CN"/>
              </w:rPr>
            </w:pPr>
            <w:r>
              <w:rPr>
                <w:rFonts w:hint="eastAsia" w:ascii="Times New Roman" w:hAnsi="Times New Roman" w:eastAsia="宋体" w:cs="Times New Roman"/>
                <w:caps w:val="0"/>
                <w:color w:val="auto"/>
                <w:u w:val="single"/>
                <w:lang w:eastAsia="zh-CN"/>
              </w:rPr>
              <w:t>表3-</w:t>
            </w:r>
            <w:r>
              <w:rPr>
                <w:rFonts w:hint="eastAsia" w:ascii="Times New Roman" w:hAnsi="Times New Roman" w:eastAsia="宋体" w:cs="Times New Roman"/>
                <w:caps w:val="0"/>
                <w:color w:val="auto"/>
                <w:u w:val="single"/>
                <w:lang w:val="en-US" w:eastAsia="zh-CN"/>
              </w:rPr>
              <w:t>5</w:t>
            </w:r>
            <w:r>
              <w:rPr>
                <w:rFonts w:hint="eastAsia" w:ascii="Times New Roman" w:hAnsi="Times New Roman" w:eastAsia="宋体" w:cs="Times New Roman"/>
                <w:caps w:val="0"/>
                <w:color w:val="auto"/>
                <w:u w:val="single"/>
                <w:lang w:eastAsia="zh-CN"/>
              </w:rPr>
              <w:t>空气环境监测结果统计表</w:t>
            </w:r>
          </w:p>
          <w:tbl>
            <w:tblPr>
              <w:tblStyle w:val="22"/>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60"/>
              <w:gridCol w:w="653"/>
              <w:gridCol w:w="1097"/>
              <w:gridCol w:w="1522"/>
              <w:gridCol w:w="1201"/>
              <w:gridCol w:w="1331"/>
              <w:gridCol w:w="1119"/>
            </w:tblGrid>
            <w:tr w14:paraId="1A5A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460" w:type="dxa"/>
                  <w:noWrap w:val="0"/>
                  <w:vAlign w:val="center"/>
                </w:tcPr>
                <w:p w14:paraId="1DA16D8D">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污染物</w:t>
                  </w:r>
                </w:p>
              </w:tc>
              <w:tc>
                <w:tcPr>
                  <w:tcW w:w="653" w:type="dxa"/>
                  <w:noWrap w:val="0"/>
                  <w:vAlign w:val="center"/>
                </w:tcPr>
                <w:p w14:paraId="26021C7F">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平均</w:t>
                  </w:r>
                </w:p>
                <w:p w14:paraId="34545DA7">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时间</w:t>
                  </w:r>
                </w:p>
              </w:tc>
              <w:tc>
                <w:tcPr>
                  <w:tcW w:w="1097" w:type="dxa"/>
                  <w:noWrap w:val="0"/>
                  <w:vAlign w:val="center"/>
                </w:tcPr>
                <w:p w14:paraId="743008EC">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评价标准</w:t>
                  </w:r>
                </w:p>
                <w:p w14:paraId="4D0FD19F">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（mg/m</w:t>
                  </w:r>
                  <w:r>
                    <w:rPr>
                      <w:rFonts w:hint="eastAsia"/>
                      <w:b/>
                      <w:bCs/>
                      <w:color w:val="auto"/>
                      <w:szCs w:val="21"/>
                      <w:highlight w:val="none"/>
                      <w:u w:val="single"/>
                      <w:vertAlign w:val="superscript"/>
                    </w:rPr>
                    <w:t>3</w:t>
                  </w:r>
                  <w:r>
                    <w:rPr>
                      <w:rFonts w:hint="eastAsia"/>
                      <w:b/>
                      <w:bCs/>
                      <w:color w:val="auto"/>
                      <w:szCs w:val="21"/>
                      <w:highlight w:val="none"/>
                      <w:u w:val="single"/>
                    </w:rPr>
                    <w:t>）</w:t>
                  </w:r>
                </w:p>
              </w:tc>
              <w:tc>
                <w:tcPr>
                  <w:tcW w:w="1522" w:type="dxa"/>
                  <w:noWrap w:val="0"/>
                  <w:vAlign w:val="center"/>
                </w:tcPr>
                <w:p w14:paraId="15F4DE20">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监测浓度范围</w:t>
                  </w:r>
                </w:p>
                <w:p w14:paraId="2FB10C5F">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（mg/m</w:t>
                  </w:r>
                  <w:r>
                    <w:rPr>
                      <w:rFonts w:hint="eastAsia"/>
                      <w:b/>
                      <w:bCs/>
                      <w:color w:val="auto"/>
                      <w:szCs w:val="21"/>
                      <w:highlight w:val="none"/>
                      <w:u w:val="single"/>
                      <w:vertAlign w:val="superscript"/>
                    </w:rPr>
                    <w:t>3</w:t>
                  </w:r>
                  <w:r>
                    <w:rPr>
                      <w:rFonts w:hint="eastAsia"/>
                      <w:b/>
                      <w:bCs/>
                      <w:color w:val="auto"/>
                      <w:szCs w:val="21"/>
                      <w:highlight w:val="none"/>
                      <w:u w:val="single"/>
                    </w:rPr>
                    <w:t>）</w:t>
                  </w:r>
                </w:p>
              </w:tc>
              <w:tc>
                <w:tcPr>
                  <w:tcW w:w="1201" w:type="dxa"/>
                  <w:noWrap w:val="0"/>
                  <w:vAlign w:val="center"/>
                </w:tcPr>
                <w:p w14:paraId="1133A2F8">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最大浓度占标率%</w:t>
                  </w:r>
                </w:p>
              </w:tc>
              <w:tc>
                <w:tcPr>
                  <w:tcW w:w="1331" w:type="dxa"/>
                  <w:noWrap w:val="0"/>
                  <w:vAlign w:val="center"/>
                </w:tcPr>
                <w:p w14:paraId="37FB31E8">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超标率/%</w:t>
                  </w:r>
                </w:p>
              </w:tc>
              <w:tc>
                <w:tcPr>
                  <w:tcW w:w="1119" w:type="dxa"/>
                  <w:noWrap w:val="0"/>
                  <w:vAlign w:val="center"/>
                </w:tcPr>
                <w:p w14:paraId="1CB90627">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达标情况</w:t>
                  </w:r>
                </w:p>
              </w:tc>
            </w:tr>
            <w:tr w14:paraId="5A51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460" w:type="dxa"/>
                  <w:noWrap w:val="0"/>
                  <w:vAlign w:val="center"/>
                </w:tcPr>
                <w:p w14:paraId="7D7BF0FB">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u w:val="single"/>
                    </w:rPr>
                  </w:pPr>
                  <w:r>
                    <w:rPr>
                      <w:rFonts w:hint="eastAsia"/>
                      <w:color w:val="auto"/>
                      <w:szCs w:val="21"/>
                      <w:highlight w:val="none"/>
                      <w:u w:val="single"/>
                    </w:rPr>
                    <w:t>总悬浮颗粒物</w:t>
                  </w:r>
                </w:p>
              </w:tc>
              <w:tc>
                <w:tcPr>
                  <w:tcW w:w="653" w:type="dxa"/>
                  <w:noWrap w:val="0"/>
                  <w:vAlign w:val="center"/>
                </w:tcPr>
                <w:p w14:paraId="51A0EB56">
                  <w:pPr>
                    <w:keepNext w:val="0"/>
                    <w:keepLines w:val="0"/>
                    <w:suppressLineNumbers w:val="0"/>
                    <w:spacing w:before="0" w:beforeAutospacing="0" w:after="0" w:afterAutospacing="0"/>
                    <w:ind w:left="0" w:right="0"/>
                    <w:contextualSpacing/>
                    <w:jc w:val="center"/>
                    <w:textAlignment w:val="baseline"/>
                    <w:rPr>
                      <w:rFonts w:hint="eastAsia"/>
                      <w:color w:val="auto"/>
                      <w:szCs w:val="21"/>
                      <w:highlight w:val="none"/>
                      <w:u w:val="single"/>
                    </w:rPr>
                  </w:pPr>
                  <w:r>
                    <w:rPr>
                      <w:rFonts w:hint="eastAsia"/>
                      <w:color w:val="auto"/>
                      <w:szCs w:val="21"/>
                      <w:highlight w:val="none"/>
                      <w:u w:val="single"/>
                    </w:rPr>
                    <w:t>日均值</w:t>
                  </w:r>
                </w:p>
              </w:tc>
              <w:tc>
                <w:tcPr>
                  <w:tcW w:w="1097" w:type="dxa"/>
                  <w:noWrap w:val="0"/>
                  <w:vAlign w:val="center"/>
                </w:tcPr>
                <w:p w14:paraId="4EECE129">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u w:val="single"/>
                    </w:rPr>
                  </w:pPr>
                  <w:r>
                    <w:rPr>
                      <w:rFonts w:hint="eastAsia"/>
                      <w:color w:val="auto"/>
                      <w:szCs w:val="21"/>
                      <w:highlight w:val="none"/>
                      <w:u w:val="single"/>
                    </w:rPr>
                    <w:t>0.3</w:t>
                  </w:r>
                </w:p>
              </w:tc>
              <w:tc>
                <w:tcPr>
                  <w:tcW w:w="1522" w:type="dxa"/>
                  <w:noWrap w:val="0"/>
                  <w:vAlign w:val="center"/>
                </w:tcPr>
                <w:p w14:paraId="54B4B116">
                  <w:pPr>
                    <w:keepNext w:val="0"/>
                    <w:keepLines w:val="0"/>
                    <w:suppressLineNumbers w:val="0"/>
                    <w:spacing w:before="0" w:beforeAutospacing="0" w:after="0" w:afterAutospacing="0"/>
                    <w:ind w:left="0" w:right="0"/>
                    <w:contextualSpacing/>
                    <w:jc w:val="center"/>
                    <w:textAlignment w:val="baseline"/>
                    <w:rPr>
                      <w:rFonts w:hint="default"/>
                      <w:color w:val="auto"/>
                      <w:szCs w:val="21"/>
                      <w:highlight w:val="none"/>
                      <w:u w:val="single"/>
                    </w:rPr>
                  </w:pPr>
                </w:p>
              </w:tc>
              <w:tc>
                <w:tcPr>
                  <w:tcW w:w="1201" w:type="dxa"/>
                  <w:noWrap w:val="0"/>
                  <w:vAlign w:val="center"/>
                </w:tcPr>
                <w:p w14:paraId="12B1040A">
                  <w:pPr>
                    <w:keepNext w:val="0"/>
                    <w:keepLines w:val="0"/>
                    <w:suppressLineNumbers w:val="0"/>
                    <w:spacing w:before="0" w:beforeAutospacing="0" w:after="0" w:afterAutospacing="0"/>
                    <w:ind w:left="0" w:right="0"/>
                    <w:contextualSpacing/>
                    <w:jc w:val="center"/>
                    <w:textAlignment w:val="baseline"/>
                    <w:rPr>
                      <w:rFonts w:hint="default"/>
                      <w:b/>
                      <w:bCs/>
                      <w:color w:val="auto"/>
                      <w:szCs w:val="21"/>
                      <w:highlight w:val="none"/>
                      <w:u w:val="single"/>
                    </w:rPr>
                  </w:pPr>
                </w:p>
              </w:tc>
              <w:tc>
                <w:tcPr>
                  <w:tcW w:w="1331" w:type="dxa"/>
                  <w:noWrap w:val="0"/>
                  <w:vAlign w:val="center"/>
                </w:tcPr>
                <w:p w14:paraId="55B23366">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b/>
                      <w:bCs/>
                      <w:color w:val="auto"/>
                      <w:szCs w:val="21"/>
                      <w:highlight w:val="none"/>
                      <w:u w:val="single"/>
                    </w:rPr>
                    <w:t>/</w:t>
                  </w:r>
                </w:p>
              </w:tc>
              <w:tc>
                <w:tcPr>
                  <w:tcW w:w="1119" w:type="dxa"/>
                  <w:noWrap w:val="0"/>
                  <w:vAlign w:val="center"/>
                </w:tcPr>
                <w:p w14:paraId="4D3CBF07">
                  <w:pPr>
                    <w:keepNext w:val="0"/>
                    <w:keepLines w:val="0"/>
                    <w:suppressLineNumbers w:val="0"/>
                    <w:spacing w:before="0" w:beforeAutospacing="0" w:after="0" w:afterAutospacing="0"/>
                    <w:ind w:left="0" w:right="0"/>
                    <w:contextualSpacing/>
                    <w:jc w:val="center"/>
                    <w:textAlignment w:val="baseline"/>
                    <w:rPr>
                      <w:rFonts w:hint="eastAsia"/>
                      <w:b/>
                      <w:bCs/>
                      <w:color w:val="auto"/>
                      <w:szCs w:val="21"/>
                      <w:highlight w:val="none"/>
                      <w:u w:val="single"/>
                    </w:rPr>
                  </w:pPr>
                  <w:r>
                    <w:rPr>
                      <w:rFonts w:hint="eastAsia"/>
                      <w:color w:val="auto"/>
                      <w:szCs w:val="21"/>
                      <w:highlight w:val="none"/>
                      <w:u w:val="single"/>
                    </w:rPr>
                    <w:t>达标</w:t>
                  </w:r>
                </w:p>
              </w:tc>
            </w:tr>
          </w:tbl>
          <w:p w14:paraId="05C20EB6">
            <w:pPr>
              <w:pStyle w:val="10"/>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rPr>
                <w:rFonts w:hint="default"/>
                <w:color w:val="auto"/>
                <w:sz w:val="24"/>
                <w:highlight w:val="none"/>
                <w:u w:val="single"/>
              </w:rPr>
            </w:pPr>
            <w:r>
              <w:rPr>
                <w:rFonts w:hint="default"/>
                <w:color w:val="auto"/>
                <w:sz w:val="24"/>
                <w:highlight w:val="none"/>
                <w:u w:val="single"/>
              </w:rPr>
              <w:t>从上表可以看出，评价区域内总悬浮颗粒物浓度满足《环境空气质量标准》（GB3095-2012）中的标准限值。</w:t>
            </w:r>
          </w:p>
          <w:p w14:paraId="4A50FBDA">
            <w:pPr>
              <w:keepNext w:val="0"/>
              <w:keepLines w:val="0"/>
              <w:pageBreakBefore w:val="0"/>
              <w:kinsoku/>
              <w:wordWrap/>
              <w:overflowPunct/>
              <w:bidi w:val="0"/>
              <w:adjustRightInd w:val="0"/>
              <w:snapToGrid w:val="0"/>
              <w:spacing w:after="0" w:line="360" w:lineRule="auto"/>
              <w:ind w:firstLine="562" w:firstLineChars="200"/>
              <w:jc w:val="left"/>
              <w:textAlignment w:val="auto"/>
              <w:rPr>
                <w:b/>
                <w:color w:val="auto"/>
                <w:kern w:val="0"/>
                <w:sz w:val="28"/>
                <w:szCs w:val="28"/>
              </w:rPr>
            </w:pPr>
            <w:r>
              <w:rPr>
                <w:b/>
                <w:color w:val="auto"/>
                <w:kern w:val="0"/>
                <w:sz w:val="28"/>
                <w:szCs w:val="28"/>
              </w:rPr>
              <w:t>3.</w:t>
            </w:r>
            <w:r>
              <w:rPr>
                <w:rFonts w:hint="eastAsia"/>
                <w:b/>
                <w:color w:val="auto"/>
                <w:kern w:val="0"/>
                <w:sz w:val="28"/>
                <w:szCs w:val="28"/>
                <w:lang w:val="en-US" w:eastAsia="zh-CN"/>
              </w:rPr>
              <w:t>4</w:t>
            </w:r>
            <w:r>
              <w:rPr>
                <w:b/>
                <w:color w:val="auto"/>
                <w:kern w:val="0"/>
                <w:sz w:val="28"/>
                <w:szCs w:val="28"/>
              </w:rPr>
              <w:t>声环境质量现状</w:t>
            </w:r>
          </w:p>
          <w:p w14:paraId="32991105">
            <w:pPr>
              <w:pStyle w:val="2"/>
              <w:keepNext w:val="0"/>
              <w:keepLines w:val="0"/>
              <w:pageBreakBefore w:val="0"/>
              <w:kinsoku/>
              <w:wordWrap/>
              <w:overflowPunct/>
              <w:bidi w:val="0"/>
              <w:spacing w:after="0"/>
              <w:ind w:firstLine="504" w:firstLineChars="200"/>
              <w:textAlignment w:val="auto"/>
              <w:rPr>
                <w:rFonts w:ascii="Times New Roman" w:hAnsi="Times New Roman"/>
                <w:color w:val="auto"/>
                <w:sz w:val="24"/>
                <w:szCs w:val="24"/>
              </w:rPr>
            </w:pPr>
            <w:r>
              <w:rPr>
                <w:rFonts w:hint="eastAsia" w:ascii="Times New Roman" w:hAnsi="Times New Roman"/>
                <w:color w:val="auto"/>
                <w:sz w:val="24"/>
                <w:szCs w:val="24"/>
              </w:rPr>
              <w:t>本项目厂址位于</w:t>
            </w:r>
            <w:r>
              <w:rPr>
                <w:rFonts w:hint="eastAsia" w:ascii="Times New Roman" w:hAnsi="Times New Roman"/>
                <w:bCs/>
                <w:color w:val="auto"/>
                <w:sz w:val="24"/>
                <w:szCs w:val="24"/>
              </w:rPr>
              <w:t>广西钦州港经济技术开发区内的石化产业园</w:t>
            </w:r>
            <w:r>
              <w:rPr>
                <w:rFonts w:hint="eastAsia" w:ascii="Times New Roman" w:hAnsi="Times New Roman"/>
                <w:color w:val="auto"/>
                <w:sz w:val="24"/>
                <w:szCs w:val="24"/>
              </w:rPr>
              <w:t>内，根据《钦州市人民政府办公室关于印发钦州市中心城区声环境功能区划的通知》（钦政办规〔2023〕11号）：项目所在区域属于3类声环境功能区，执行《声环境质量标准》（GB3096-2008）3类标准（昼间：65dB(A)，夜间：55dB(A)）。</w:t>
            </w:r>
          </w:p>
          <w:p w14:paraId="424E069D">
            <w:pPr>
              <w:pStyle w:val="2"/>
              <w:keepNext w:val="0"/>
              <w:keepLines w:val="0"/>
              <w:pageBreakBefore w:val="0"/>
              <w:kinsoku/>
              <w:wordWrap/>
              <w:overflowPunct/>
              <w:bidi w:val="0"/>
              <w:spacing w:after="0"/>
              <w:ind w:firstLine="504" w:firstLineChars="200"/>
              <w:textAlignment w:val="auto"/>
              <w:rPr>
                <w:rFonts w:ascii="Times New Roman" w:hAnsi="Times New Roman"/>
                <w:color w:val="auto"/>
                <w:sz w:val="24"/>
                <w:szCs w:val="24"/>
              </w:rPr>
            </w:pPr>
            <w:r>
              <w:rPr>
                <w:rFonts w:hint="eastAsia" w:ascii="Times New Roman" w:hAnsi="Times New Roman"/>
                <w:color w:val="auto"/>
                <w:sz w:val="24"/>
                <w:szCs w:val="24"/>
              </w:rPr>
              <w:t>根据现场调查，厂界外周边50m范围内无声环境保护目标。根据环境影响评价网（生态环境部环境工程评估中心）关于《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因此，本评价不进行声环境质量现状监测。</w:t>
            </w:r>
          </w:p>
          <w:p w14:paraId="4FDEFA87">
            <w:pPr>
              <w:pStyle w:val="2"/>
              <w:keepNext w:val="0"/>
              <w:keepLines w:val="0"/>
              <w:pageBreakBefore w:val="0"/>
              <w:kinsoku/>
              <w:wordWrap/>
              <w:overflowPunct/>
              <w:bidi w:val="0"/>
              <w:spacing w:after="0"/>
              <w:ind w:firstLine="586" w:firstLineChars="200"/>
              <w:textAlignment w:val="auto"/>
              <w:rPr>
                <w:rFonts w:ascii="Times New Roman" w:hAnsi="Times New Roman"/>
                <w:b/>
                <w:color w:val="auto"/>
                <w:szCs w:val="24"/>
              </w:rPr>
            </w:pPr>
            <w:r>
              <w:rPr>
                <w:rFonts w:ascii="Times New Roman" w:hAnsi="Times New Roman"/>
                <w:b/>
                <w:color w:val="auto"/>
                <w:szCs w:val="24"/>
              </w:rPr>
              <w:t>3.</w:t>
            </w:r>
            <w:r>
              <w:rPr>
                <w:rFonts w:hint="eastAsia" w:ascii="Times New Roman" w:hAnsi="Times New Roman"/>
                <w:b/>
                <w:color w:val="auto"/>
                <w:szCs w:val="24"/>
                <w:lang w:val="en-US" w:eastAsia="zh-CN"/>
              </w:rPr>
              <w:t>5</w:t>
            </w:r>
            <w:r>
              <w:rPr>
                <w:rFonts w:hint="eastAsia" w:ascii="Times New Roman" w:hAnsi="Times New Roman"/>
                <w:b/>
                <w:color w:val="auto"/>
                <w:szCs w:val="24"/>
              </w:rPr>
              <w:t>地下水、土壤环境现状</w:t>
            </w:r>
          </w:p>
          <w:p w14:paraId="59D9D213">
            <w:pPr>
              <w:keepNext w:val="0"/>
              <w:keepLines w:val="0"/>
              <w:pageBreakBefore w:val="0"/>
              <w:kinsoku/>
              <w:wordWrap/>
              <w:overflowPunct/>
              <w:autoSpaceDE w:val="0"/>
              <w:autoSpaceDN w:val="0"/>
              <w:bidi w:val="0"/>
              <w:adjustRightInd w:val="0"/>
              <w:spacing w:after="0" w:line="360" w:lineRule="auto"/>
              <w:ind w:firstLine="504" w:firstLineChars="200"/>
              <w:jc w:val="left"/>
              <w:textAlignment w:val="auto"/>
              <w:rPr>
                <w:rFonts w:hint="eastAsia"/>
                <w:color w:val="auto"/>
                <w:spacing w:val="6"/>
                <w:kern w:val="0"/>
                <w:sz w:val="24"/>
              </w:rPr>
            </w:pPr>
            <w:r>
              <w:rPr>
                <w:rFonts w:hint="eastAsia"/>
                <w:color w:val="auto"/>
                <w:spacing w:val="6"/>
                <w:kern w:val="0"/>
                <w:sz w:val="24"/>
              </w:rPr>
              <w:t>本项目为管廊建设及管道建设项目，属于《环境影响评价技术导则 地下水》（HJ610-2016）附录A中IV类项目，根据要求IV类建设项目不开展地下水环境影响评价；项目属于《环境影响评价技术导则 土壤环境（试行）》附录A中IV类建设项目，根据要求IV类建设项目不开展土壤环境影响评价。</w:t>
            </w:r>
          </w:p>
          <w:p w14:paraId="4172E69B">
            <w:pPr>
              <w:keepNext w:val="0"/>
              <w:keepLines w:val="0"/>
              <w:pageBreakBefore w:val="0"/>
              <w:kinsoku/>
              <w:wordWrap/>
              <w:overflowPunct/>
              <w:autoSpaceDE w:val="0"/>
              <w:autoSpaceDN w:val="0"/>
              <w:bidi w:val="0"/>
              <w:adjustRightInd w:val="0"/>
              <w:spacing w:after="0" w:line="360" w:lineRule="auto"/>
              <w:ind w:firstLine="586" w:firstLineChars="200"/>
              <w:jc w:val="left"/>
              <w:textAlignment w:val="auto"/>
              <w:rPr>
                <w:b/>
                <w:color w:val="auto"/>
                <w:spacing w:val="6"/>
                <w:kern w:val="0"/>
                <w:sz w:val="28"/>
              </w:rPr>
            </w:pPr>
            <w:r>
              <w:rPr>
                <w:b/>
                <w:color w:val="auto"/>
                <w:spacing w:val="6"/>
                <w:kern w:val="0"/>
                <w:sz w:val="28"/>
              </w:rPr>
              <w:t>3.</w:t>
            </w:r>
            <w:r>
              <w:rPr>
                <w:rFonts w:hint="eastAsia"/>
                <w:b/>
                <w:color w:val="auto"/>
                <w:spacing w:val="6"/>
                <w:kern w:val="0"/>
                <w:sz w:val="28"/>
                <w:lang w:val="en-US" w:eastAsia="zh-CN"/>
              </w:rPr>
              <w:t>6</w:t>
            </w:r>
            <w:r>
              <w:rPr>
                <w:rFonts w:hint="eastAsia"/>
                <w:b/>
                <w:color w:val="auto"/>
                <w:spacing w:val="6"/>
                <w:kern w:val="0"/>
                <w:sz w:val="28"/>
              </w:rPr>
              <w:t>海水环境质量现状调查与评价</w:t>
            </w:r>
          </w:p>
          <w:p w14:paraId="2E6DEF5B">
            <w:pPr>
              <w:keepNext w:val="0"/>
              <w:keepLines w:val="0"/>
              <w:pageBreakBefore w:val="0"/>
              <w:kinsoku/>
              <w:wordWrap/>
              <w:overflowPunct/>
              <w:autoSpaceDE w:val="0"/>
              <w:autoSpaceDN w:val="0"/>
              <w:bidi w:val="0"/>
              <w:adjustRightInd w:val="0"/>
              <w:spacing w:after="0" w:line="360" w:lineRule="auto"/>
              <w:ind w:firstLine="504" w:firstLineChars="200"/>
              <w:jc w:val="left"/>
              <w:textAlignment w:val="auto"/>
              <w:rPr>
                <w:rFonts w:hint="eastAsia"/>
                <w:bCs/>
                <w:color w:val="auto"/>
                <w:spacing w:val="6"/>
                <w:kern w:val="0"/>
                <w:sz w:val="24"/>
                <w:lang w:val="en-US" w:eastAsia="zh-CN"/>
              </w:rPr>
            </w:pPr>
            <w:r>
              <w:rPr>
                <w:rFonts w:hint="eastAsia"/>
                <w:bCs/>
                <w:color w:val="auto"/>
                <w:spacing w:val="6"/>
                <w:kern w:val="0"/>
                <w:sz w:val="24"/>
              </w:rPr>
              <w:t>项目所在的金谷片区三面环水，西部、南部以钦州湾海域为界，东部以金鼓江为界。根据</w:t>
            </w:r>
            <w:bookmarkStart w:id="29" w:name="OLE_LINK25"/>
            <w:r>
              <w:rPr>
                <w:rFonts w:hint="eastAsia"/>
                <w:bCs/>
                <w:color w:val="auto"/>
                <w:spacing w:val="6"/>
                <w:kern w:val="0"/>
                <w:sz w:val="24"/>
              </w:rPr>
              <w:t>《2025年1月广西近岸海域自动监测水质状况》</w:t>
            </w:r>
            <w:bookmarkEnd w:id="29"/>
            <w:r>
              <w:rPr>
                <w:rFonts w:hint="eastAsia"/>
                <w:bCs/>
                <w:color w:val="auto"/>
                <w:spacing w:val="6"/>
                <w:kern w:val="0"/>
                <w:sz w:val="24"/>
              </w:rPr>
              <w:t>，</w:t>
            </w:r>
            <w:bookmarkStart w:id="30" w:name="OLE_LINK26"/>
            <w:r>
              <w:rPr>
                <w:rFonts w:hint="eastAsia"/>
                <w:bCs/>
                <w:color w:val="auto"/>
                <w:spacing w:val="6"/>
                <w:kern w:val="0"/>
                <w:sz w:val="24"/>
              </w:rPr>
              <w:t>202</w:t>
            </w:r>
            <w:r>
              <w:rPr>
                <w:rFonts w:hint="eastAsia"/>
                <w:bCs/>
                <w:color w:val="auto"/>
                <w:spacing w:val="6"/>
                <w:kern w:val="0"/>
                <w:sz w:val="24"/>
                <w:lang w:val="en-US" w:eastAsia="zh-CN"/>
              </w:rPr>
              <w:t>5</w:t>
            </w:r>
            <w:r>
              <w:rPr>
                <w:rFonts w:hint="eastAsia"/>
                <w:bCs/>
                <w:color w:val="auto"/>
                <w:spacing w:val="6"/>
                <w:kern w:val="0"/>
                <w:sz w:val="24"/>
              </w:rPr>
              <w:t>年1月广西近岸海域水质优良，第一、二类水质占比100%</w:t>
            </w:r>
            <w:r>
              <w:rPr>
                <w:rFonts w:hint="eastAsia"/>
                <w:bCs/>
                <w:color w:val="auto"/>
                <w:spacing w:val="6"/>
                <w:kern w:val="0"/>
                <w:sz w:val="24"/>
                <w:lang w:eastAsia="zh-CN"/>
              </w:rPr>
              <w:t>，水质优良天数比例为96.58%</w:t>
            </w:r>
            <w:r>
              <w:rPr>
                <w:rFonts w:hint="eastAsia"/>
                <w:bCs/>
                <w:color w:val="auto"/>
                <w:spacing w:val="6"/>
                <w:kern w:val="0"/>
                <w:sz w:val="24"/>
              </w:rPr>
              <w:t>。钦州港海域水质</w:t>
            </w:r>
            <w:r>
              <w:rPr>
                <w:rFonts w:hint="eastAsia"/>
                <w:bCs/>
                <w:color w:val="auto"/>
                <w:spacing w:val="6"/>
                <w:kern w:val="0"/>
                <w:sz w:val="24"/>
                <w:lang w:val="en-US" w:eastAsia="zh-CN"/>
              </w:rPr>
              <w:t>为第二类。</w:t>
            </w:r>
            <w:bookmarkEnd w:id="30"/>
          </w:p>
          <w:p w14:paraId="1D0EFB29">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color w:val="auto"/>
                <w:sz w:val="24"/>
                <w:u w:val="single"/>
                <w:lang w:val="en-US" w:eastAsia="zh-CN"/>
              </w:rPr>
            </w:pPr>
          </w:p>
          <w:p w14:paraId="5FAA2734">
            <w:pPr>
              <w:pStyle w:val="10"/>
              <w:rPr>
                <w:rFonts w:hint="default"/>
                <w:color w:val="auto"/>
                <w:lang w:val="en-US" w:eastAsia="zh-CN"/>
              </w:rPr>
            </w:pPr>
          </w:p>
          <w:p w14:paraId="0F6353B1">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default"/>
                <w:color w:val="auto"/>
                <w:sz w:val="24"/>
                <w:u w:val="single"/>
                <w:lang w:val="en-US" w:eastAsia="zh-CN"/>
              </w:rPr>
            </w:pPr>
          </w:p>
          <w:p w14:paraId="75676112">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default"/>
                <w:color w:val="auto"/>
                <w:sz w:val="24"/>
                <w:u w:val="single"/>
                <w:lang w:val="en-US" w:eastAsia="zh-CN"/>
              </w:rPr>
            </w:pPr>
          </w:p>
          <w:p w14:paraId="5F412319">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default"/>
                <w:color w:val="auto"/>
                <w:sz w:val="24"/>
                <w:u w:val="single"/>
                <w:lang w:val="en-US" w:eastAsia="zh-CN"/>
              </w:rPr>
            </w:pPr>
          </w:p>
          <w:p w14:paraId="34943862">
            <w:pPr>
              <w:keepNext w:val="0"/>
              <w:keepLines w:val="0"/>
              <w:pageBreakBefore w:val="0"/>
              <w:kinsoku/>
              <w:wordWrap/>
              <w:overflowPunct/>
              <w:autoSpaceDE w:val="0"/>
              <w:autoSpaceDN w:val="0"/>
              <w:bidi w:val="0"/>
              <w:adjustRightInd w:val="0"/>
              <w:spacing w:after="0" w:line="360" w:lineRule="auto"/>
              <w:ind w:firstLine="586" w:firstLineChars="200"/>
              <w:jc w:val="left"/>
              <w:textAlignment w:val="auto"/>
              <w:rPr>
                <w:rFonts w:hint="default" w:eastAsia="宋体"/>
                <w:b/>
                <w:color w:val="auto"/>
                <w:spacing w:val="6"/>
                <w:kern w:val="0"/>
                <w:sz w:val="28"/>
                <w:lang w:val="en-US" w:eastAsia="zh-CN"/>
              </w:rPr>
            </w:pPr>
          </w:p>
        </w:tc>
      </w:tr>
      <w:tr w14:paraId="0425C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83" w:type="dxa"/>
            <w:vAlign w:val="center"/>
          </w:tcPr>
          <w:p w14:paraId="584D3F94">
            <w:pPr>
              <w:adjustRightInd w:val="0"/>
              <w:snapToGrid w:val="0"/>
              <w:jc w:val="center"/>
              <w:rPr>
                <w:color w:val="auto"/>
                <w:kern w:val="0"/>
                <w:sz w:val="24"/>
                <w:szCs w:val="21"/>
              </w:rPr>
            </w:pPr>
            <w:r>
              <w:rPr>
                <w:color w:val="auto"/>
                <w:kern w:val="0"/>
                <w:sz w:val="24"/>
                <w:szCs w:val="21"/>
              </w:rPr>
              <w:t>与项目有关的原有环境污染和生态破坏问题</w:t>
            </w:r>
          </w:p>
        </w:tc>
        <w:tc>
          <w:tcPr>
            <w:tcW w:w="8604" w:type="dxa"/>
            <w:vAlign w:val="center"/>
          </w:tcPr>
          <w:p w14:paraId="4E6E70B6">
            <w:pPr>
              <w:adjustRightInd w:val="0"/>
              <w:snapToGrid w:val="0"/>
              <w:spacing w:line="360" w:lineRule="auto"/>
              <w:ind w:firstLine="504" w:firstLineChars="200"/>
              <w:rPr>
                <w:rFonts w:hint="eastAsia"/>
                <w:bCs/>
                <w:color w:val="auto"/>
                <w:spacing w:val="6"/>
                <w:kern w:val="0"/>
                <w:sz w:val="24"/>
                <w:lang w:val="en-US" w:eastAsia="zh-CN"/>
              </w:rPr>
            </w:pPr>
            <w:r>
              <w:rPr>
                <w:rFonts w:hint="eastAsia"/>
                <w:bCs/>
                <w:color w:val="auto"/>
                <w:spacing w:val="6"/>
                <w:kern w:val="0"/>
                <w:sz w:val="24"/>
                <w:lang w:val="en-US" w:eastAsia="zh-CN"/>
              </w:rPr>
              <w:t>本项目为迁建工程。</w:t>
            </w:r>
            <w:r>
              <w:rPr>
                <w:rFonts w:hint="eastAsia"/>
                <w:bCs/>
                <w:color w:val="auto"/>
                <w:spacing w:val="6"/>
                <w:kern w:val="0"/>
                <w:sz w:val="24"/>
              </w:rPr>
              <w:t>现有管廊属于广西钦州泰兴石油化工有限公司工业白油及溶剂油项目的附属配套工程，该项目已取得环评批复并通过环保竣工验收。项目已取得的环评批复为《钦州市环境保护局关于广西钦州泰兴石油化工有限公司工业白油及溶剂油项目环境影响报告书的批复》（钦市环管字〔2009〕260号）、《钦州市环境保护局关于广西钦州泰兴石油化工有限公司工业白油及溶剂油配套工程项目环境影响报告书的批复》（钦港环管字〔2013〕1号），并取得环保验收意见《钦州市环境保护局关于广西钦州泰兴石油化工有限公司工业白油及溶剂油（一期）项目竣工环境保护验收意见》（钦港环验字〔2015〕7号）</w:t>
            </w:r>
            <w:r>
              <w:rPr>
                <w:rFonts w:hint="eastAsia"/>
                <w:bCs/>
                <w:color w:val="auto"/>
                <w:spacing w:val="6"/>
                <w:kern w:val="0"/>
                <w:sz w:val="24"/>
                <w:lang w:eastAsia="zh-CN"/>
              </w:rPr>
              <w:t>，</w:t>
            </w:r>
            <w:r>
              <w:rPr>
                <w:rFonts w:hint="eastAsia"/>
                <w:bCs/>
                <w:color w:val="auto"/>
                <w:spacing w:val="6"/>
                <w:kern w:val="0"/>
                <w:sz w:val="24"/>
                <w:lang w:val="en-US" w:eastAsia="zh-CN"/>
              </w:rPr>
              <w:t>企业已办理排污许可证（排污许可证号：914507006877923061001P）。</w:t>
            </w:r>
          </w:p>
          <w:p w14:paraId="483249FD">
            <w:pPr>
              <w:adjustRightInd w:val="0"/>
              <w:snapToGrid w:val="0"/>
              <w:spacing w:line="360" w:lineRule="auto"/>
              <w:ind w:firstLine="504" w:firstLineChars="200"/>
              <w:rPr>
                <w:color w:val="auto"/>
                <w:sz w:val="28"/>
                <w:szCs w:val="28"/>
              </w:rPr>
            </w:pPr>
            <w:r>
              <w:rPr>
                <w:rFonts w:hint="eastAsia"/>
                <w:bCs/>
                <w:color w:val="auto"/>
                <w:spacing w:val="6"/>
                <w:kern w:val="0"/>
                <w:sz w:val="24"/>
                <w:lang w:val="en-US" w:eastAsia="zh-CN"/>
              </w:rPr>
              <w:t>经现场踏勘调查，未发现现有项目存在环境污染和生态破坏问题</w:t>
            </w:r>
            <w:r>
              <w:rPr>
                <w:rFonts w:hint="eastAsia"/>
                <w:bCs/>
                <w:color w:val="auto"/>
                <w:spacing w:val="6"/>
                <w:kern w:val="0"/>
                <w:sz w:val="24"/>
              </w:rPr>
              <w:t>。</w:t>
            </w:r>
          </w:p>
        </w:tc>
      </w:tr>
      <w:tr w14:paraId="5C7D7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27" w:hRule="atLeast"/>
          <w:jc w:val="center"/>
        </w:trPr>
        <w:tc>
          <w:tcPr>
            <w:tcW w:w="683" w:type="dxa"/>
            <w:vAlign w:val="center"/>
          </w:tcPr>
          <w:p w14:paraId="04835FDF">
            <w:pPr>
              <w:adjustRightInd w:val="0"/>
              <w:snapToGrid w:val="0"/>
              <w:jc w:val="center"/>
              <w:rPr>
                <w:color w:val="auto"/>
                <w:kern w:val="0"/>
                <w:szCs w:val="21"/>
              </w:rPr>
            </w:pPr>
            <w:r>
              <w:rPr>
                <w:b/>
                <w:color w:val="auto"/>
                <w:kern w:val="0"/>
                <w:sz w:val="24"/>
                <w:szCs w:val="21"/>
              </w:rPr>
              <w:t>生态环境保护目标</w:t>
            </w:r>
          </w:p>
        </w:tc>
        <w:tc>
          <w:tcPr>
            <w:tcW w:w="8604" w:type="dxa"/>
            <w:vAlign w:val="center"/>
          </w:tcPr>
          <w:p w14:paraId="53CCF114">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b/>
                <w:color w:val="auto"/>
                <w:sz w:val="28"/>
                <w:szCs w:val="28"/>
              </w:rPr>
            </w:pPr>
            <w:r>
              <w:rPr>
                <w:b/>
                <w:color w:val="auto"/>
                <w:sz w:val="28"/>
                <w:szCs w:val="28"/>
              </w:rPr>
              <w:t>3.</w:t>
            </w:r>
            <w:r>
              <w:rPr>
                <w:rFonts w:hint="eastAsia"/>
                <w:b/>
                <w:color w:val="auto"/>
                <w:sz w:val="28"/>
                <w:szCs w:val="28"/>
                <w:lang w:val="en-US" w:eastAsia="zh-CN"/>
              </w:rPr>
              <w:t>7</w:t>
            </w:r>
            <w:r>
              <w:rPr>
                <w:b/>
                <w:color w:val="auto"/>
                <w:sz w:val="28"/>
                <w:szCs w:val="28"/>
              </w:rPr>
              <w:t>环境保护目标</w:t>
            </w:r>
          </w:p>
          <w:p w14:paraId="07A2DDB6">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（1）大气环境保护目标</w:t>
            </w:r>
          </w:p>
          <w:p w14:paraId="67AD6668">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本项目对环境空气的影响主要存在于施工期，废气主要是运输扬尘、施工机械尾气、焊接烟气、切割废气等，其排放分散、源强小，影响范围小，而且是暂时性的，施工结束后可恢复至原有水平；工程施工区域周边区域环境空气敏感点少，影响有限。根据《环境影响评价技术导则 大气环境》（HJ2.2-2018）的评价分级原则，本次环评工作大气环境评价等级为三级，根据《环境影响评价技术导则 大气环境》（HJ2.2-2018），三级评价项目不需设置大气环境影响评价范围。</w:t>
            </w:r>
          </w:p>
          <w:p w14:paraId="22FCD524">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（2）声环境保护目标</w:t>
            </w:r>
          </w:p>
          <w:p w14:paraId="370FE6FE">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default"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项目位于广西钦州石化产业园，管道沿线周边</w:t>
            </w:r>
            <w:r>
              <w:rPr>
                <w:rFonts w:hint="eastAsia" w:cs="Times New Roman"/>
                <w:color w:val="auto"/>
                <w:sz w:val="24"/>
                <w:u w:val="single"/>
                <w:lang w:val="en-US" w:eastAsia="zh-CN"/>
              </w:rPr>
              <w:t>20</w:t>
            </w:r>
            <w:r>
              <w:rPr>
                <w:rFonts w:hint="eastAsia" w:ascii="Times New Roman" w:hAnsi="Times New Roman" w:eastAsia="宋体" w:cs="Times New Roman"/>
                <w:color w:val="auto"/>
                <w:sz w:val="24"/>
                <w:u w:val="single"/>
                <w:lang w:val="en-US" w:eastAsia="zh-CN"/>
              </w:rPr>
              <w:t>0m范围内无声环境保护目标。</w:t>
            </w:r>
          </w:p>
          <w:p w14:paraId="3EF7D41A">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（3）地下水环境保护目标</w:t>
            </w:r>
          </w:p>
          <w:p w14:paraId="148AF0BF">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项目所在水文地质单元内无地下水集中式饮用水水源和热水、矿泉水、温泉等特殊地下水资源。</w:t>
            </w:r>
          </w:p>
          <w:p w14:paraId="2715B92F">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（4）地表水环境保护目标</w:t>
            </w:r>
          </w:p>
          <w:p w14:paraId="3CD2FD22">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default"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根据现场调查，工程范围内不涉及取水口及饮用水水源保护区，本项目区雨水通过雨水支管、雨水干管汇总后排入金鼓江海区。</w:t>
            </w:r>
          </w:p>
          <w:p w14:paraId="395F24C9">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（5）生态环境保护目标</w:t>
            </w:r>
          </w:p>
          <w:p w14:paraId="562E91BB">
            <w:pPr>
              <w:keepNext w:val="0"/>
              <w:keepLines w:val="0"/>
              <w:pageBreakBefore w:val="0"/>
              <w:kinsoku/>
              <w:wordWrap/>
              <w:overflowPunct/>
              <w:autoSpaceDE w:val="0"/>
              <w:autoSpaceDN w:val="0"/>
              <w:bidi w:val="0"/>
              <w:adjustRightInd w:val="0"/>
              <w:spacing w:after="0" w:line="360" w:lineRule="auto"/>
              <w:ind w:firstLine="480" w:firstLineChars="200"/>
              <w:jc w:val="left"/>
              <w:textAlignment w:val="auto"/>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根据《建设项目环境影响报告表编制技术指南》（生态影响型）中要求：“生态环境保护目标应按照环境影响评价相关技术导则要求确定评价范围并识别环境保护目标”。根据《环境影响评价技术导则 生态环境》（HJ 19-2022），线性工程穿越非生态敏感区时，以线路中心线向外两侧外延300m为参考评价范围</w:t>
            </w:r>
            <w:r>
              <w:rPr>
                <w:rFonts w:hint="eastAsia" w:ascii="Times New Roman" w:hAnsi="Times New Roman" w:eastAsia="宋体" w:cs="Times New Roman"/>
                <w:color w:val="auto"/>
                <w:sz w:val="24"/>
                <w:u w:val="single"/>
                <w:lang w:val="en-GB" w:eastAsia="zh-CN"/>
              </w:rPr>
              <w:t>。据实地调查，项目所在地及评价范围内，无野生动物栖息地，无名胜古迹，本项目评价范围内生态保护目标</w:t>
            </w:r>
            <w:r>
              <w:rPr>
                <w:rFonts w:hint="eastAsia" w:ascii="Times New Roman" w:hAnsi="Times New Roman" w:eastAsia="宋体" w:cs="Times New Roman"/>
                <w:color w:val="auto"/>
                <w:sz w:val="24"/>
                <w:u w:val="single"/>
                <w:lang w:val="en-US" w:eastAsia="zh-CN"/>
              </w:rPr>
              <w:t>主要为沿线分布的动植物。</w:t>
            </w:r>
          </w:p>
          <w:p w14:paraId="1B4E1231">
            <w:pPr>
              <w:pStyle w:val="2"/>
              <w:rPr>
                <w:rFonts w:hint="eastAsia" w:ascii="Times New Roman" w:hAnsi="Times New Roman" w:eastAsia="宋体" w:cs="Times New Roman"/>
                <w:color w:val="auto"/>
                <w:sz w:val="24"/>
                <w:u w:val="single"/>
                <w:lang w:val="en-US" w:eastAsia="zh-CN"/>
              </w:rPr>
            </w:pPr>
          </w:p>
          <w:p w14:paraId="7958D007">
            <w:pPr>
              <w:rPr>
                <w:rFonts w:hint="eastAsia" w:ascii="Times New Roman" w:hAnsi="Times New Roman" w:eastAsia="宋体" w:cs="Times New Roman"/>
                <w:color w:val="auto"/>
                <w:sz w:val="24"/>
                <w:u w:val="single"/>
                <w:lang w:val="en-US" w:eastAsia="zh-CN"/>
              </w:rPr>
            </w:pPr>
          </w:p>
          <w:p w14:paraId="45CA7A6E">
            <w:pPr>
              <w:pStyle w:val="66"/>
              <w:numPr>
                <w:ilvl w:val="4"/>
                <w:numId w:val="0"/>
              </w:numPr>
              <w:suppressLineNumbers w:val="0"/>
              <w:spacing w:before="0" w:beforeAutospacing="0" w:after="0" w:afterAutospacing="0"/>
              <w:ind w:left="2268" w:leftChars="0" w:right="0" w:rightChars="0" w:firstLine="632" w:firstLineChars="300"/>
              <w:jc w:val="both"/>
              <w:rPr>
                <w:rFonts w:hint="eastAsia" w:ascii="Times New Roman" w:hAnsi="Times New Roman" w:eastAsia="宋体" w:cs="Times New Roman"/>
                <w:caps w:val="0"/>
                <w:color w:val="auto"/>
                <w:u w:val="single"/>
                <w:lang w:eastAsia="zh-CN"/>
              </w:rPr>
            </w:pPr>
          </w:p>
          <w:p w14:paraId="49A15F3F">
            <w:pPr>
              <w:pStyle w:val="66"/>
              <w:numPr>
                <w:ilvl w:val="4"/>
                <w:numId w:val="0"/>
              </w:numPr>
              <w:suppressLineNumbers w:val="0"/>
              <w:spacing w:before="0" w:beforeAutospacing="0" w:after="0" w:afterAutospacing="0"/>
              <w:ind w:left="2268" w:leftChars="0" w:right="0" w:rightChars="0" w:firstLine="632" w:firstLineChars="300"/>
              <w:jc w:val="both"/>
              <w:rPr>
                <w:rFonts w:hint="eastAsia" w:ascii="Times New Roman" w:hAnsi="Times New Roman" w:eastAsia="宋体" w:cs="Times New Roman"/>
                <w:caps w:val="0"/>
                <w:color w:val="auto"/>
                <w:u w:val="single"/>
                <w:lang w:eastAsia="zh-CN"/>
              </w:rPr>
            </w:pPr>
          </w:p>
          <w:p w14:paraId="6110F4AB">
            <w:pPr>
              <w:pStyle w:val="66"/>
              <w:numPr>
                <w:ilvl w:val="4"/>
                <w:numId w:val="0"/>
              </w:numPr>
              <w:suppressLineNumbers w:val="0"/>
              <w:spacing w:before="0" w:beforeAutospacing="0" w:after="0" w:afterAutospacing="0"/>
              <w:ind w:left="2268" w:leftChars="0" w:right="0" w:rightChars="0" w:firstLine="632" w:firstLineChars="300"/>
              <w:jc w:val="both"/>
              <w:rPr>
                <w:rFonts w:hint="default" w:ascii="Times New Roman" w:hAnsi="Times New Roman" w:eastAsia="宋体" w:cs="Times New Roman"/>
                <w:caps w:val="0"/>
                <w:color w:val="auto"/>
                <w:u w:val="single"/>
                <w:lang w:val="en-US" w:eastAsia="zh-CN"/>
              </w:rPr>
            </w:pPr>
            <w:r>
              <w:rPr>
                <w:rFonts w:hint="eastAsia" w:ascii="Times New Roman" w:hAnsi="Times New Roman" w:eastAsia="宋体" w:cs="Times New Roman"/>
                <w:caps w:val="0"/>
                <w:color w:val="auto"/>
                <w:u w:val="single"/>
                <w:lang w:eastAsia="zh-CN"/>
              </w:rPr>
              <w:t>表3-</w:t>
            </w:r>
            <w:r>
              <w:rPr>
                <w:rFonts w:hint="eastAsia" w:ascii="Times New Roman" w:hAnsi="Times New Roman" w:eastAsia="宋体" w:cs="Times New Roman"/>
                <w:caps w:val="0"/>
                <w:color w:val="auto"/>
                <w:u w:val="single"/>
                <w:lang w:val="en-US" w:eastAsia="zh-CN"/>
              </w:rPr>
              <w:t>6项目评价范围内的各要素主要敏感目标表</w:t>
            </w:r>
          </w:p>
          <w:tbl>
            <w:tblPr>
              <w:tblStyle w:val="22"/>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517"/>
              <w:gridCol w:w="1475"/>
              <w:gridCol w:w="836"/>
              <w:gridCol w:w="936"/>
              <w:gridCol w:w="938"/>
              <w:gridCol w:w="836"/>
              <w:gridCol w:w="914"/>
              <w:gridCol w:w="1300"/>
            </w:tblGrid>
            <w:tr w14:paraId="28F2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blHeader/>
                <w:jc w:val="center"/>
              </w:trPr>
              <w:tc>
                <w:tcPr>
                  <w:tcW w:w="626" w:type="dxa"/>
                  <w:vMerge w:val="restart"/>
                  <w:noWrap w:val="0"/>
                  <w:vAlign w:val="center"/>
                </w:tcPr>
                <w:p w14:paraId="2C697F09">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r>
                    <w:rPr>
                      <w:b/>
                      <w:bCs/>
                      <w:color w:val="auto"/>
                      <w:u w:val="single"/>
                    </w:rPr>
                    <w:t>环境要素</w:t>
                  </w:r>
                </w:p>
              </w:tc>
              <w:tc>
                <w:tcPr>
                  <w:tcW w:w="517" w:type="dxa"/>
                  <w:vMerge w:val="restart"/>
                  <w:noWrap w:val="0"/>
                  <w:vAlign w:val="center"/>
                </w:tcPr>
                <w:p w14:paraId="371DD494">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r>
                    <w:rPr>
                      <w:b/>
                      <w:bCs/>
                      <w:color w:val="auto"/>
                      <w:u w:val="single"/>
                    </w:rPr>
                    <w:t>序号</w:t>
                  </w:r>
                </w:p>
              </w:tc>
              <w:tc>
                <w:tcPr>
                  <w:tcW w:w="1475" w:type="dxa"/>
                  <w:vMerge w:val="restart"/>
                  <w:noWrap w:val="0"/>
                  <w:vAlign w:val="center"/>
                </w:tcPr>
                <w:p w14:paraId="5C8E038B">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r>
                    <w:rPr>
                      <w:b/>
                      <w:bCs/>
                      <w:color w:val="auto"/>
                      <w:u w:val="single"/>
                    </w:rPr>
                    <w:t>村庄名称</w:t>
                  </w:r>
                </w:p>
              </w:tc>
              <w:tc>
                <w:tcPr>
                  <w:tcW w:w="1772" w:type="dxa"/>
                  <w:gridSpan w:val="2"/>
                  <w:noWrap w:val="0"/>
                  <w:vAlign w:val="center"/>
                </w:tcPr>
                <w:p w14:paraId="105F9B21">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lang w:eastAsia="zh-CN"/>
                    </w:rPr>
                  </w:pPr>
                  <w:r>
                    <w:rPr>
                      <w:b/>
                      <w:bCs/>
                      <w:color w:val="auto"/>
                      <w:u w:val="single"/>
                      <w:lang w:eastAsia="zh-CN"/>
                    </w:rPr>
                    <w:t>与项目相对距离、方位</w:t>
                  </w:r>
                </w:p>
              </w:tc>
              <w:tc>
                <w:tcPr>
                  <w:tcW w:w="938" w:type="dxa"/>
                  <w:vMerge w:val="restart"/>
                  <w:noWrap w:val="0"/>
                  <w:vAlign w:val="center"/>
                </w:tcPr>
                <w:p w14:paraId="043B9947">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r>
                    <w:rPr>
                      <w:b/>
                      <w:bCs/>
                      <w:color w:val="auto"/>
                      <w:u w:val="single"/>
                    </w:rPr>
                    <w:t>环境敏感区类型</w:t>
                  </w:r>
                </w:p>
              </w:tc>
              <w:tc>
                <w:tcPr>
                  <w:tcW w:w="836" w:type="dxa"/>
                  <w:vMerge w:val="restart"/>
                  <w:noWrap w:val="0"/>
                  <w:vAlign w:val="center"/>
                </w:tcPr>
                <w:p w14:paraId="55EB46C1">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r>
                    <w:rPr>
                      <w:b/>
                      <w:bCs/>
                      <w:color w:val="auto"/>
                      <w:u w:val="single"/>
                    </w:rPr>
                    <w:t>人口（人）</w:t>
                  </w:r>
                </w:p>
              </w:tc>
              <w:tc>
                <w:tcPr>
                  <w:tcW w:w="914" w:type="dxa"/>
                  <w:vMerge w:val="restart"/>
                  <w:noWrap w:val="0"/>
                  <w:vAlign w:val="center"/>
                </w:tcPr>
                <w:p w14:paraId="29E50B3D">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r>
                    <w:rPr>
                      <w:b/>
                      <w:bCs/>
                      <w:color w:val="auto"/>
                      <w:u w:val="single"/>
                    </w:rPr>
                    <w:t>饮用水情况</w:t>
                  </w:r>
                </w:p>
              </w:tc>
              <w:tc>
                <w:tcPr>
                  <w:tcW w:w="1300" w:type="dxa"/>
                  <w:vMerge w:val="restart"/>
                  <w:noWrap w:val="0"/>
                  <w:vAlign w:val="center"/>
                </w:tcPr>
                <w:p w14:paraId="723F0A3D">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r>
                    <w:rPr>
                      <w:b/>
                      <w:bCs/>
                      <w:color w:val="auto"/>
                      <w:u w:val="single"/>
                    </w:rPr>
                    <w:t>环境功能区划</w:t>
                  </w:r>
                </w:p>
              </w:tc>
            </w:tr>
            <w:tr w14:paraId="1BA9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26" w:type="dxa"/>
                  <w:vMerge w:val="continue"/>
                  <w:noWrap w:val="0"/>
                  <w:vAlign w:val="center"/>
                </w:tcPr>
                <w:p w14:paraId="7C5F1C89">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p>
              </w:tc>
              <w:tc>
                <w:tcPr>
                  <w:tcW w:w="517" w:type="dxa"/>
                  <w:vMerge w:val="continue"/>
                  <w:noWrap w:val="0"/>
                  <w:vAlign w:val="center"/>
                </w:tcPr>
                <w:p w14:paraId="6AAF1BCB">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p>
              </w:tc>
              <w:tc>
                <w:tcPr>
                  <w:tcW w:w="1475" w:type="dxa"/>
                  <w:vMerge w:val="continue"/>
                  <w:noWrap w:val="0"/>
                  <w:vAlign w:val="center"/>
                </w:tcPr>
                <w:p w14:paraId="2911B8FD">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p>
              </w:tc>
              <w:tc>
                <w:tcPr>
                  <w:tcW w:w="836" w:type="dxa"/>
                  <w:noWrap w:val="0"/>
                  <w:vAlign w:val="center"/>
                </w:tcPr>
                <w:p w14:paraId="0680EFDB">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r>
                    <w:rPr>
                      <w:b/>
                      <w:bCs/>
                      <w:color w:val="auto"/>
                      <w:u w:val="single"/>
                    </w:rPr>
                    <w:t>方位</w:t>
                  </w:r>
                </w:p>
              </w:tc>
              <w:tc>
                <w:tcPr>
                  <w:tcW w:w="936" w:type="dxa"/>
                  <w:noWrap w:val="0"/>
                  <w:vAlign w:val="center"/>
                </w:tcPr>
                <w:p w14:paraId="18D67433">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r>
                    <w:rPr>
                      <w:b/>
                      <w:bCs/>
                      <w:color w:val="auto"/>
                      <w:u w:val="single"/>
                    </w:rPr>
                    <w:t>距离（m）</w:t>
                  </w:r>
                </w:p>
              </w:tc>
              <w:tc>
                <w:tcPr>
                  <w:tcW w:w="938" w:type="dxa"/>
                  <w:vMerge w:val="continue"/>
                  <w:noWrap w:val="0"/>
                  <w:vAlign w:val="center"/>
                </w:tcPr>
                <w:p w14:paraId="37426817">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p>
              </w:tc>
              <w:tc>
                <w:tcPr>
                  <w:tcW w:w="836" w:type="dxa"/>
                  <w:vMerge w:val="continue"/>
                  <w:noWrap w:val="0"/>
                  <w:vAlign w:val="center"/>
                </w:tcPr>
                <w:p w14:paraId="6F69FFE1">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p>
              </w:tc>
              <w:tc>
                <w:tcPr>
                  <w:tcW w:w="914" w:type="dxa"/>
                  <w:vMerge w:val="continue"/>
                  <w:noWrap w:val="0"/>
                  <w:vAlign w:val="center"/>
                </w:tcPr>
                <w:p w14:paraId="507AFB70">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p>
              </w:tc>
              <w:tc>
                <w:tcPr>
                  <w:tcW w:w="1300" w:type="dxa"/>
                  <w:vMerge w:val="continue"/>
                  <w:noWrap w:val="0"/>
                  <w:vAlign w:val="center"/>
                </w:tcPr>
                <w:p w14:paraId="1C8AE09F">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b/>
                      <w:bCs/>
                      <w:color w:val="auto"/>
                      <w:u w:val="single"/>
                    </w:rPr>
                  </w:pPr>
                </w:p>
              </w:tc>
            </w:tr>
            <w:tr w14:paraId="4995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6" w:type="dxa"/>
                  <w:noWrap w:val="0"/>
                  <w:vAlign w:val="center"/>
                </w:tcPr>
                <w:p w14:paraId="290E9A29">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color w:val="auto"/>
                      <w:u w:val="single"/>
                    </w:rPr>
                  </w:pPr>
                  <w:r>
                    <w:rPr>
                      <w:color w:val="auto"/>
                      <w:u w:val="single"/>
                    </w:rPr>
                    <w:t>海水环境</w:t>
                  </w:r>
                </w:p>
              </w:tc>
              <w:tc>
                <w:tcPr>
                  <w:tcW w:w="517" w:type="dxa"/>
                  <w:noWrap w:val="0"/>
                  <w:vAlign w:val="center"/>
                </w:tcPr>
                <w:p w14:paraId="7F548B66">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color w:val="auto"/>
                      <w:u w:val="single"/>
                    </w:rPr>
                  </w:pPr>
                  <w:r>
                    <w:rPr>
                      <w:color w:val="auto"/>
                      <w:u w:val="single"/>
                    </w:rPr>
                    <w:t>1</w:t>
                  </w:r>
                </w:p>
              </w:tc>
              <w:tc>
                <w:tcPr>
                  <w:tcW w:w="7235" w:type="dxa"/>
                  <w:gridSpan w:val="7"/>
                  <w:noWrap w:val="0"/>
                  <w:vAlign w:val="center"/>
                </w:tcPr>
                <w:p w14:paraId="40B633A9">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color w:val="auto"/>
                      <w:u w:val="single"/>
                      <w:lang w:eastAsia="zh-CN"/>
                    </w:rPr>
                  </w:pPr>
                  <w:r>
                    <w:rPr>
                      <w:color w:val="auto"/>
                      <w:u w:val="single"/>
                      <w:lang w:eastAsia="zh-CN"/>
                    </w:rPr>
                    <w:t>纳污水海域：</w:t>
                  </w:r>
                  <w:bookmarkStart w:id="31" w:name="OLE_LINK28"/>
                  <w:r>
                    <w:rPr>
                      <w:color w:val="auto"/>
                      <w:u w:val="single"/>
                      <w:lang w:eastAsia="zh-CN"/>
                    </w:rPr>
                    <w:t>钦州港金鼓江排污混合区</w:t>
                  </w:r>
                  <w:bookmarkEnd w:id="31"/>
                  <w:r>
                    <w:rPr>
                      <w:color w:val="auto"/>
                      <w:u w:val="single"/>
                      <w:lang w:eastAsia="zh-CN"/>
                    </w:rPr>
                    <w:t>，确保水质满足四类域功能区。</w:t>
                  </w:r>
                </w:p>
              </w:tc>
            </w:tr>
            <w:tr w14:paraId="0A55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6" w:type="dxa"/>
                  <w:noWrap w:val="0"/>
                  <w:vAlign w:val="center"/>
                </w:tcPr>
                <w:p w14:paraId="476E8F51">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color w:val="auto"/>
                      <w:u w:val="single"/>
                    </w:rPr>
                  </w:pPr>
                  <w:r>
                    <w:rPr>
                      <w:color w:val="auto"/>
                      <w:u w:val="single"/>
                    </w:rPr>
                    <w:t>地下水环境</w:t>
                  </w:r>
                </w:p>
              </w:tc>
              <w:tc>
                <w:tcPr>
                  <w:tcW w:w="517" w:type="dxa"/>
                  <w:noWrap w:val="0"/>
                  <w:vAlign w:val="center"/>
                </w:tcPr>
                <w:p w14:paraId="7C92C48C">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color w:val="auto"/>
                      <w:u w:val="single"/>
                    </w:rPr>
                  </w:pPr>
                  <w:r>
                    <w:rPr>
                      <w:color w:val="auto"/>
                      <w:u w:val="single"/>
                    </w:rPr>
                    <w:t>1</w:t>
                  </w:r>
                </w:p>
              </w:tc>
              <w:tc>
                <w:tcPr>
                  <w:tcW w:w="7235" w:type="dxa"/>
                  <w:gridSpan w:val="7"/>
                  <w:noWrap w:val="0"/>
                  <w:vAlign w:val="center"/>
                </w:tcPr>
                <w:p w14:paraId="044823AB">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color w:val="auto"/>
                      <w:u w:val="single"/>
                      <w:lang w:eastAsia="zh-CN"/>
                    </w:rPr>
                  </w:pPr>
                  <w:r>
                    <w:rPr>
                      <w:color w:val="auto"/>
                      <w:u w:val="single"/>
                      <w:lang w:eastAsia="zh-CN"/>
                    </w:rPr>
                    <w:t>地下水流向下游均未存在敏感点，保护区域具有开发潜力的主要含水层（碎屑岩类构造裂隙水），地下水质量执行《地下水质量标准》（GB/T14848-2017）Ⅲ类标准</w:t>
                  </w:r>
                </w:p>
              </w:tc>
            </w:tr>
            <w:tr w14:paraId="1D57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6" w:type="dxa"/>
                  <w:noWrap w:val="0"/>
                  <w:vAlign w:val="center"/>
                </w:tcPr>
                <w:p w14:paraId="63B428AA">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color w:val="auto"/>
                      <w:u w:val="single"/>
                    </w:rPr>
                  </w:pPr>
                  <w:r>
                    <w:rPr>
                      <w:color w:val="auto"/>
                      <w:u w:val="single"/>
                    </w:rPr>
                    <w:t>生态环境</w:t>
                  </w:r>
                </w:p>
              </w:tc>
              <w:tc>
                <w:tcPr>
                  <w:tcW w:w="517" w:type="dxa"/>
                  <w:noWrap w:val="0"/>
                  <w:vAlign w:val="center"/>
                </w:tcPr>
                <w:p w14:paraId="55F4DF34">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color w:val="auto"/>
                      <w:u w:val="single"/>
                    </w:rPr>
                  </w:pPr>
                  <w:r>
                    <w:rPr>
                      <w:color w:val="auto"/>
                      <w:u w:val="single"/>
                    </w:rPr>
                    <w:t>1</w:t>
                  </w:r>
                </w:p>
              </w:tc>
              <w:tc>
                <w:tcPr>
                  <w:tcW w:w="7235" w:type="dxa"/>
                  <w:gridSpan w:val="7"/>
                  <w:noWrap w:val="0"/>
                  <w:vAlign w:val="center"/>
                </w:tcPr>
                <w:p w14:paraId="3C163120">
                  <w:pPr>
                    <w:pStyle w:val="50"/>
                    <w:keepNext w:val="0"/>
                    <w:keepLines w:val="0"/>
                    <w:pageBreakBefore w:val="0"/>
                    <w:widowControl w:val="0"/>
                    <w:kinsoku/>
                    <w:wordWrap/>
                    <w:overflowPunct/>
                    <w:topLinePunct w:val="0"/>
                    <w:autoSpaceDE/>
                    <w:autoSpaceDN/>
                    <w:bidi w:val="0"/>
                    <w:adjustRightInd w:val="0"/>
                    <w:snapToGrid w:val="0"/>
                    <w:spacing w:after="0" w:line="279" w:lineRule="auto"/>
                    <w:jc w:val="center"/>
                    <w:textAlignment w:val="auto"/>
                    <w:rPr>
                      <w:rFonts w:hint="eastAsia" w:eastAsia="宋体"/>
                      <w:color w:val="auto"/>
                      <w:u w:val="single"/>
                      <w:lang w:eastAsia="zh-CN"/>
                    </w:rPr>
                  </w:pPr>
                  <w:r>
                    <w:rPr>
                      <w:rFonts w:hint="eastAsia"/>
                      <w:color w:val="auto"/>
                      <w:u w:val="single"/>
                    </w:rPr>
                    <w:t>沿线分布的动植物</w:t>
                  </w:r>
                  <w:r>
                    <w:rPr>
                      <w:rFonts w:hint="eastAsia"/>
                      <w:color w:val="auto"/>
                      <w:u w:val="single"/>
                      <w:lang w:eastAsia="zh-CN"/>
                    </w:rPr>
                    <w:t>。</w:t>
                  </w:r>
                </w:p>
              </w:tc>
            </w:tr>
          </w:tbl>
          <w:p w14:paraId="0107561D">
            <w:pPr>
              <w:pStyle w:val="10"/>
              <w:rPr>
                <w:rFonts w:hint="eastAsia" w:ascii="Times New Roman" w:hAnsi="Times New Roman" w:eastAsia="宋体" w:cs="Times New Roman"/>
                <w:color w:val="auto"/>
                <w:sz w:val="24"/>
                <w:u w:val="single"/>
                <w:lang w:val="en-US" w:eastAsia="zh-CN"/>
              </w:rPr>
            </w:pPr>
          </w:p>
          <w:p w14:paraId="4F5E163B">
            <w:pPr>
              <w:rPr>
                <w:rFonts w:hint="eastAsia"/>
                <w:color w:val="auto"/>
                <w:lang w:val="en-US" w:eastAsia="zh-CN"/>
              </w:rPr>
            </w:pPr>
          </w:p>
          <w:p w14:paraId="4635D734">
            <w:pPr>
              <w:keepNext w:val="0"/>
              <w:keepLines w:val="0"/>
              <w:pageBreakBefore w:val="0"/>
              <w:widowControl w:val="0"/>
              <w:kinsoku/>
              <w:wordWrap/>
              <w:overflowPunct/>
              <w:topLinePunct w:val="0"/>
              <w:autoSpaceDE w:val="0"/>
              <w:autoSpaceDN w:val="0"/>
              <w:bidi w:val="0"/>
              <w:adjustRightInd w:val="0"/>
              <w:spacing w:after="0" w:line="360" w:lineRule="auto"/>
              <w:ind w:firstLine="504" w:firstLineChars="200"/>
              <w:jc w:val="left"/>
              <w:textAlignment w:val="auto"/>
              <w:rPr>
                <w:color w:val="auto"/>
                <w:spacing w:val="6"/>
                <w:kern w:val="0"/>
                <w:sz w:val="24"/>
                <w:highlight w:val="yellow"/>
              </w:rPr>
            </w:pPr>
          </w:p>
          <w:p w14:paraId="48CAE435">
            <w:pPr>
              <w:keepNext w:val="0"/>
              <w:keepLines w:val="0"/>
              <w:pageBreakBefore w:val="0"/>
              <w:widowControl w:val="0"/>
              <w:kinsoku/>
              <w:wordWrap/>
              <w:overflowPunct/>
              <w:topLinePunct w:val="0"/>
              <w:bidi w:val="0"/>
              <w:adjustRightInd w:val="0"/>
              <w:spacing w:after="0" w:line="360" w:lineRule="auto"/>
              <w:textAlignment w:val="auto"/>
              <w:rPr>
                <w:color w:val="auto"/>
              </w:rPr>
            </w:pPr>
          </w:p>
        </w:tc>
      </w:tr>
      <w:tr w14:paraId="624DF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683" w:type="dxa"/>
            <w:tcMar>
              <w:left w:w="28" w:type="dxa"/>
              <w:right w:w="28" w:type="dxa"/>
            </w:tcMar>
            <w:vAlign w:val="center"/>
          </w:tcPr>
          <w:p w14:paraId="52A78F96">
            <w:pPr>
              <w:adjustRightInd w:val="0"/>
              <w:snapToGrid w:val="0"/>
              <w:jc w:val="center"/>
              <w:rPr>
                <w:color w:val="auto"/>
                <w:kern w:val="0"/>
                <w:szCs w:val="21"/>
              </w:rPr>
            </w:pPr>
            <w:r>
              <w:rPr>
                <w:b/>
                <w:color w:val="auto"/>
                <w:kern w:val="0"/>
                <w:sz w:val="24"/>
                <w:szCs w:val="21"/>
              </w:rPr>
              <w:t>评价标准</w:t>
            </w:r>
          </w:p>
        </w:tc>
        <w:tc>
          <w:tcPr>
            <w:tcW w:w="8604" w:type="dxa"/>
            <w:vAlign w:val="center"/>
          </w:tcPr>
          <w:p w14:paraId="528041C0">
            <w:pPr>
              <w:keepNext w:val="0"/>
              <w:keepLines w:val="0"/>
              <w:pageBreakBefore w:val="0"/>
              <w:kinsoku/>
              <w:wordWrap/>
              <w:overflowPunct/>
              <w:autoSpaceDE/>
              <w:autoSpaceDN/>
              <w:bidi w:val="0"/>
              <w:adjustRightInd w:val="0"/>
              <w:snapToGrid w:val="0"/>
              <w:spacing w:after="0" w:line="360" w:lineRule="auto"/>
              <w:ind w:firstLine="562" w:firstLineChars="200"/>
              <w:textAlignment w:val="auto"/>
              <w:rPr>
                <w:b/>
                <w:color w:val="auto"/>
                <w:sz w:val="28"/>
                <w:szCs w:val="28"/>
              </w:rPr>
            </w:pPr>
            <w:r>
              <w:rPr>
                <w:b/>
                <w:color w:val="auto"/>
                <w:sz w:val="28"/>
                <w:szCs w:val="28"/>
              </w:rPr>
              <w:t>3.</w:t>
            </w:r>
            <w:r>
              <w:rPr>
                <w:rFonts w:hint="eastAsia"/>
                <w:b/>
                <w:color w:val="auto"/>
                <w:sz w:val="28"/>
                <w:szCs w:val="28"/>
                <w:lang w:val="en-US" w:eastAsia="zh-CN"/>
              </w:rPr>
              <w:t>8</w:t>
            </w:r>
            <w:r>
              <w:rPr>
                <w:b/>
                <w:color w:val="auto"/>
                <w:sz w:val="28"/>
                <w:szCs w:val="28"/>
              </w:rPr>
              <w:t>环境质量标准</w:t>
            </w:r>
          </w:p>
          <w:p w14:paraId="7AA5462E">
            <w:pPr>
              <w:pStyle w:val="2"/>
              <w:keepNext w:val="0"/>
              <w:keepLines w:val="0"/>
              <w:pageBreakBefore w:val="0"/>
              <w:kinsoku/>
              <w:wordWrap/>
              <w:overflowPunct/>
              <w:autoSpaceDE/>
              <w:autoSpaceDN/>
              <w:bidi w:val="0"/>
              <w:spacing w:after="0"/>
              <w:ind w:firstLine="504" w:firstLineChars="200"/>
              <w:textAlignment w:val="auto"/>
              <w:rPr>
                <w:color w:val="auto"/>
                <w:sz w:val="24"/>
                <w:szCs w:val="24"/>
              </w:rPr>
            </w:pPr>
            <w:r>
              <w:rPr>
                <w:rFonts w:hint="eastAsia"/>
                <w:color w:val="auto"/>
                <w:sz w:val="24"/>
                <w:szCs w:val="24"/>
              </w:rPr>
              <w:t>本项目环境质</w:t>
            </w:r>
            <w:r>
              <w:rPr>
                <w:rFonts w:ascii="Times New Roman" w:hAnsi="Times New Roman"/>
                <w:color w:val="auto"/>
                <w:sz w:val="24"/>
                <w:szCs w:val="24"/>
              </w:rPr>
              <w:t>量标准详见表3-</w:t>
            </w:r>
            <w:r>
              <w:rPr>
                <w:rFonts w:hint="eastAsia" w:ascii="Times New Roman" w:hAnsi="Times New Roman"/>
                <w:color w:val="auto"/>
                <w:sz w:val="24"/>
                <w:szCs w:val="24"/>
              </w:rPr>
              <w:t>4</w:t>
            </w:r>
            <w:r>
              <w:rPr>
                <w:rFonts w:ascii="Times New Roman" w:hAnsi="Times New Roman"/>
                <w:color w:val="auto"/>
                <w:sz w:val="24"/>
                <w:szCs w:val="24"/>
              </w:rPr>
              <w:t>。</w:t>
            </w:r>
          </w:p>
          <w:p w14:paraId="07B288E3">
            <w:pPr>
              <w:keepNext w:val="0"/>
              <w:keepLines w:val="0"/>
              <w:pageBreakBefore w:val="0"/>
              <w:kinsoku/>
              <w:wordWrap/>
              <w:overflowPunct/>
              <w:autoSpaceDE/>
              <w:autoSpaceDN/>
              <w:bidi w:val="0"/>
              <w:spacing w:after="0" w:line="360" w:lineRule="auto"/>
              <w:jc w:val="center"/>
              <w:textAlignment w:val="auto"/>
              <w:rPr>
                <w:b/>
                <w:color w:val="auto"/>
              </w:rPr>
            </w:pPr>
            <w:r>
              <w:rPr>
                <w:b/>
                <w:color w:val="auto"/>
              </w:rPr>
              <w:t>表3-</w:t>
            </w:r>
            <w:r>
              <w:rPr>
                <w:rFonts w:hint="eastAsia"/>
                <w:b/>
                <w:color w:val="auto"/>
              </w:rPr>
              <w:t>4</w:t>
            </w:r>
            <w:r>
              <w:rPr>
                <w:b/>
                <w:color w:val="auto"/>
              </w:rPr>
              <w:t>项目环境质量标准一览表</w:t>
            </w:r>
          </w:p>
          <w:tbl>
            <w:tblPr>
              <w:tblStyle w:val="61"/>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1"/>
              <w:gridCol w:w="1520"/>
              <w:gridCol w:w="2084"/>
              <w:gridCol w:w="881"/>
              <w:gridCol w:w="3162"/>
            </w:tblGrid>
            <w:tr w14:paraId="57F7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Align w:val="center"/>
                </w:tcPr>
                <w:p w14:paraId="5AE77307">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b/>
                      <w:color w:val="auto"/>
                      <w:szCs w:val="21"/>
                      <w:lang w:eastAsia="en-US"/>
                    </w:rPr>
                  </w:pPr>
                  <w:r>
                    <w:rPr>
                      <w:rFonts w:hint="default" w:ascii="Times New Roman" w:hAnsi="Times New Roman" w:cs="Times New Roman" w:eastAsiaTheme="minorEastAsia"/>
                      <w:b/>
                      <w:color w:val="auto"/>
                      <w:szCs w:val="21"/>
                      <w:lang w:eastAsia="en-US"/>
                    </w:rPr>
                    <w:t>项目</w:t>
                  </w:r>
                </w:p>
              </w:tc>
              <w:tc>
                <w:tcPr>
                  <w:tcW w:w="1520" w:type="dxa"/>
                  <w:vAlign w:val="center"/>
                </w:tcPr>
                <w:p w14:paraId="2720BA5D">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b/>
                      <w:color w:val="auto"/>
                      <w:szCs w:val="21"/>
                      <w:lang w:eastAsia="en-US"/>
                    </w:rPr>
                  </w:pPr>
                  <w:r>
                    <w:rPr>
                      <w:rFonts w:hint="default" w:ascii="Times New Roman" w:hAnsi="Times New Roman" w:cs="Times New Roman" w:eastAsiaTheme="minorEastAsia"/>
                      <w:b/>
                      <w:color w:val="auto"/>
                      <w:szCs w:val="21"/>
                      <w:lang w:eastAsia="en-US"/>
                    </w:rPr>
                    <w:t>污染物名称</w:t>
                  </w:r>
                </w:p>
              </w:tc>
              <w:tc>
                <w:tcPr>
                  <w:tcW w:w="2084" w:type="dxa"/>
                  <w:vAlign w:val="center"/>
                </w:tcPr>
                <w:p w14:paraId="1AE66D7B">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b/>
                      <w:color w:val="auto"/>
                      <w:szCs w:val="21"/>
                      <w:lang w:eastAsia="en-US"/>
                    </w:rPr>
                  </w:pPr>
                  <w:r>
                    <w:rPr>
                      <w:rFonts w:hint="default" w:ascii="Times New Roman" w:hAnsi="Times New Roman" w:cs="Times New Roman" w:eastAsiaTheme="minorEastAsia"/>
                      <w:b/>
                      <w:color w:val="auto"/>
                      <w:szCs w:val="21"/>
                      <w:lang w:eastAsia="en-US"/>
                    </w:rPr>
                    <w:t>标准值</w:t>
                  </w:r>
                </w:p>
              </w:tc>
              <w:tc>
                <w:tcPr>
                  <w:tcW w:w="881" w:type="dxa"/>
                  <w:vAlign w:val="center"/>
                </w:tcPr>
                <w:p w14:paraId="6F0CFA91">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b/>
                      <w:color w:val="auto"/>
                      <w:szCs w:val="21"/>
                      <w:lang w:eastAsia="en-US"/>
                    </w:rPr>
                  </w:pPr>
                  <w:r>
                    <w:rPr>
                      <w:rFonts w:hint="default" w:ascii="Times New Roman" w:hAnsi="Times New Roman" w:cs="Times New Roman" w:eastAsiaTheme="minorEastAsia"/>
                      <w:b/>
                      <w:color w:val="auto"/>
                      <w:szCs w:val="21"/>
                      <w:lang w:eastAsia="en-US"/>
                    </w:rPr>
                    <w:t>单位</w:t>
                  </w:r>
                </w:p>
              </w:tc>
              <w:tc>
                <w:tcPr>
                  <w:tcW w:w="3162" w:type="dxa"/>
                  <w:vAlign w:val="center"/>
                </w:tcPr>
                <w:p w14:paraId="4102C705">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b/>
                      <w:color w:val="auto"/>
                      <w:szCs w:val="21"/>
                      <w:lang w:eastAsia="en-US"/>
                    </w:rPr>
                  </w:pPr>
                  <w:r>
                    <w:rPr>
                      <w:rFonts w:hint="default" w:ascii="Times New Roman" w:hAnsi="Times New Roman" w:cs="Times New Roman" w:eastAsiaTheme="minorEastAsia"/>
                      <w:b/>
                      <w:color w:val="auto"/>
                      <w:szCs w:val="21"/>
                      <w:lang w:eastAsia="en-US"/>
                    </w:rPr>
                    <w:t>标准来源</w:t>
                  </w:r>
                </w:p>
              </w:tc>
            </w:tr>
            <w:tr w14:paraId="2191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restart"/>
                  <w:vAlign w:val="center"/>
                </w:tcPr>
                <w:p w14:paraId="30F0867E">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环境空气</w:t>
                  </w:r>
                </w:p>
              </w:tc>
              <w:tc>
                <w:tcPr>
                  <w:tcW w:w="1520" w:type="dxa"/>
                  <w:vMerge w:val="restart"/>
                  <w:vAlign w:val="center"/>
                </w:tcPr>
                <w:p w14:paraId="6C81E9B4">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SO</w:t>
                  </w:r>
                  <w:r>
                    <w:rPr>
                      <w:rFonts w:hint="default" w:ascii="Times New Roman" w:hAnsi="Times New Roman" w:cs="Times New Roman" w:eastAsiaTheme="minorEastAsia"/>
                      <w:color w:val="auto"/>
                      <w:szCs w:val="21"/>
                      <w:vertAlign w:val="subscript"/>
                      <w:lang w:eastAsia="en-US"/>
                    </w:rPr>
                    <w:t>2</w:t>
                  </w:r>
                </w:p>
              </w:tc>
              <w:tc>
                <w:tcPr>
                  <w:tcW w:w="2084" w:type="dxa"/>
                  <w:vAlign w:val="center"/>
                </w:tcPr>
                <w:p w14:paraId="25C2FB17">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年均值200</w:t>
                  </w:r>
                </w:p>
              </w:tc>
              <w:tc>
                <w:tcPr>
                  <w:tcW w:w="881" w:type="dxa"/>
                  <w:vMerge w:val="restart"/>
                  <w:vAlign w:val="center"/>
                </w:tcPr>
                <w:p w14:paraId="40B39A17">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µg/m</w:t>
                  </w:r>
                  <w:r>
                    <w:rPr>
                      <w:rFonts w:hint="default" w:ascii="Times New Roman" w:hAnsi="Times New Roman" w:cs="Times New Roman" w:eastAsiaTheme="minorEastAsia"/>
                      <w:color w:val="auto"/>
                      <w:szCs w:val="21"/>
                      <w:vertAlign w:val="superscript"/>
                      <w:lang w:eastAsia="en-US"/>
                    </w:rPr>
                    <w:t>3</w:t>
                  </w:r>
                </w:p>
              </w:tc>
              <w:tc>
                <w:tcPr>
                  <w:tcW w:w="3162" w:type="dxa"/>
                  <w:vMerge w:val="restart"/>
                  <w:vAlign w:val="center"/>
                </w:tcPr>
                <w:p w14:paraId="4A9B3069">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《环境空气质量标准》（GB3095-2012）二级标准</w:t>
                  </w:r>
                </w:p>
              </w:tc>
            </w:tr>
            <w:tr w14:paraId="2E7D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476717AE">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continue"/>
                  <w:vAlign w:val="center"/>
                </w:tcPr>
                <w:p w14:paraId="7A1C0C0A">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2084" w:type="dxa"/>
                  <w:vAlign w:val="center"/>
                </w:tcPr>
                <w:p w14:paraId="29D2516A">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日平均150</w:t>
                  </w:r>
                </w:p>
              </w:tc>
              <w:tc>
                <w:tcPr>
                  <w:tcW w:w="881" w:type="dxa"/>
                  <w:vMerge w:val="continue"/>
                  <w:vAlign w:val="center"/>
                </w:tcPr>
                <w:p w14:paraId="52D8BD95">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0401BD4E">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3069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5EF62FCC">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continue"/>
                  <w:vAlign w:val="center"/>
                </w:tcPr>
                <w:p w14:paraId="4B9ED8B2">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2084" w:type="dxa"/>
                  <w:vAlign w:val="center"/>
                </w:tcPr>
                <w:p w14:paraId="1F792359">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1小时平均500</w:t>
                  </w:r>
                </w:p>
              </w:tc>
              <w:tc>
                <w:tcPr>
                  <w:tcW w:w="881" w:type="dxa"/>
                  <w:vMerge w:val="continue"/>
                  <w:vAlign w:val="center"/>
                </w:tcPr>
                <w:p w14:paraId="779088ED">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18D84659">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5D47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638ADF7B">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restart"/>
                  <w:vAlign w:val="center"/>
                </w:tcPr>
                <w:p w14:paraId="26C3E02E">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PM</w:t>
                  </w:r>
                  <w:r>
                    <w:rPr>
                      <w:rFonts w:hint="default" w:ascii="Times New Roman" w:hAnsi="Times New Roman" w:cs="Times New Roman" w:eastAsiaTheme="minorEastAsia"/>
                      <w:color w:val="auto"/>
                      <w:szCs w:val="21"/>
                      <w:vertAlign w:val="subscript"/>
                      <w:lang w:eastAsia="en-US"/>
                    </w:rPr>
                    <w:t>10</w:t>
                  </w:r>
                </w:p>
              </w:tc>
              <w:tc>
                <w:tcPr>
                  <w:tcW w:w="2084" w:type="dxa"/>
                  <w:vAlign w:val="center"/>
                </w:tcPr>
                <w:p w14:paraId="400DE8CE">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年均值70</w:t>
                  </w:r>
                </w:p>
              </w:tc>
              <w:tc>
                <w:tcPr>
                  <w:tcW w:w="881" w:type="dxa"/>
                  <w:vMerge w:val="continue"/>
                  <w:vAlign w:val="center"/>
                </w:tcPr>
                <w:p w14:paraId="3959510A">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4B25DEAD">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72F5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567B2E1A">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continue"/>
                  <w:vAlign w:val="center"/>
                </w:tcPr>
                <w:p w14:paraId="1C8612D7">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2084" w:type="dxa"/>
                  <w:vAlign w:val="center"/>
                </w:tcPr>
                <w:p w14:paraId="0C67D5E7">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日平均150</w:t>
                  </w:r>
                </w:p>
              </w:tc>
              <w:tc>
                <w:tcPr>
                  <w:tcW w:w="881" w:type="dxa"/>
                  <w:vMerge w:val="continue"/>
                  <w:vAlign w:val="center"/>
                </w:tcPr>
                <w:p w14:paraId="69B73EF6">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2CD98634">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327C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0F09CDF8">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restart"/>
                  <w:vAlign w:val="center"/>
                </w:tcPr>
                <w:p w14:paraId="21439E3C">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NO</w:t>
                  </w:r>
                  <w:r>
                    <w:rPr>
                      <w:rFonts w:hint="default" w:ascii="Times New Roman" w:hAnsi="Times New Roman" w:cs="Times New Roman" w:eastAsiaTheme="minorEastAsia"/>
                      <w:color w:val="auto"/>
                      <w:szCs w:val="21"/>
                      <w:vertAlign w:val="subscript"/>
                      <w:lang w:eastAsia="en-US"/>
                    </w:rPr>
                    <w:t>2</w:t>
                  </w:r>
                </w:p>
              </w:tc>
              <w:tc>
                <w:tcPr>
                  <w:tcW w:w="2084" w:type="dxa"/>
                  <w:vAlign w:val="center"/>
                </w:tcPr>
                <w:p w14:paraId="5755FF5F">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年均值40</w:t>
                  </w:r>
                </w:p>
              </w:tc>
              <w:tc>
                <w:tcPr>
                  <w:tcW w:w="881" w:type="dxa"/>
                  <w:vMerge w:val="continue"/>
                  <w:vAlign w:val="center"/>
                </w:tcPr>
                <w:p w14:paraId="60D9C3D0">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5B8F1E77">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06D0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15A40BF6">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continue"/>
                  <w:vAlign w:val="center"/>
                </w:tcPr>
                <w:p w14:paraId="07C6FC87">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2084" w:type="dxa"/>
                  <w:vAlign w:val="center"/>
                </w:tcPr>
                <w:p w14:paraId="6F3937C8">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日均80</w:t>
                  </w:r>
                </w:p>
              </w:tc>
              <w:tc>
                <w:tcPr>
                  <w:tcW w:w="881" w:type="dxa"/>
                  <w:vMerge w:val="continue"/>
                  <w:vAlign w:val="center"/>
                </w:tcPr>
                <w:p w14:paraId="02519060">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0608C420">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103A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563FAEE8">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continue"/>
                  <w:vAlign w:val="center"/>
                </w:tcPr>
                <w:p w14:paraId="2A8F9ABD">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2084" w:type="dxa"/>
                  <w:vAlign w:val="center"/>
                </w:tcPr>
                <w:p w14:paraId="7FC86DBB">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1小时平均200</w:t>
                  </w:r>
                </w:p>
              </w:tc>
              <w:tc>
                <w:tcPr>
                  <w:tcW w:w="881" w:type="dxa"/>
                  <w:vMerge w:val="continue"/>
                  <w:vAlign w:val="center"/>
                </w:tcPr>
                <w:p w14:paraId="10A7FB1B">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51ABE4A3">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1863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5374B894">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restart"/>
                  <w:vAlign w:val="center"/>
                </w:tcPr>
                <w:p w14:paraId="081D80BB">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PM</w:t>
                  </w:r>
                  <w:r>
                    <w:rPr>
                      <w:rFonts w:hint="default" w:ascii="Times New Roman" w:hAnsi="Times New Roman" w:cs="Times New Roman" w:eastAsiaTheme="minorEastAsia"/>
                      <w:color w:val="auto"/>
                      <w:szCs w:val="21"/>
                      <w:vertAlign w:val="subscript"/>
                      <w:lang w:eastAsia="en-US"/>
                    </w:rPr>
                    <w:t>2.5</w:t>
                  </w:r>
                </w:p>
              </w:tc>
              <w:tc>
                <w:tcPr>
                  <w:tcW w:w="2084" w:type="dxa"/>
                  <w:vAlign w:val="center"/>
                </w:tcPr>
                <w:p w14:paraId="30BF5980">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年均值35</w:t>
                  </w:r>
                </w:p>
              </w:tc>
              <w:tc>
                <w:tcPr>
                  <w:tcW w:w="881" w:type="dxa"/>
                  <w:vMerge w:val="continue"/>
                  <w:vAlign w:val="center"/>
                </w:tcPr>
                <w:p w14:paraId="0186B6A6">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71F2A191">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56D8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13BA2DBC">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continue"/>
                  <w:vAlign w:val="center"/>
                </w:tcPr>
                <w:p w14:paraId="5723C8C8">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2084" w:type="dxa"/>
                  <w:vAlign w:val="center"/>
                </w:tcPr>
                <w:p w14:paraId="581EE9C1">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日平均75</w:t>
                  </w:r>
                </w:p>
              </w:tc>
              <w:tc>
                <w:tcPr>
                  <w:tcW w:w="881" w:type="dxa"/>
                  <w:vMerge w:val="continue"/>
                  <w:vAlign w:val="center"/>
                </w:tcPr>
                <w:p w14:paraId="538B1189">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64A7F583">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3259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65DB5C44">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restart"/>
                  <w:vAlign w:val="center"/>
                </w:tcPr>
                <w:p w14:paraId="09186A7E">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CO</w:t>
                  </w:r>
                </w:p>
              </w:tc>
              <w:tc>
                <w:tcPr>
                  <w:tcW w:w="2084" w:type="dxa"/>
                  <w:vAlign w:val="center"/>
                </w:tcPr>
                <w:p w14:paraId="414B3A76">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日平均4000</w:t>
                  </w:r>
                </w:p>
              </w:tc>
              <w:tc>
                <w:tcPr>
                  <w:tcW w:w="881" w:type="dxa"/>
                  <w:vMerge w:val="continue"/>
                  <w:vAlign w:val="center"/>
                </w:tcPr>
                <w:p w14:paraId="5F16E920">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4D04C2B5">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0F02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731" w:type="dxa"/>
                  <w:vMerge w:val="continue"/>
                  <w:vAlign w:val="center"/>
                </w:tcPr>
                <w:p w14:paraId="75D54253">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continue"/>
                  <w:vAlign w:val="center"/>
                </w:tcPr>
                <w:p w14:paraId="4885EAC9">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2084" w:type="dxa"/>
                  <w:vAlign w:val="center"/>
                </w:tcPr>
                <w:p w14:paraId="17AD85A5">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1小时平均10000</w:t>
                  </w:r>
                </w:p>
              </w:tc>
              <w:tc>
                <w:tcPr>
                  <w:tcW w:w="881" w:type="dxa"/>
                  <w:vMerge w:val="continue"/>
                  <w:vAlign w:val="center"/>
                </w:tcPr>
                <w:p w14:paraId="5BBB7999">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1FB7EA6B">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3F82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7C91E07B">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restart"/>
                  <w:vAlign w:val="center"/>
                </w:tcPr>
                <w:p w14:paraId="1AD7B087">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O</w:t>
                  </w:r>
                  <w:r>
                    <w:rPr>
                      <w:rFonts w:hint="default" w:ascii="Times New Roman" w:hAnsi="Times New Roman" w:cs="Times New Roman" w:eastAsiaTheme="minorEastAsia"/>
                      <w:color w:val="auto"/>
                      <w:szCs w:val="21"/>
                      <w:vertAlign w:val="subscript"/>
                      <w:lang w:eastAsia="en-US"/>
                    </w:rPr>
                    <w:t>3</w:t>
                  </w:r>
                </w:p>
              </w:tc>
              <w:tc>
                <w:tcPr>
                  <w:tcW w:w="2084" w:type="dxa"/>
                  <w:vAlign w:val="center"/>
                </w:tcPr>
                <w:p w14:paraId="2240EC66">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日最大8小时平均160</w:t>
                  </w:r>
                </w:p>
              </w:tc>
              <w:tc>
                <w:tcPr>
                  <w:tcW w:w="881" w:type="dxa"/>
                  <w:vMerge w:val="continue"/>
                  <w:vAlign w:val="center"/>
                </w:tcPr>
                <w:p w14:paraId="2985E5DE">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3AC470E0">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1844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Merge w:val="continue"/>
                  <w:vAlign w:val="center"/>
                </w:tcPr>
                <w:p w14:paraId="78CE0481">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1520" w:type="dxa"/>
                  <w:vMerge w:val="continue"/>
                  <w:vAlign w:val="center"/>
                </w:tcPr>
                <w:p w14:paraId="36F368D0">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2084" w:type="dxa"/>
                  <w:vAlign w:val="center"/>
                </w:tcPr>
                <w:p w14:paraId="45DD7998">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1小时平均200</w:t>
                  </w:r>
                </w:p>
              </w:tc>
              <w:tc>
                <w:tcPr>
                  <w:tcW w:w="881" w:type="dxa"/>
                  <w:vMerge w:val="continue"/>
                  <w:vAlign w:val="center"/>
                </w:tcPr>
                <w:p w14:paraId="63796F01">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c>
                <w:tcPr>
                  <w:tcW w:w="3162" w:type="dxa"/>
                  <w:vMerge w:val="continue"/>
                  <w:vAlign w:val="center"/>
                </w:tcPr>
                <w:p w14:paraId="7A66139B">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p>
              </w:tc>
            </w:tr>
            <w:tr w14:paraId="33CF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31" w:type="dxa"/>
                  <w:vAlign w:val="center"/>
                </w:tcPr>
                <w:p w14:paraId="015FF888">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声环境</w:t>
                  </w:r>
                </w:p>
              </w:tc>
              <w:tc>
                <w:tcPr>
                  <w:tcW w:w="1520" w:type="dxa"/>
                  <w:vAlign w:val="center"/>
                </w:tcPr>
                <w:p w14:paraId="2030855D">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等效连续A声级</w:t>
                  </w:r>
                </w:p>
              </w:tc>
              <w:tc>
                <w:tcPr>
                  <w:tcW w:w="2084" w:type="dxa"/>
                  <w:vAlign w:val="center"/>
                </w:tcPr>
                <w:p w14:paraId="44D56FB6">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昼间≤65，夜间≤55</w:t>
                  </w:r>
                </w:p>
              </w:tc>
              <w:tc>
                <w:tcPr>
                  <w:tcW w:w="881" w:type="dxa"/>
                  <w:vAlign w:val="center"/>
                </w:tcPr>
                <w:p w14:paraId="6DA11A39">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dB（A）</w:t>
                  </w:r>
                </w:p>
              </w:tc>
              <w:tc>
                <w:tcPr>
                  <w:tcW w:w="3162" w:type="dxa"/>
                  <w:vAlign w:val="center"/>
                </w:tcPr>
                <w:p w14:paraId="3FFA96C8">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cs="Times New Roman" w:eastAsiaTheme="minorEastAsia"/>
                      <w:color w:val="auto"/>
                      <w:szCs w:val="21"/>
                      <w:lang w:eastAsia="en-US"/>
                    </w:rPr>
                  </w:pPr>
                  <w:r>
                    <w:rPr>
                      <w:rFonts w:hint="default" w:ascii="Times New Roman" w:hAnsi="Times New Roman" w:cs="Times New Roman" w:eastAsiaTheme="minorEastAsia"/>
                      <w:color w:val="auto"/>
                      <w:szCs w:val="21"/>
                      <w:lang w:eastAsia="en-US"/>
                    </w:rPr>
                    <w:t>厂界执行《声环境质量标准》（GB3096-2008）3类标准</w:t>
                  </w:r>
                </w:p>
              </w:tc>
            </w:tr>
          </w:tbl>
          <w:p w14:paraId="660C4584">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b/>
                <w:color w:val="auto"/>
                <w:sz w:val="28"/>
                <w:szCs w:val="28"/>
              </w:rPr>
            </w:pPr>
            <w:r>
              <w:rPr>
                <w:b/>
                <w:color w:val="auto"/>
                <w:sz w:val="28"/>
                <w:szCs w:val="28"/>
              </w:rPr>
              <w:t>3.</w:t>
            </w:r>
            <w:r>
              <w:rPr>
                <w:rFonts w:hint="eastAsia"/>
                <w:b/>
                <w:color w:val="auto"/>
                <w:sz w:val="28"/>
                <w:szCs w:val="28"/>
                <w:lang w:val="en-US" w:eastAsia="zh-CN"/>
              </w:rPr>
              <w:t>9</w:t>
            </w:r>
            <w:r>
              <w:rPr>
                <w:b/>
                <w:color w:val="auto"/>
                <w:sz w:val="28"/>
                <w:szCs w:val="28"/>
              </w:rPr>
              <w:t>污染物排放控制标准</w:t>
            </w:r>
          </w:p>
          <w:p w14:paraId="43D8A098">
            <w:pPr>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b/>
                <w:color w:val="auto"/>
                <w:sz w:val="24"/>
              </w:rPr>
            </w:pPr>
            <w:r>
              <w:rPr>
                <w:b/>
                <w:color w:val="auto"/>
                <w:sz w:val="24"/>
              </w:rPr>
              <w:t>3.</w:t>
            </w:r>
            <w:r>
              <w:rPr>
                <w:rFonts w:hint="eastAsia"/>
                <w:b/>
                <w:color w:val="auto"/>
                <w:sz w:val="24"/>
                <w:lang w:val="en-US" w:eastAsia="zh-CN"/>
              </w:rPr>
              <w:t>9</w:t>
            </w:r>
            <w:r>
              <w:rPr>
                <w:b/>
                <w:color w:val="auto"/>
                <w:sz w:val="24"/>
              </w:rPr>
              <w:t>.1废气排放标准</w:t>
            </w:r>
          </w:p>
          <w:p w14:paraId="320469D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rFonts w:hint="eastAsia"/>
                <w:color w:val="auto"/>
                <w:sz w:val="24"/>
              </w:rPr>
              <w:t>施工期扬尘执行《大气污染物综合排放标准》（GB 16297-1996）中表2无组织排放监控浓度限值要求，运营期项目不产生废气污染物，见表3-5</w:t>
            </w:r>
          </w:p>
          <w:p w14:paraId="7D53D89B">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center"/>
              <w:textAlignment w:val="auto"/>
              <w:rPr>
                <w:b/>
                <w:bCs/>
                <w:color w:val="auto"/>
                <w:szCs w:val="21"/>
              </w:rPr>
            </w:pPr>
            <w:r>
              <w:rPr>
                <w:b/>
                <w:bCs/>
                <w:color w:val="auto"/>
                <w:szCs w:val="21"/>
              </w:rPr>
              <w:t>表3-</w:t>
            </w:r>
            <w:r>
              <w:rPr>
                <w:rFonts w:hint="eastAsia"/>
                <w:b/>
                <w:bCs/>
                <w:color w:val="auto"/>
                <w:szCs w:val="21"/>
              </w:rPr>
              <w:t>5</w:t>
            </w:r>
            <w:r>
              <w:rPr>
                <w:b/>
                <w:bCs/>
                <w:color w:val="auto"/>
                <w:szCs w:val="21"/>
              </w:rPr>
              <w:t>废气排放标准限值</w:t>
            </w:r>
          </w:p>
          <w:tbl>
            <w:tblPr>
              <w:tblStyle w:val="22"/>
              <w:tblW w:w="8346"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4051"/>
              <w:gridCol w:w="2360"/>
            </w:tblGrid>
            <w:tr w14:paraId="6C15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935" w:type="dxa"/>
                  <w:vAlign w:val="center"/>
                </w:tcPr>
                <w:p w14:paraId="51252369">
                  <w:pPr>
                    <w:suppressAutoHyphens/>
                    <w:snapToGrid w:val="0"/>
                    <w:spacing w:after="0" w:line="240" w:lineRule="auto"/>
                    <w:jc w:val="center"/>
                    <w:rPr>
                      <w:color w:val="auto"/>
                      <w:kern w:val="1"/>
                      <w:szCs w:val="20"/>
                    </w:rPr>
                  </w:pPr>
                  <w:r>
                    <w:rPr>
                      <w:rFonts w:hint="eastAsia"/>
                      <w:color w:val="auto"/>
                      <w:kern w:val="1"/>
                      <w:szCs w:val="20"/>
                    </w:rPr>
                    <w:t>污染物项目</w:t>
                  </w:r>
                </w:p>
              </w:tc>
              <w:tc>
                <w:tcPr>
                  <w:tcW w:w="4051" w:type="dxa"/>
                  <w:vAlign w:val="center"/>
                </w:tcPr>
                <w:p w14:paraId="595226B1">
                  <w:pPr>
                    <w:suppressAutoHyphens/>
                    <w:snapToGrid w:val="0"/>
                    <w:spacing w:after="0" w:line="240" w:lineRule="auto"/>
                    <w:jc w:val="center"/>
                    <w:rPr>
                      <w:color w:val="auto"/>
                      <w:kern w:val="1"/>
                      <w:szCs w:val="20"/>
                    </w:rPr>
                  </w:pPr>
                  <w:r>
                    <w:rPr>
                      <w:rFonts w:hint="eastAsia"/>
                      <w:color w:val="auto"/>
                      <w:kern w:val="1"/>
                      <w:szCs w:val="20"/>
                    </w:rPr>
                    <w:t>无组织排放监控浓度限值（mg/m</w:t>
                  </w:r>
                  <w:r>
                    <w:rPr>
                      <w:rFonts w:hint="eastAsia"/>
                      <w:color w:val="auto"/>
                      <w:kern w:val="1"/>
                      <w:szCs w:val="20"/>
                      <w:vertAlign w:val="superscript"/>
                    </w:rPr>
                    <w:t>3</w:t>
                  </w:r>
                  <w:r>
                    <w:rPr>
                      <w:rFonts w:hint="eastAsia"/>
                      <w:color w:val="auto"/>
                      <w:kern w:val="1"/>
                      <w:szCs w:val="20"/>
                    </w:rPr>
                    <w:t>）</w:t>
                  </w:r>
                </w:p>
              </w:tc>
              <w:tc>
                <w:tcPr>
                  <w:tcW w:w="2360" w:type="dxa"/>
                  <w:vAlign w:val="center"/>
                </w:tcPr>
                <w:p w14:paraId="27986686">
                  <w:pPr>
                    <w:suppressAutoHyphens/>
                    <w:snapToGrid w:val="0"/>
                    <w:spacing w:after="0" w:line="240" w:lineRule="auto"/>
                    <w:jc w:val="center"/>
                    <w:rPr>
                      <w:color w:val="auto"/>
                      <w:kern w:val="1"/>
                      <w:szCs w:val="20"/>
                    </w:rPr>
                  </w:pPr>
                  <w:r>
                    <w:rPr>
                      <w:rFonts w:hint="eastAsia"/>
                      <w:color w:val="auto"/>
                      <w:kern w:val="1"/>
                      <w:szCs w:val="20"/>
                    </w:rPr>
                    <w:t>备注</w:t>
                  </w:r>
                </w:p>
              </w:tc>
            </w:tr>
            <w:tr w14:paraId="36B4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935" w:type="dxa"/>
                  <w:vAlign w:val="center"/>
                </w:tcPr>
                <w:p w14:paraId="009A90DF">
                  <w:pPr>
                    <w:suppressAutoHyphens/>
                    <w:snapToGrid w:val="0"/>
                    <w:spacing w:after="0" w:line="240" w:lineRule="auto"/>
                    <w:jc w:val="center"/>
                    <w:rPr>
                      <w:color w:val="auto"/>
                      <w:kern w:val="1"/>
                      <w:szCs w:val="20"/>
                    </w:rPr>
                  </w:pPr>
                  <w:r>
                    <w:rPr>
                      <w:rFonts w:hint="eastAsia"/>
                      <w:color w:val="auto"/>
                      <w:kern w:val="1"/>
                      <w:szCs w:val="20"/>
                    </w:rPr>
                    <w:t>颗粒物</w:t>
                  </w:r>
                </w:p>
              </w:tc>
              <w:tc>
                <w:tcPr>
                  <w:tcW w:w="4051" w:type="dxa"/>
                  <w:vAlign w:val="center"/>
                </w:tcPr>
                <w:p w14:paraId="32503F4C">
                  <w:pPr>
                    <w:suppressAutoHyphens/>
                    <w:snapToGrid w:val="0"/>
                    <w:spacing w:after="0" w:line="240" w:lineRule="auto"/>
                    <w:jc w:val="center"/>
                    <w:rPr>
                      <w:color w:val="auto"/>
                      <w:kern w:val="1"/>
                      <w:szCs w:val="20"/>
                    </w:rPr>
                  </w:pPr>
                  <w:r>
                    <w:rPr>
                      <w:rFonts w:hint="eastAsia"/>
                      <w:color w:val="auto"/>
                      <w:kern w:val="1"/>
                      <w:szCs w:val="20"/>
                    </w:rPr>
                    <w:t>1.0</w:t>
                  </w:r>
                </w:p>
              </w:tc>
              <w:tc>
                <w:tcPr>
                  <w:tcW w:w="2360" w:type="dxa"/>
                  <w:vAlign w:val="center"/>
                </w:tcPr>
                <w:p w14:paraId="185033B1">
                  <w:pPr>
                    <w:suppressAutoHyphens/>
                    <w:snapToGrid w:val="0"/>
                    <w:spacing w:after="0" w:line="240" w:lineRule="auto"/>
                    <w:jc w:val="center"/>
                    <w:rPr>
                      <w:color w:val="auto"/>
                      <w:kern w:val="1"/>
                      <w:szCs w:val="20"/>
                    </w:rPr>
                  </w:pPr>
                  <w:r>
                    <w:rPr>
                      <w:rFonts w:hint="eastAsia"/>
                      <w:color w:val="auto"/>
                      <w:kern w:val="1"/>
                      <w:szCs w:val="20"/>
                    </w:rPr>
                    <w:t>周界外浓度最高点</w:t>
                  </w:r>
                </w:p>
              </w:tc>
            </w:tr>
          </w:tbl>
          <w:p w14:paraId="328953CE">
            <w:pPr>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b/>
                <w:color w:val="auto"/>
                <w:sz w:val="24"/>
              </w:rPr>
            </w:pPr>
            <w:r>
              <w:rPr>
                <w:b/>
                <w:color w:val="auto"/>
                <w:sz w:val="24"/>
              </w:rPr>
              <w:t>3.</w:t>
            </w:r>
            <w:r>
              <w:rPr>
                <w:rFonts w:hint="eastAsia"/>
                <w:b/>
                <w:color w:val="auto"/>
                <w:sz w:val="24"/>
                <w:lang w:val="en-US" w:eastAsia="zh-CN"/>
              </w:rPr>
              <w:t>9</w:t>
            </w:r>
            <w:r>
              <w:rPr>
                <w:b/>
                <w:color w:val="auto"/>
                <w:sz w:val="24"/>
              </w:rPr>
              <w:t>.</w:t>
            </w:r>
            <w:r>
              <w:rPr>
                <w:rFonts w:hint="eastAsia"/>
                <w:b/>
                <w:color w:val="auto"/>
                <w:sz w:val="24"/>
              </w:rPr>
              <w:t>2</w:t>
            </w:r>
            <w:r>
              <w:rPr>
                <w:b/>
                <w:color w:val="auto"/>
                <w:sz w:val="24"/>
              </w:rPr>
              <w:t>噪声排放标准</w:t>
            </w:r>
          </w:p>
          <w:p w14:paraId="7AD5851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rFonts w:hint="eastAsia"/>
                <w:color w:val="auto"/>
                <w:sz w:val="24"/>
              </w:rPr>
              <w:t>施工场界噪声执行《建筑施工场界环境噪声排放标准》（GB 12523-2011），运营期项目不产生噪声污染物</w:t>
            </w:r>
            <w:r>
              <w:rPr>
                <w:color w:val="auto"/>
                <w:sz w:val="24"/>
              </w:rPr>
              <w:t>。具体标准值详见下表3-</w:t>
            </w:r>
            <w:r>
              <w:rPr>
                <w:rFonts w:hint="eastAsia"/>
                <w:color w:val="auto"/>
                <w:sz w:val="24"/>
              </w:rPr>
              <w:t>6</w:t>
            </w:r>
            <w:r>
              <w:rPr>
                <w:color w:val="auto"/>
                <w:sz w:val="24"/>
              </w:rPr>
              <w:t>。</w:t>
            </w:r>
            <w:bookmarkStart w:id="32" w:name="_Toc18780"/>
          </w:p>
          <w:p w14:paraId="563202A2">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center"/>
              <w:textAlignment w:val="auto"/>
              <w:rPr>
                <w:b/>
                <w:bCs/>
                <w:color w:val="auto"/>
              </w:rPr>
            </w:pPr>
            <w:bookmarkStart w:id="33" w:name="_Ref75613592"/>
            <w:r>
              <w:rPr>
                <w:b/>
                <w:bCs/>
                <w:color w:val="auto"/>
              </w:rPr>
              <w:t>表3-</w:t>
            </w:r>
            <w:r>
              <w:rPr>
                <w:rFonts w:hint="eastAsia"/>
                <w:b/>
                <w:bCs/>
                <w:color w:val="auto"/>
              </w:rPr>
              <w:t>6《建筑施工场界环境噪声排放标准》（GB 12523-2011）</w:t>
            </w:r>
            <w:r>
              <w:rPr>
                <w:b/>
                <w:bCs/>
                <w:color w:val="auto"/>
              </w:rPr>
              <w:t>标准</w:t>
            </w:r>
            <w:bookmarkEnd w:id="32"/>
            <w:bookmarkEnd w:id="33"/>
          </w:p>
          <w:tbl>
            <w:tblPr>
              <w:tblStyle w:val="22"/>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3051"/>
              <w:gridCol w:w="2908"/>
            </w:tblGrid>
            <w:tr w14:paraId="2EBC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 w:hRule="atLeast"/>
                <w:tblHeader/>
                <w:jc w:val="center"/>
              </w:trPr>
              <w:tc>
                <w:tcPr>
                  <w:tcW w:w="2416" w:type="dxa"/>
                  <w:vAlign w:val="center"/>
                </w:tcPr>
                <w:p w14:paraId="5E0759A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b/>
                      <w:bCs/>
                      <w:color w:val="auto"/>
                      <w:szCs w:val="21"/>
                    </w:rPr>
                  </w:pPr>
                  <w:r>
                    <w:rPr>
                      <w:b/>
                      <w:bCs/>
                      <w:color w:val="auto"/>
                      <w:szCs w:val="21"/>
                    </w:rPr>
                    <w:t>项目</w:t>
                  </w:r>
                </w:p>
              </w:tc>
              <w:tc>
                <w:tcPr>
                  <w:tcW w:w="5959" w:type="dxa"/>
                  <w:gridSpan w:val="2"/>
                  <w:vAlign w:val="center"/>
                </w:tcPr>
                <w:p w14:paraId="1868AE3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b/>
                      <w:bCs/>
                      <w:color w:val="auto"/>
                      <w:szCs w:val="21"/>
                    </w:rPr>
                  </w:pPr>
                  <w:r>
                    <w:rPr>
                      <w:b/>
                      <w:bCs/>
                      <w:color w:val="auto"/>
                      <w:szCs w:val="21"/>
                    </w:rPr>
                    <w:t>标准值</w:t>
                  </w:r>
                </w:p>
              </w:tc>
            </w:tr>
            <w:tr w14:paraId="6ABB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416" w:type="dxa"/>
                  <w:vMerge w:val="restart"/>
                  <w:vAlign w:val="center"/>
                </w:tcPr>
                <w:p w14:paraId="114F000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auto"/>
                      <w:szCs w:val="21"/>
                    </w:rPr>
                  </w:pPr>
                  <w:r>
                    <w:rPr>
                      <w:rFonts w:hint="eastAsia"/>
                      <w:color w:val="auto"/>
                      <w:szCs w:val="21"/>
                    </w:rPr>
                    <w:t>3</w:t>
                  </w:r>
                  <w:r>
                    <w:rPr>
                      <w:color w:val="auto"/>
                      <w:szCs w:val="21"/>
                    </w:rPr>
                    <w:t>类标准</w:t>
                  </w:r>
                </w:p>
              </w:tc>
              <w:tc>
                <w:tcPr>
                  <w:tcW w:w="3051" w:type="dxa"/>
                  <w:vAlign w:val="center"/>
                </w:tcPr>
                <w:p w14:paraId="085D45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auto"/>
                      <w:szCs w:val="21"/>
                    </w:rPr>
                  </w:pPr>
                  <w:r>
                    <w:rPr>
                      <w:color w:val="auto"/>
                      <w:szCs w:val="21"/>
                    </w:rPr>
                    <w:t>昼间dB（A）</w:t>
                  </w:r>
                </w:p>
              </w:tc>
              <w:tc>
                <w:tcPr>
                  <w:tcW w:w="2908" w:type="dxa"/>
                  <w:vAlign w:val="center"/>
                </w:tcPr>
                <w:p w14:paraId="196611E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auto"/>
                      <w:szCs w:val="21"/>
                    </w:rPr>
                  </w:pPr>
                  <w:r>
                    <w:rPr>
                      <w:color w:val="auto"/>
                      <w:szCs w:val="21"/>
                    </w:rPr>
                    <w:t>夜间dB（A）</w:t>
                  </w:r>
                </w:p>
              </w:tc>
            </w:tr>
            <w:tr w14:paraId="3A3D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2416" w:type="dxa"/>
                  <w:vMerge w:val="continue"/>
                  <w:vAlign w:val="center"/>
                </w:tcPr>
                <w:p w14:paraId="705F5EE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auto"/>
                      <w:szCs w:val="21"/>
                    </w:rPr>
                  </w:pPr>
                </w:p>
              </w:tc>
              <w:tc>
                <w:tcPr>
                  <w:tcW w:w="3051" w:type="dxa"/>
                  <w:vAlign w:val="center"/>
                </w:tcPr>
                <w:p w14:paraId="7763A28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auto"/>
                      <w:szCs w:val="21"/>
                    </w:rPr>
                  </w:pPr>
                  <w:r>
                    <w:rPr>
                      <w:rFonts w:hint="eastAsia"/>
                      <w:color w:val="auto"/>
                      <w:szCs w:val="21"/>
                    </w:rPr>
                    <w:t>70</w:t>
                  </w:r>
                </w:p>
              </w:tc>
              <w:tc>
                <w:tcPr>
                  <w:tcW w:w="2908" w:type="dxa"/>
                  <w:vAlign w:val="center"/>
                </w:tcPr>
                <w:p w14:paraId="1350F61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auto"/>
                      <w:szCs w:val="21"/>
                    </w:rPr>
                  </w:pPr>
                  <w:r>
                    <w:rPr>
                      <w:color w:val="auto"/>
                      <w:szCs w:val="21"/>
                    </w:rPr>
                    <w:t>5</w:t>
                  </w:r>
                  <w:r>
                    <w:rPr>
                      <w:rFonts w:hint="eastAsia"/>
                      <w:color w:val="auto"/>
                      <w:szCs w:val="21"/>
                    </w:rPr>
                    <w:t>5</w:t>
                  </w:r>
                </w:p>
              </w:tc>
            </w:tr>
          </w:tbl>
          <w:p w14:paraId="3C45217D">
            <w:pPr>
              <w:keepNext w:val="0"/>
              <w:keepLines w:val="0"/>
              <w:pageBreakBefore w:val="0"/>
              <w:widowControl w:val="0"/>
              <w:kinsoku/>
              <w:wordWrap/>
              <w:overflowPunct/>
              <w:topLinePunct w:val="0"/>
              <w:autoSpaceDE/>
              <w:autoSpaceDN/>
              <w:bidi w:val="0"/>
              <w:adjustRightInd w:val="0"/>
              <w:snapToGrid w:val="0"/>
              <w:spacing w:before="120" w:beforeLines="50" w:after="0" w:line="360" w:lineRule="auto"/>
              <w:ind w:firstLine="482" w:firstLineChars="200"/>
              <w:textAlignment w:val="auto"/>
              <w:rPr>
                <w:b/>
                <w:color w:val="auto"/>
                <w:sz w:val="24"/>
              </w:rPr>
            </w:pPr>
            <w:r>
              <w:rPr>
                <w:b/>
                <w:color w:val="auto"/>
                <w:sz w:val="24"/>
              </w:rPr>
              <w:t>3.</w:t>
            </w:r>
            <w:r>
              <w:rPr>
                <w:rFonts w:hint="eastAsia"/>
                <w:b/>
                <w:color w:val="auto"/>
                <w:sz w:val="24"/>
                <w:lang w:val="en-US" w:eastAsia="zh-CN"/>
              </w:rPr>
              <w:t>9</w:t>
            </w:r>
            <w:r>
              <w:rPr>
                <w:b/>
                <w:color w:val="auto"/>
                <w:sz w:val="24"/>
              </w:rPr>
              <w:t>.</w:t>
            </w:r>
            <w:r>
              <w:rPr>
                <w:rFonts w:hint="eastAsia"/>
                <w:b/>
                <w:color w:val="auto"/>
                <w:sz w:val="24"/>
              </w:rPr>
              <w:t>3废水</w:t>
            </w:r>
            <w:r>
              <w:rPr>
                <w:b/>
                <w:color w:val="auto"/>
                <w:sz w:val="24"/>
              </w:rPr>
              <w:t>排放标准</w:t>
            </w:r>
          </w:p>
          <w:p w14:paraId="1F7CED1E">
            <w:pPr>
              <w:keepNext w:val="0"/>
              <w:keepLines w:val="0"/>
              <w:pageBreakBefore w:val="0"/>
              <w:widowControl w:val="0"/>
              <w:kinsoku/>
              <w:wordWrap/>
              <w:overflowPunct/>
              <w:topLinePunct w:val="0"/>
              <w:autoSpaceDE/>
              <w:autoSpaceDN/>
              <w:bidi w:val="0"/>
              <w:adjustRightInd w:val="0"/>
              <w:snapToGrid w:val="0"/>
              <w:spacing w:after="0" w:line="360" w:lineRule="auto"/>
              <w:ind w:firstLine="504" w:firstLineChars="200"/>
              <w:textAlignment w:val="auto"/>
              <w:rPr>
                <w:color w:val="auto"/>
                <w:sz w:val="24"/>
              </w:rPr>
            </w:pPr>
            <w:r>
              <w:rPr>
                <w:rFonts w:hint="eastAsia"/>
                <w:color w:val="auto"/>
                <w:spacing w:val="6"/>
                <w:kern w:val="0"/>
                <w:sz w:val="24"/>
                <w:szCs w:val="28"/>
                <w:lang w:val="en-US" w:eastAsia="zh-CN"/>
              </w:rPr>
              <w:t>施工期施工人员生活污水</w:t>
            </w:r>
            <w:r>
              <w:rPr>
                <w:rFonts w:hint="eastAsia"/>
                <w:color w:val="auto"/>
                <w:spacing w:val="6"/>
                <w:kern w:val="0"/>
                <w:sz w:val="24"/>
                <w:szCs w:val="28"/>
              </w:rPr>
              <w:t>依托泰兴</w:t>
            </w:r>
            <w:r>
              <w:rPr>
                <w:rFonts w:hint="eastAsia"/>
                <w:color w:val="auto"/>
                <w:spacing w:val="6"/>
                <w:kern w:val="0"/>
                <w:sz w:val="24"/>
                <w:szCs w:val="28"/>
                <w:lang w:val="en-US" w:eastAsia="zh-CN"/>
              </w:rPr>
              <w:t>石化</w:t>
            </w:r>
            <w:r>
              <w:rPr>
                <w:rFonts w:hint="eastAsia"/>
                <w:color w:val="auto"/>
                <w:spacing w:val="6"/>
                <w:kern w:val="0"/>
                <w:sz w:val="24"/>
                <w:szCs w:val="28"/>
              </w:rPr>
              <w:t>生活污水处理</w:t>
            </w:r>
            <w:r>
              <w:rPr>
                <w:rFonts w:hint="eastAsia"/>
                <w:color w:val="auto"/>
                <w:spacing w:val="6"/>
                <w:kern w:val="0"/>
                <w:sz w:val="24"/>
                <w:szCs w:val="28"/>
                <w:lang w:val="en-US" w:eastAsia="zh-CN"/>
              </w:rPr>
              <w:t>设施</w:t>
            </w:r>
            <w:r>
              <w:rPr>
                <w:rFonts w:hint="eastAsia"/>
                <w:color w:val="auto"/>
                <w:spacing w:val="6"/>
                <w:kern w:val="0"/>
                <w:sz w:val="24"/>
                <w:szCs w:val="28"/>
                <w:lang w:eastAsia="zh-CN"/>
              </w:rPr>
              <w:t>，生活污水经化粪池处理后进入市政污水管网，送到胜科污水处理站处理。</w:t>
            </w:r>
            <w:r>
              <w:rPr>
                <w:rFonts w:hint="eastAsia"/>
                <w:color w:val="auto"/>
                <w:sz w:val="24"/>
              </w:rPr>
              <w:t>本项目施工期</w:t>
            </w:r>
            <w:r>
              <w:rPr>
                <w:rFonts w:hint="eastAsia"/>
                <w:color w:val="auto"/>
                <w:sz w:val="24"/>
                <w:lang w:val="en-US" w:eastAsia="zh-CN"/>
              </w:rPr>
              <w:t>多余的</w:t>
            </w:r>
            <w:r>
              <w:rPr>
                <w:rFonts w:hint="eastAsia"/>
                <w:color w:val="auto"/>
                <w:sz w:val="24"/>
              </w:rPr>
              <w:t>试压和清洗废水进入</w:t>
            </w:r>
            <w:r>
              <w:rPr>
                <w:rFonts w:hint="eastAsia"/>
                <w:color w:val="auto"/>
                <w:sz w:val="24"/>
                <w:lang w:val="en-US" w:eastAsia="zh-CN"/>
              </w:rPr>
              <w:t>泰兴石化污水收集系统处理</w:t>
            </w:r>
            <w:r>
              <w:rPr>
                <w:rFonts w:hint="eastAsia"/>
                <w:color w:val="auto"/>
                <w:sz w:val="24"/>
              </w:rPr>
              <w:t>，</w:t>
            </w:r>
            <w:r>
              <w:rPr>
                <w:rFonts w:hint="eastAsia"/>
                <w:color w:val="auto"/>
                <w:sz w:val="24"/>
                <w:lang w:val="en-US" w:eastAsia="zh-CN"/>
              </w:rPr>
              <w:t>最后</w:t>
            </w:r>
            <w:r>
              <w:rPr>
                <w:rFonts w:hint="eastAsia"/>
                <w:color w:val="auto"/>
                <w:sz w:val="24"/>
              </w:rPr>
              <w:t>排入胜科污水处理厂处理后深海排放。废水执行《污水综合排放标准》（GB8978-1996）三级标准及胜科污水处理厂纳管标准中最严标准，详见表3-7。</w:t>
            </w:r>
          </w:p>
          <w:p w14:paraId="7280E064">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center"/>
              <w:textAlignment w:val="auto"/>
              <w:rPr>
                <w:b/>
                <w:bCs/>
                <w:color w:val="auto"/>
              </w:rPr>
            </w:pPr>
            <w:r>
              <w:rPr>
                <w:rFonts w:hint="eastAsia"/>
                <w:b/>
                <w:bCs/>
                <w:color w:val="auto"/>
              </w:rPr>
              <w:t>表3-7  项目废水排放标准    单位：mg/L（除pH外）</w:t>
            </w:r>
          </w:p>
          <w:tbl>
            <w:tblPr>
              <w:tblStyle w:val="22"/>
              <w:tblW w:w="83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41"/>
              <w:gridCol w:w="871"/>
              <w:gridCol w:w="871"/>
              <w:gridCol w:w="871"/>
              <w:gridCol w:w="871"/>
              <w:gridCol w:w="678"/>
              <w:gridCol w:w="1300"/>
              <w:gridCol w:w="800"/>
              <w:gridCol w:w="707"/>
            </w:tblGrid>
            <w:tr w14:paraId="2979F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1" w:type="dxa"/>
                  <w:vAlign w:val="center"/>
                </w:tcPr>
                <w:p w14:paraId="7B698F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项目</w:t>
                  </w:r>
                </w:p>
              </w:tc>
              <w:tc>
                <w:tcPr>
                  <w:tcW w:w="871" w:type="dxa"/>
                  <w:vAlign w:val="center"/>
                </w:tcPr>
                <w:p w14:paraId="38FA2BA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pH</w:t>
                  </w:r>
                </w:p>
              </w:tc>
              <w:tc>
                <w:tcPr>
                  <w:tcW w:w="871" w:type="dxa"/>
                  <w:vAlign w:val="center"/>
                </w:tcPr>
                <w:p w14:paraId="49466F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vertAlign w:val="subscript"/>
                    </w:rPr>
                  </w:pPr>
                  <w:r>
                    <w:rPr>
                      <w:color w:val="auto"/>
                      <w:kern w:val="0"/>
                      <w:szCs w:val="21"/>
                    </w:rPr>
                    <w:t>COD</w:t>
                  </w:r>
                </w:p>
              </w:tc>
              <w:tc>
                <w:tcPr>
                  <w:tcW w:w="871" w:type="dxa"/>
                  <w:vAlign w:val="center"/>
                </w:tcPr>
                <w:p w14:paraId="6A1739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vertAlign w:val="subscript"/>
                    </w:rPr>
                  </w:pPr>
                  <w:r>
                    <w:rPr>
                      <w:color w:val="auto"/>
                      <w:kern w:val="0"/>
                      <w:szCs w:val="21"/>
                    </w:rPr>
                    <w:t>BOD</w:t>
                  </w:r>
                  <w:r>
                    <w:rPr>
                      <w:color w:val="auto"/>
                      <w:kern w:val="0"/>
                      <w:szCs w:val="21"/>
                      <w:vertAlign w:val="subscript"/>
                    </w:rPr>
                    <w:t>5</w:t>
                  </w:r>
                </w:p>
              </w:tc>
              <w:tc>
                <w:tcPr>
                  <w:tcW w:w="871" w:type="dxa"/>
                  <w:vAlign w:val="center"/>
                </w:tcPr>
                <w:p w14:paraId="6889B04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SS</w:t>
                  </w:r>
                </w:p>
              </w:tc>
              <w:tc>
                <w:tcPr>
                  <w:tcW w:w="678" w:type="dxa"/>
                  <w:vAlign w:val="center"/>
                </w:tcPr>
                <w:p w14:paraId="46AD11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氨氮</w:t>
                  </w:r>
                </w:p>
              </w:tc>
              <w:tc>
                <w:tcPr>
                  <w:tcW w:w="1300" w:type="dxa"/>
                  <w:vAlign w:val="center"/>
                </w:tcPr>
                <w:p w14:paraId="48D02F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磷酸盐（以P计）</w:t>
                  </w:r>
                </w:p>
              </w:tc>
              <w:tc>
                <w:tcPr>
                  <w:tcW w:w="800" w:type="dxa"/>
                  <w:vAlign w:val="center"/>
                </w:tcPr>
                <w:p w14:paraId="01FB502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石油类</w:t>
                  </w:r>
                </w:p>
              </w:tc>
              <w:tc>
                <w:tcPr>
                  <w:tcW w:w="707" w:type="dxa"/>
                  <w:vAlign w:val="center"/>
                </w:tcPr>
                <w:p w14:paraId="768369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动植物油</w:t>
                  </w:r>
                </w:p>
              </w:tc>
            </w:tr>
            <w:tr w14:paraId="187D5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jc w:val="center"/>
              </w:trPr>
              <w:tc>
                <w:tcPr>
                  <w:tcW w:w="1341" w:type="dxa"/>
                  <w:vAlign w:val="center"/>
                </w:tcPr>
                <w:p w14:paraId="640E5A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污水综合排放</w:t>
                  </w:r>
                  <w:r>
                    <w:rPr>
                      <w:color w:val="auto"/>
                      <w:kern w:val="0"/>
                      <w:szCs w:val="21"/>
                    </w:rPr>
                    <w:t>三级标准</w:t>
                  </w:r>
                </w:p>
              </w:tc>
              <w:tc>
                <w:tcPr>
                  <w:tcW w:w="871" w:type="dxa"/>
                  <w:vAlign w:val="center"/>
                </w:tcPr>
                <w:p w14:paraId="79322A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6~9</w:t>
                  </w:r>
                </w:p>
              </w:tc>
              <w:tc>
                <w:tcPr>
                  <w:tcW w:w="871" w:type="dxa"/>
                  <w:vAlign w:val="center"/>
                </w:tcPr>
                <w:p w14:paraId="17DB74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500</w:t>
                  </w:r>
                </w:p>
              </w:tc>
              <w:tc>
                <w:tcPr>
                  <w:tcW w:w="871" w:type="dxa"/>
                  <w:vAlign w:val="center"/>
                </w:tcPr>
                <w:p w14:paraId="1DADC1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300</w:t>
                  </w:r>
                </w:p>
              </w:tc>
              <w:tc>
                <w:tcPr>
                  <w:tcW w:w="871" w:type="dxa"/>
                  <w:vAlign w:val="center"/>
                </w:tcPr>
                <w:p w14:paraId="4E8064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400</w:t>
                  </w:r>
                </w:p>
              </w:tc>
              <w:tc>
                <w:tcPr>
                  <w:tcW w:w="678" w:type="dxa"/>
                  <w:vAlign w:val="center"/>
                </w:tcPr>
                <w:p w14:paraId="54ED670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w:t>
                  </w:r>
                </w:p>
              </w:tc>
              <w:tc>
                <w:tcPr>
                  <w:tcW w:w="1300" w:type="dxa"/>
                  <w:vAlign w:val="center"/>
                </w:tcPr>
                <w:p w14:paraId="5CA3D5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w:t>
                  </w:r>
                </w:p>
              </w:tc>
              <w:tc>
                <w:tcPr>
                  <w:tcW w:w="800" w:type="dxa"/>
                  <w:vAlign w:val="center"/>
                </w:tcPr>
                <w:p w14:paraId="39500B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20</w:t>
                  </w:r>
                </w:p>
              </w:tc>
              <w:tc>
                <w:tcPr>
                  <w:tcW w:w="707" w:type="dxa"/>
                  <w:vAlign w:val="center"/>
                </w:tcPr>
                <w:p w14:paraId="22A338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rPr>
                  </w:pPr>
                  <w:r>
                    <w:rPr>
                      <w:color w:val="auto"/>
                    </w:rPr>
                    <w:t>100</w:t>
                  </w:r>
                </w:p>
              </w:tc>
            </w:tr>
            <w:tr w14:paraId="450A0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1" w:type="dxa"/>
                  <w:vAlign w:val="center"/>
                </w:tcPr>
                <w:p w14:paraId="1DAADCA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胜科污水处理厂纳管标准</w:t>
                  </w:r>
                </w:p>
              </w:tc>
              <w:tc>
                <w:tcPr>
                  <w:tcW w:w="871" w:type="dxa"/>
                  <w:vAlign w:val="center"/>
                </w:tcPr>
                <w:p w14:paraId="472064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6~9</w:t>
                  </w:r>
                </w:p>
              </w:tc>
              <w:tc>
                <w:tcPr>
                  <w:tcW w:w="871" w:type="dxa"/>
                  <w:vAlign w:val="center"/>
                </w:tcPr>
                <w:p w14:paraId="635E78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1000</w:t>
                  </w:r>
                </w:p>
              </w:tc>
              <w:tc>
                <w:tcPr>
                  <w:tcW w:w="871" w:type="dxa"/>
                  <w:vAlign w:val="center"/>
                </w:tcPr>
                <w:p w14:paraId="38EB72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w:t>
                  </w:r>
                </w:p>
              </w:tc>
              <w:tc>
                <w:tcPr>
                  <w:tcW w:w="871" w:type="dxa"/>
                  <w:vAlign w:val="center"/>
                </w:tcPr>
                <w:p w14:paraId="5BE4EB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250</w:t>
                  </w:r>
                </w:p>
              </w:tc>
              <w:tc>
                <w:tcPr>
                  <w:tcW w:w="678" w:type="dxa"/>
                  <w:vAlign w:val="center"/>
                </w:tcPr>
                <w:p w14:paraId="429E1E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50</w:t>
                  </w:r>
                </w:p>
              </w:tc>
              <w:tc>
                <w:tcPr>
                  <w:tcW w:w="1300" w:type="dxa"/>
                  <w:vAlign w:val="center"/>
                </w:tcPr>
                <w:p w14:paraId="5234995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w:t>
                  </w:r>
                </w:p>
              </w:tc>
              <w:tc>
                <w:tcPr>
                  <w:tcW w:w="800" w:type="dxa"/>
                  <w:vAlign w:val="center"/>
                </w:tcPr>
                <w:p w14:paraId="26D11D0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10</w:t>
                  </w:r>
                </w:p>
              </w:tc>
              <w:tc>
                <w:tcPr>
                  <w:tcW w:w="707" w:type="dxa"/>
                  <w:vAlign w:val="center"/>
                </w:tcPr>
                <w:p w14:paraId="721DE45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rPr>
                  </w:pPr>
                  <w:r>
                    <w:rPr>
                      <w:rFonts w:hint="eastAsia"/>
                      <w:color w:val="auto"/>
                    </w:rPr>
                    <w:t>/</w:t>
                  </w:r>
                </w:p>
              </w:tc>
            </w:tr>
            <w:tr w14:paraId="61C74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1" w:type="dxa"/>
                  <w:vAlign w:val="center"/>
                </w:tcPr>
                <w:p w14:paraId="22AE2C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最终执行</w:t>
                  </w:r>
                </w:p>
                <w:p w14:paraId="09CE26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标准</w:t>
                  </w:r>
                </w:p>
              </w:tc>
              <w:tc>
                <w:tcPr>
                  <w:tcW w:w="871" w:type="dxa"/>
                  <w:vAlign w:val="center"/>
                </w:tcPr>
                <w:p w14:paraId="24D7F6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color w:val="auto"/>
                      <w:kern w:val="0"/>
                      <w:szCs w:val="21"/>
                    </w:rPr>
                    <w:t>6~9</w:t>
                  </w:r>
                </w:p>
              </w:tc>
              <w:tc>
                <w:tcPr>
                  <w:tcW w:w="871" w:type="dxa"/>
                  <w:vAlign w:val="center"/>
                </w:tcPr>
                <w:p w14:paraId="31A7E4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500</w:t>
                  </w:r>
                </w:p>
              </w:tc>
              <w:tc>
                <w:tcPr>
                  <w:tcW w:w="871" w:type="dxa"/>
                  <w:vAlign w:val="center"/>
                </w:tcPr>
                <w:p w14:paraId="5D363F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300</w:t>
                  </w:r>
                </w:p>
              </w:tc>
              <w:tc>
                <w:tcPr>
                  <w:tcW w:w="871" w:type="dxa"/>
                  <w:vAlign w:val="center"/>
                </w:tcPr>
                <w:p w14:paraId="654812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250</w:t>
                  </w:r>
                </w:p>
              </w:tc>
              <w:tc>
                <w:tcPr>
                  <w:tcW w:w="678" w:type="dxa"/>
                  <w:vAlign w:val="center"/>
                </w:tcPr>
                <w:p w14:paraId="1FB2C7D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50</w:t>
                  </w:r>
                </w:p>
              </w:tc>
              <w:tc>
                <w:tcPr>
                  <w:tcW w:w="1300" w:type="dxa"/>
                  <w:vAlign w:val="center"/>
                </w:tcPr>
                <w:p w14:paraId="38BEB3D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w:t>
                  </w:r>
                </w:p>
              </w:tc>
              <w:tc>
                <w:tcPr>
                  <w:tcW w:w="800" w:type="dxa"/>
                  <w:vAlign w:val="center"/>
                </w:tcPr>
                <w:p w14:paraId="57D589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kern w:val="0"/>
                      <w:szCs w:val="21"/>
                    </w:rPr>
                  </w:pPr>
                  <w:r>
                    <w:rPr>
                      <w:rFonts w:hint="eastAsia"/>
                      <w:color w:val="auto"/>
                      <w:kern w:val="0"/>
                      <w:szCs w:val="21"/>
                    </w:rPr>
                    <w:t>10</w:t>
                  </w:r>
                </w:p>
              </w:tc>
              <w:tc>
                <w:tcPr>
                  <w:tcW w:w="707" w:type="dxa"/>
                  <w:vAlign w:val="center"/>
                </w:tcPr>
                <w:p w14:paraId="5504CA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color w:val="auto"/>
                    </w:rPr>
                  </w:pPr>
                  <w:r>
                    <w:rPr>
                      <w:rFonts w:hint="eastAsia"/>
                      <w:color w:val="auto"/>
                    </w:rPr>
                    <w:t>100</w:t>
                  </w:r>
                </w:p>
              </w:tc>
            </w:tr>
          </w:tbl>
          <w:p w14:paraId="73017A28">
            <w:pPr>
              <w:keepNext w:val="0"/>
              <w:keepLines w:val="0"/>
              <w:pageBreakBefore w:val="0"/>
              <w:widowControl w:val="0"/>
              <w:kinsoku/>
              <w:wordWrap/>
              <w:overflowPunct/>
              <w:topLinePunct w:val="0"/>
              <w:autoSpaceDE/>
              <w:autoSpaceDN/>
              <w:bidi w:val="0"/>
              <w:adjustRightInd w:val="0"/>
              <w:snapToGrid w:val="0"/>
              <w:spacing w:before="120" w:beforeLines="50" w:after="0" w:line="360" w:lineRule="auto"/>
              <w:ind w:firstLine="482" w:firstLineChars="200"/>
              <w:textAlignment w:val="auto"/>
              <w:rPr>
                <w:b/>
                <w:color w:val="auto"/>
                <w:sz w:val="24"/>
              </w:rPr>
            </w:pPr>
            <w:r>
              <w:rPr>
                <w:b/>
                <w:color w:val="auto"/>
                <w:sz w:val="24"/>
              </w:rPr>
              <w:t>3.</w:t>
            </w:r>
            <w:r>
              <w:rPr>
                <w:rFonts w:hint="eastAsia"/>
                <w:b/>
                <w:color w:val="auto"/>
                <w:sz w:val="24"/>
                <w:lang w:val="en-US" w:eastAsia="zh-CN"/>
              </w:rPr>
              <w:t>9</w:t>
            </w:r>
            <w:r>
              <w:rPr>
                <w:b/>
                <w:color w:val="auto"/>
                <w:sz w:val="24"/>
              </w:rPr>
              <w:t>.</w:t>
            </w:r>
            <w:r>
              <w:rPr>
                <w:rFonts w:hint="eastAsia"/>
                <w:b/>
                <w:color w:val="auto"/>
                <w:sz w:val="24"/>
              </w:rPr>
              <w:t>4</w:t>
            </w:r>
            <w:r>
              <w:rPr>
                <w:b/>
                <w:color w:val="auto"/>
                <w:sz w:val="24"/>
              </w:rPr>
              <w:t>固体废物</w:t>
            </w:r>
          </w:p>
          <w:p w14:paraId="610CFFA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color w:val="auto"/>
                <w:sz w:val="24"/>
              </w:rPr>
              <w:t>项目产生的一般固体废物暂存执行《</w:t>
            </w:r>
            <w:r>
              <w:rPr>
                <w:color w:val="auto"/>
              </w:rPr>
              <w:fldChar w:fldCharType="begin"/>
            </w:r>
            <w:r>
              <w:rPr>
                <w:color w:val="auto"/>
              </w:rPr>
              <w:instrText xml:space="preserve"> HYPERLINK "http://www.mee.gov.cn/ywgz/fgbz/bz/bzwb/gthw/gtfwwrkzbz/202012/W020201218695845325455.pdf" </w:instrText>
            </w:r>
            <w:r>
              <w:rPr>
                <w:color w:val="auto"/>
              </w:rPr>
              <w:fldChar w:fldCharType="separate"/>
            </w:r>
            <w:r>
              <w:rPr>
                <w:color w:val="auto"/>
                <w:sz w:val="24"/>
              </w:rPr>
              <w:t>一般工业固体废物贮存和填埋污染控制标准</w:t>
            </w:r>
            <w:r>
              <w:rPr>
                <w:color w:val="auto"/>
                <w:sz w:val="24"/>
              </w:rPr>
              <w:fldChar w:fldCharType="end"/>
            </w:r>
            <w:r>
              <w:rPr>
                <w:color w:val="auto"/>
                <w:sz w:val="24"/>
              </w:rPr>
              <w:t>》（GB18599-2020）。危险废物暂存执行《危险废物贮存污染控制标准》（GB18597-2023）。</w:t>
            </w:r>
          </w:p>
        </w:tc>
      </w:tr>
      <w:tr w14:paraId="597ED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1" w:hRule="atLeast"/>
          <w:jc w:val="center"/>
        </w:trPr>
        <w:tc>
          <w:tcPr>
            <w:tcW w:w="683" w:type="dxa"/>
            <w:vAlign w:val="center"/>
          </w:tcPr>
          <w:p w14:paraId="5E1E9181">
            <w:pPr>
              <w:adjustRightInd w:val="0"/>
              <w:snapToGrid w:val="0"/>
              <w:jc w:val="center"/>
              <w:rPr>
                <w:color w:val="auto"/>
                <w:kern w:val="0"/>
                <w:szCs w:val="21"/>
              </w:rPr>
            </w:pPr>
            <w:r>
              <w:rPr>
                <w:b/>
                <w:color w:val="auto"/>
                <w:kern w:val="0"/>
                <w:sz w:val="24"/>
                <w:szCs w:val="21"/>
              </w:rPr>
              <w:t>其他</w:t>
            </w:r>
          </w:p>
        </w:tc>
        <w:tc>
          <w:tcPr>
            <w:tcW w:w="8604" w:type="dxa"/>
            <w:vAlign w:val="center"/>
          </w:tcPr>
          <w:p w14:paraId="4DD0856E">
            <w:pPr>
              <w:autoSpaceDE w:val="0"/>
              <w:autoSpaceDN w:val="0"/>
              <w:adjustRightInd w:val="0"/>
              <w:spacing w:line="360" w:lineRule="auto"/>
              <w:ind w:firstLine="480" w:firstLineChars="200"/>
              <w:jc w:val="left"/>
              <w:rPr>
                <w:color w:val="auto"/>
              </w:rPr>
            </w:pPr>
            <w:r>
              <w:rPr>
                <w:rFonts w:hint="eastAsia"/>
                <w:color w:val="auto"/>
                <w:sz w:val="24"/>
              </w:rPr>
              <w:t>无。</w:t>
            </w:r>
          </w:p>
        </w:tc>
      </w:tr>
    </w:tbl>
    <w:p w14:paraId="6B696468">
      <w:pPr>
        <w:pStyle w:val="17"/>
        <w:jc w:val="center"/>
        <w:outlineLvl w:val="0"/>
        <w:rPr>
          <w:rFonts w:ascii="Times New Roman" w:hAnsi="Times New Roman"/>
          <w:b/>
          <w:snapToGrid w:val="0"/>
          <w:color w:val="auto"/>
        </w:rPr>
      </w:pPr>
      <w:r>
        <w:rPr>
          <w:rFonts w:ascii="Times New Roman" w:hAnsi="Times New Roman"/>
          <w:snapToGrid w:val="0"/>
          <w:color w:val="auto"/>
          <w:sz w:val="36"/>
          <w:szCs w:val="36"/>
        </w:rPr>
        <w:br w:type="page"/>
      </w:r>
      <w:bookmarkStart w:id="34" w:name="_Toc152336004"/>
      <w:r>
        <w:rPr>
          <w:rFonts w:ascii="Times New Roman" w:hAnsi="Times New Roman"/>
          <w:b/>
          <w:snapToGrid w:val="0"/>
          <w:color w:val="auto"/>
          <w:sz w:val="30"/>
          <w:szCs w:val="30"/>
        </w:rPr>
        <w:t>四、生态环境影响分析</w:t>
      </w:r>
      <w:bookmarkEnd w:id="34"/>
    </w:p>
    <w:tbl>
      <w:tblPr>
        <w:tblStyle w:val="22"/>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5"/>
      </w:tblGrid>
      <w:tr w14:paraId="174F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4" w:hRule="atLeast"/>
          <w:jc w:val="center"/>
        </w:trPr>
        <w:tc>
          <w:tcPr>
            <w:tcW w:w="746" w:type="dxa"/>
            <w:tcMar>
              <w:left w:w="28" w:type="dxa"/>
              <w:right w:w="28" w:type="dxa"/>
            </w:tcMar>
            <w:vAlign w:val="center"/>
          </w:tcPr>
          <w:p w14:paraId="54B775C1">
            <w:pPr>
              <w:pStyle w:val="17"/>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b/>
                <w:color w:val="auto"/>
                <w:kern w:val="2"/>
                <w:szCs w:val="21"/>
              </w:rPr>
              <w:t>施工期环境保护措施</w:t>
            </w:r>
          </w:p>
        </w:tc>
        <w:tc>
          <w:tcPr>
            <w:tcW w:w="8165" w:type="dxa"/>
            <w:vAlign w:val="center"/>
          </w:tcPr>
          <w:p w14:paraId="5751101E">
            <w:pPr>
              <w:pStyle w:val="51"/>
              <w:pageBreakBefore w:val="0"/>
              <w:kinsoku/>
              <w:wordWrap/>
              <w:overflowPunct/>
              <w:topLinePunct w:val="0"/>
              <w:autoSpaceDE/>
              <w:autoSpaceDN/>
              <w:bidi w:val="0"/>
              <w:spacing w:after="0" w:line="360" w:lineRule="auto"/>
              <w:ind w:firstLine="562"/>
              <w:textAlignment w:val="auto"/>
              <w:rPr>
                <w:b/>
                <w:color w:val="auto"/>
                <w:sz w:val="28"/>
                <w:lang w:eastAsia="zh-CN"/>
              </w:rPr>
            </w:pPr>
            <w:r>
              <w:rPr>
                <w:b/>
                <w:color w:val="auto"/>
                <w:sz w:val="28"/>
                <w:lang w:eastAsia="zh-CN"/>
              </w:rPr>
              <w:t>4.1施工期生态环境影响分析</w:t>
            </w:r>
          </w:p>
          <w:p w14:paraId="2BC9D1CF">
            <w:pPr>
              <w:pStyle w:val="51"/>
              <w:pageBreakBefore w:val="0"/>
              <w:kinsoku/>
              <w:wordWrap/>
              <w:overflowPunct/>
              <w:topLinePunct w:val="0"/>
              <w:autoSpaceDE/>
              <w:autoSpaceDN/>
              <w:bidi w:val="0"/>
              <w:spacing w:after="0" w:line="360" w:lineRule="auto"/>
              <w:ind w:firstLine="480"/>
              <w:textAlignment w:val="auto"/>
              <w:rPr>
                <w:color w:val="auto"/>
                <w:lang w:eastAsia="zh-CN"/>
              </w:rPr>
            </w:pPr>
            <w:r>
              <w:rPr>
                <w:rFonts w:hint="eastAsia"/>
                <w:color w:val="auto"/>
                <w:lang w:eastAsia="zh-CN"/>
              </w:rPr>
              <w:t>施工阶段，对空气环境的污染主要来自施工扬尘（包括施工工地扬尘、道路扬尘）、施工机械尾气，管廊、</w:t>
            </w:r>
            <w:r>
              <w:rPr>
                <w:color w:val="auto"/>
                <w:lang w:eastAsia="zh-CN"/>
              </w:rPr>
              <w:t>管道的安装、焊接、试压、防腐</w:t>
            </w:r>
            <w:r>
              <w:rPr>
                <w:rFonts w:hint="eastAsia"/>
                <w:color w:val="auto"/>
                <w:lang w:eastAsia="zh-CN"/>
              </w:rPr>
              <w:t>废气，旧管廊管道的拆除、切割粉尘</w:t>
            </w:r>
            <w:r>
              <w:rPr>
                <w:color w:val="auto"/>
                <w:lang w:eastAsia="zh-CN"/>
              </w:rPr>
              <w:t>等</w:t>
            </w:r>
            <w:r>
              <w:rPr>
                <w:rFonts w:hint="eastAsia"/>
                <w:color w:val="auto"/>
                <w:lang w:eastAsia="zh-CN"/>
              </w:rPr>
              <w:t>。</w:t>
            </w:r>
            <w:r>
              <w:rPr>
                <w:color w:val="auto"/>
                <w:lang w:eastAsia="zh-CN"/>
              </w:rPr>
              <w:t>本次针对不同的工程施工过程产生的污染物提出相应的环保措施，以确保项目施工期过程中污染物达标排放，减少对周边环境的影响。</w:t>
            </w:r>
          </w:p>
          <w:p w14:paraId="49CCA7B7">
            <w:pPr>
              <w:pStyle w:val="51"/>
              <w:pageBreakBefore w:val="0"/>
              <w:kinsoku/>
              <w:wordWrap/>
              <w:overflowPunct/>
              <w:topLinePunct w:val="0"/>
              <w:autoSpaceDE/>
              <w:autoSpaceDN/>
              <w:bidi w:val="0"/>
              <w:spacing w:after="0" w:line="360" w:lineRule="auto"/>
              <w:ind w:firstLine="482"/>
              <w:textAlignment w:val="auto"/>
              <w:rPr>
                <w:b/>
                <w:color w:val="auto"/>
                <w:lang w:eastAsia="zh-CN"/>
              </w:rPr>
            </w:pPr>
            <w:r>
              <w:rPr>
                <w:b/>
                <w:color w:val="auto"/>
                <w:lang w:eastAsia="zh-CN"/>
              </w:rPr>
              <w:t>4.1.1施工期大气环境影响分析</w:t>
            </w:r>
          </w:p>
          <w:p w14:paraId="51A79E01">
            <w:pPr>
              <w:pStyle w:val="51"/>
              <w:pageBreakBefore w:val="0"/>
              <w:kinsoku/>
              <w:wordWrap/>
              <w:overflowPunct/>
              <w:topLinePunct w:val="0"/>
              <w:autoSpaceDE/>
              <w:autoSpaceDN/>
              <w:bidi w:val="0"/>
              <w:spacing w:after="0" w:line="360" w:lineRule="auto"/>
              <w:ind w:firstLine="482"/>
              <w:textAlignment w:val="auto"/>
              <w:rPr>
                <w:b/>
                <w:color w:val="auto"/>
                <w:lang w:eastAsia="zh-CN"/>
              </w:rPr>
            </w:pPr>
            <w:r>
              <w:rPr>
                <w:b/>
                <w:color w:val="auto"/>
                <w:lang w:eastAsia="zh-CN"/>
              </w:rPr>
              <w:t>（1）施工扬尘</w:t>
            </w:r>
          </w:p>
          <w:p w14:paraId="55D736AE">
            <w:pPr>
              <w:pStyle w:val="51"/>
              <w:pageBreakBefore w:val="0"/>
              <w:kinsoku/>
              <w:wordWrap/>
              <w:overflowPunct/>
              <w:topLinePunct w:val="0"/>
              <w:autoSpaceDE/>
              <w:autoSpaceDN/>
              <w:bidi w:val="0"/>
              <w:spacing w:after="0" w:line="360" w:lineRule="auto"/>
              <w:ind w:firstLine="480"/>
              <w:textAlignment w:val="auto"/>
              <w:rPr>
                <w:color w:val="auto"/>
                <w:szCs w:val="20"/>
                <w:lang w:eastAsia="zh-CN"/>
              </w:rPr>
            </w:pPr>
            <w:r>
              <w:rPr>
                <w:rFonts w:hint="eastAsia"/>
                <w:color w:val="auto"/>
                <w:szCs w:val="20"/>
                <w:lang w:eastAsia="zh-CN"/>
              </w:rPr>
              <w:t>施工扬尘主要来自土方开挖过程中，如在开挖过程中不采取湿法作业，很可能造成局部区域的扬尘污染。其次为土方、材料堆积过程中如不采取有效的覆盖措施，将产生扬尘污染。施工期间，土石方开挖过程会破坏地表结构，施工阶段地基开挖、回填土方会形成大面积裸露地面，使各种沉降在地表上的气溶胶粒子等成为扬尘的天然来源，在施工过程中极易形成扬尘，施工场地建筑、堆料及运输抛洒等建筑扬尘在施工高峰期会不断增多，也是造成扬尘污染主要原因之一。</w:t>
            </w:r>
          </w:p>
          <w:p w14:paraId="69771CEA">
            <w:pPr>
              <w:pStyle w:val="51"/>
              <w:pageBreakBefore w:val="0"/>
              <w:kinsoku/>
              <w:wordWrap/>
              <w:overflowPunct/>
              <w:topLinePunct w:val="0"/>
              <w:autoSpaceDE/>
              <w:autoSpaceDN/>
              <w:bidi w:val="0"/>
              <w:spacing w:after="0" w:line="360" w:lineRule="auto"/>
              <w:ind w:firstLine="480"/>
              <w:textAlignment w:val="auto"/>
              <w:rPr>
                <w:color w:val="auto"/>
                <w:szCs w:val="20"/>
                <w:lang w:eastAsia="zh-CN"/>
              </w:rPr>
            </w:pPr>
            <w:r>
              <w:rPr>
                <w:rFonts w:hint="eastAsia"/>
                <w:color w:val="auto"/>
                <w:szCs w:val="20"/>
                <w:lang w:eastAsia="zh-CN"/>
              </w:rPr>
              <w:t>施工过程如果环境管理、监理措施不够完善，进行粗放式施工，现场建筑垃圾、渣土不及时清理、覆盖、不洒水降尘，出入场地运输车辆不及时冲洗、无篷布遮盖等，均易产生建筑扬尘，对周围环境空气质量造成影响。一般情况下，施工场地、施工道路在自然风作用下产生的扬尘所影响的范围在100m 以内。</w:t>
            </w:r>
          </w:p>
          <w:p w14:paraId="57E7763D">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color w:val="auto"/>
                <w:kern w:val="0"/>
                <w:sz w:val="24"/>
                <w:szCs w:val="20"/>
              </w:rPr>
              <w:t>施工扬尘产生主要受地面清洁程度、起尘裸露面积及区域风力强度的影响。为尽量减少施工期扬尘对周边敏感点的环境影响，施工期内施工方需要采取防尘措施：</w:t>
            </w:r>
          </w:p>
          <w:p w14:paraId="69ED9A80">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rFonts w:hint="eastAsia" w:ascii="宋体" w:hAnsi="宋体" w:cs="宋体"/>
                <w:color w:val="auto"/>
                <w:kern w:val="0"/>
                <w:sz w:val="24"/>
                <w:szCs w:val="20"/>
              </w:rPr>
              <w:t>①</w:t>
            </w:r>
            <w:r>
              <w:rPr>
                <w:color w:val="auto"/>
                <w:kern w:val="0"/>
                <w:sz w:val="24"/>
                <w:szCs w:val="20"/>
              </w:rPr>
              <w:t>及时清扫场地内散落的废土石方，对施工场地每天进行洒水作业；</w:t>
            </w:r>
          </w:p>
          <w:p w14:paraId="2622EC65">
            <w:pPr>
              <w:pageBreakBefore w:val="0"/>
              <w:kinsoku/>
              <w:wordWrap/>
              <w:overflowPunct/>
              <w:topLinePunct w:val="0"/>
              <w:autoSpaceDE/>
              <w:autoSpaceDN/>
              <w:bidi w:val="0"/>
              <w:spacing w:after="0" w:line="360" w:lineRule="auto"/>
              <w:ind w:firstLine="480" w:firstLineChars="200"/>
              <w:textAlignment w:val="auto"/>
              <w:rPr>
                <w:rFonts w:hint="default" w:eastAsia="宋体"/>
                <w:color w:val="auto"/>
                <w:kern w:val="0"/>
                <w:sz w:val="24"/>
                <w:szCs w:val="20"/>
                <w:lang w:val="en-US" w:eastAsia="zh-CN"/>
              </w:rPr>
            </w:pPr>
            <w:r>
              <w:rPr>
                <w:rFonts w:hint="eastAsia" w:ascii="宋体" w:hAnsi="宋体" w:cs="宋体"/>
                <w:color w:val="auto"/>
                <w:kern w:val="0"/>
                <w:sz w:val="24"/>
                <w:szCs w:val="20"/>
              </w:rPr>
              <w:t>②</w:t>
            </w:r>
            <w:r>
              <w:rPr>
                <w:color w:val="auto"/>
                <w:kern w:val="0"/>
                <w:sz w:val="24"/>
                <w:szCs w:val="20"/>
              </w:rPr>
              <w:t>对开挖的土石方应及时回填，不宜堆积时间过长和堆积过高，因为临时堆积，易被风刮起尘土，施工完成后恢复周边原始土壤植被状况，建筑垃圾及时清运回填处理；</w:t>
            </w:r>
            <w:r>
              <w:rPr>
                <w:rFonts w:hint="eastAsia"/>
                <w:color w:val="auto"/>
                <w:kern w:val="0"/>
                <w:sz w:val="24"/>
                <w:szCs w:val="20"/>
                <w:lang w:val="en-US" w:eastAsia="zh-CN"/>
              </w:rPr>
              <w:t>对于不能及时回填的土石方，采取洒水降尘、覆盖的措施，防止雨水冲刷；</w:t>
            </w:r>
          </w:p>
          <w:p w14:paraId="6A122A5C">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rFonts w:hint="eastAsia"/>
                <w:color w:val="auto"/>
                <w:kern w:val="0"/>
                <w:sz w:val="24"/>
                <w:szCs w:val="20"/>
              </w:rPr>
              <w:t>③</w:t>
            </w:r>
            <w:r>
              <w:rPr>
                <w:color w:val="auto"/>
                <w:kern w:val="0"/>
                <w:sz w:val="24"/>
                <w:szCs w:val="20"/>
              </w:rPr>
              <w:t>施工卡车要求保持完好，装载不宜过满，封闭运输，保证运土过程中不散落，进出场地的车辆进行车轮清洗，可以有效</w:t>
            </w:r>
            <w:r>
              <w:rPr>
                <w:rFonts w:hint="eastAsia"/>
                <w:color w:val="auto"/>
                <w:kern w:val="0"/>
                <w:sz w:val="24"/>
                <w:szCs w:val="20"/>
                <w:lang w:eastAsia="zh-CN"/>
              </w:rPr>
              <w:t>地</w:t>
            </w:r>
            <w:r>
              <w:rPr>
                <w:color w:val="auto"/>
                <w:kern w:val="0"/>
                <w:sz w:val="24"/>
                <w:szCs w:val="20"/>
              </w:rPr>
              <w:t>降低施工场地内因施工引起的扬尘产生量，减轻对周边环境的影响。</w:t>
            </w:r>
          </w:p>
          <w:p w14:paraId="6C44E312">
            <w:pPr>
              <w:pStyle w:val="10"/>
              <w:pageBreakBefore w:val="0"/>
              <w:kinsoku/>
              <w:wordWrap/>
              <w:overflowPunct/>
              <w:topLinePunct w:val="0"/>
              <w:autoSpaceDE/>
              <w:autoSpaceDN/>
              <w:bidi w:val="0"/>
              <w:spacing w:after="0" w:line="360" w:lineRule="auto"/>
              <w:ind w:firstLine="480" w:firstLineChars="200"/>
              <w:textAlignment w:val="auto"/>
              <w:rPr>
                <w:color w:val="auto"/>
              </w:rPr>
            </w:pPr>
            <w:r>
              <w:rPr>
                <w:color w:val="auto"/>
                <w:kern w:val="0"/>
                <w:szCs w:val="20"/>
              </w:rPr>
              <w:t>施</w:t>
            </w:r>
            <w:r>
              <w:rPr>
                <w:color w:val="auto"/>
              </w:rPr>
              <w:t>工期的污染源属暂时的短期影响，随着施工的结束而消失。因此施工扬尘不会对区域居民生活环境造成明显影响。</w:t>
            </w:r>
          </w:p>
          <w:p w14:paraId="7201B0C1">
            <w:pPr>
              <w:pageBreakBefore w:val="0"/>
              <w:tabs>
                <w:tab w:val="left" w:pos="3225"/>
              </w:tabs>
              <w:kinsoku/>
              <w:wordWrap/>
              <w:overflowPunct/>
              <w:topLinePunct w:val="0"/>
              <w:autoSpaceDE/>
              <w:autoSpaceDN/>
              <w:bidi w:val="0"/>
              <w:adjustRightInd w:val="0"/>
              <w:snapToGrid w:val="0"/>
              <w:spacing w:after="0" w:line="360" w:lineRule="auto"/>
              <w:ind w:firstLine="482" w:firstLineChars="200"/>
              <w:textAlignment w:val="auto"/>
              <w:rPr>
                <w:b/>
                <w:bCs/>
                <w:color w:val="auto"/>
                <w:kern w:val="0"/>
                <w:sz w:val="24"/>
                <w:szCs w:val="20"/>
              </w:rPr>
            </w:pPr>
            <w:r>
              <w:rPr>
                <w:b/>
                <w:bCs/>
                <w:color w:val="auto"/>
                <w:kern w:val="0"/>
                <w:sz w:val="24"/>
                <w:szCs w:val="20"/>
              </w:rPr>
              <w:t>（2）</w:t>
            </w:r>
            <w:r>
              <w:rPr>
                <w:rFonts w:hint="eastAsia"/>
                <w:b/>
                <w:bCs/>
                <w:color w:val="auto"/>
                <w:kern w:val="0"/>
                <w:sz w:val="24"/>
                <w:szCs w:val="20"/>
              </w:rPr>
              <w:t>施工机械及运输车辆废气</w:t>
            </w:r>
          </w:p>
          <w:p w14:paraId="491D46F3">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color w:val="auto"/>
                <w:kern w:val="0"/>
                <w:sz w:val="24"/>
                <w:szCs w:val="20"/>
              </w:rPr>
              <w:t>施工使用的各种工程机械主要以柴油为燃料，尾气中主要污染物有CO、NO</w:t>
            </w:r>
            <w:r>
              <w:rPr>
                <w:color w:val="auto"/>
                <w:kern w:val="0"/>
                <w:sz w:val="24"/>
                <w:szCs w:val="20"/>
                <w:vertAlign w:val="subscript"/>
              </w:rPr>
              <w:t>2</w:t>
            </w:r>
            <w:r>
              <w:rPr>
                <w:color w:val="auto"/>
                <w:kern w:val="0"/>
                <w:sz w:val="24"/>
                <w:szCs w:val="20"/>
              </w:rPr>
              <w:t>、</w:t>
            </w:r>
            <w:r>
              <w:rPr>
                <w:rFonts w:hint="eastAsia"/>
                <w:color w:val="auto"/>
                <w:kern w:val="0"/>
                <w:sz w:val="24"/>
                <w:szCs w:val="20"/>
              </w:rPr>
              <w:t>T</w:t>
            </w:r>
            <w:r>
              <w:rPr>
                <w:color w:val="auto"/>
                <w:kern w:val="0"/>
                <w:sz w:val="24"/>
                <w:szCs w:val="20"/>
              </w:rPr>
              <w:t>HC，其产排量与设备和车辆的选型、使用频率、使用燃料种类和用量相关。各种燃油施工设备和运输车辆运行时产生废气呈间歇、不定量、流动、无组织排放，产排量较小，主要对施工作业点周边以及运输道路沿线两侧局部范围大气环境及人群产生一定影响。</w:t>
            </w:r>
          </w:p>
          <w:p w14:paraId="3055BE61">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color w:val="auto"/>
                <w:kern w:val="0"/>
                <w:sz w:val="24"/>
                <w:szCs w:val="20"/>
              </w:rPr>
              <w:t>施工单位必须使用污染物排放符合国家标准的运输车辆和施工设备，同时加强车辆、设备的维护保养，使其处于良好工作状态，严禁使用已淘汰的设备和已报废的车辆，为排气量较大的设备和车辆安装尾气净化器，以减轻尾气对周围环境的影响。</w:t>
            </w:r>
          </w:p>
          <w:p w14:paraId="6E525473">
            <w:pPr>
              <w:pStyle w:val="10"/>
              <w:pageBreakBefore w:val="0"/>
              <w:kinsoku/>
              <w:wordWrap/>
              <w:overflowPunct/>
              <w:topLinePunct w:val="0"/>
              <w:autoSpaceDE/>
              <w:autoSpaceDN/>
              <w:bidi w:val="0"/>
              <w:spacing w:after="0" w:line="360" w:lineRule="auto"/>
              <w:ind w:firstLine="480" w:firstLineChars="200"/>
              <w:textAlignment w:val="auto"/>
              <w:rPr>
                <w:rFonts w:hint="eastAsia"/>
                <w:color w:val="auto"/>
                <w:kern w:val="0"/>
                <w:szCs w:val="20"/>
              </w:rPr>
            </w:pPr>
            <w:r>
              <w:rPr>
                <w:rFonts w:hint="eastAsia"/>
                <w:color w:val="auto"/>
                <w:kern w:val="0"/>
                <w:szCs w:val="20"/>
              </w:rPr>
              <w:t>由于本项目为线性工程，施工机械相对较为分散，加之区域地面开阔，空气扩散条件良好，其尾气排放对周围环境空气的不利影响不大，且项目距离周围村庄等敏感点较远，则周围居民不会受到明显影响。</w:t>
            </w:r>
          </w:p>
          <w:p w14:paraId="46FE2C60">
            <w:pPr>
              <w:pageBreakBefore w:val="0"/>
              <w:tabs>
                <w:tab w:val="left" w:pos="3225"/>
              </w:tabs>
              <w:kinsoku/>
              <w:wordWrap/>
              <w:overflowPunct/>
              <w:topLinePunct w:val="0"/>
              <w:autoSpaceDE/>
              <w:autoSpaceDN/>
              <w:bidi w:val="0"/>
              <w:adjustRightInd w:val="0"/>
              <w:snapToGrid w:val="0"/>
              <w:spacing w:after="0" w:line="360" w:lineRule="auto"/>
              <w:ind w:firstLine="482" w:firstLineChars="200"/>
              <w:textAlignment w:val="auto"/>
              <w:rPr>
                <w:rFonts w:hint="default" w:eastAsia="宋体"/>
                <w:b/>
                <w:bCs/>
                <w:color w:val="auto"/>
                <w:kern w:val="0"/>
                <w:sz w:val="24"/>
                <w:szCs w:val="20"/>
                <w:lang w:val="en-US" w:eastAsia="zh-CN"/>
              </w:rPr>
            </w:pPr>
            <w:r>
              <w:rPr>
                <w:b/>
                <w:bCs/>
                <w:color w:val="auto"/>
                <w:kern w:val="0"/>
                <w:sz w:val="24"/>
                <w:szCs w:val="20"/>
              </w:rPr>
              <w:t>（</w:t>
            </w:r>
            <w:r>
              <w:rPr>
                <w:rFonts w:hint="eastAsia"/>
                <w:b/>
                <w:bCs/>
                <w:color w:val="auto"/>
                <w:kern w:val="0"/>
                <w:sz w:val="24"/>
                <w:szCs w:val="20"/>
                <w:lang w:val="en-US" w:eastAsia="zh-CN"/>
              </w:rPr>
              <w:t>3</w:t>
            </w:r>
            <w:r>
              <w:rPr>
                <w:b/>
                <w:bCs/>
                <w:color w:val="auto"/>
                <w:kern w:val="0"/>
                <w:sz w:val="24"/>
                <w:szCs w:val="20"/>
              </w:rPr>
              <w:t>）</w:t>
            </w:r>
            <w:bookmarkStart w:id="35" w:name="OLE_LINK29"/>
            <w:r>
              <w:rPr>
                <w:rFonts w:hint="eastAsia"/>
                <w:b/>
                <w:bCs/>
                <w:color w:val="auto"/>
                <w:kern w:val="0"/>
                <w:sz w:val="24"/>
                <w:szCs w:val="20"/>
                <w:lang w:val="en-US" w:eastAsia="zh-CN"/>
              </w:rPr>
              <w:t>管廊支架、管道切割废气</w:t>
            </w:r>
            <w:bookmarkEnd w:id="35"/>
          </w:p>
          <w:p w14:paraId="34BCFC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0"/>
                <w:sz w:val="24"/>
                <w:szCs w:val="20"/>
                <w:lang w:val="en-US" w:eastAsia="zh-CN" w:bidi="ar-SA"/>
              </w:rPr>
            </w:pPr>
            <w:r>
              <w:rPr>
                <w:rFonts w:hint="eastAsia"/>
                <w:color w:val="auto"/>
                <w:sz w:val="24"/>
                <w:u w:val="none"/>
              </w:rPr>
              <w:t>管廊支架钢结构</w:t>
            </w:r>
            <w:r>
              <w:rPr>
                <w:rFonts w:hint="eastAsia"/>
                <w:color w:val="auto"/>
                <w:sz w:val="24"/>
                <w:u w:val="none"/>
                <w:lang w:eastAsia="zh-CN"/>
              </w:rPr>
              <w:t>、</w:t>
            </w:r>
            <w:r>
              <w:rPr>
                <w:rFonts w:hint="eastAsia"/>
                <w:color w:val="auto"/>
                <w:sz w:val="24"/>
                <w:u w:val="none"/>
                <w:lang w:val="en-US" w:eastAsia="zh-CN"/>
              </w:rPr>
              <w:t>管道在现场进行少量切割，</w:t>
            </w:r>
            <w:r>
              <w:rPr>
                <w:rFonts w:hint="eastAsia" w:cs="Times New Roman"/>
                <w:color w:val="auto"/>
                <w:kern w:val="0"/>
                <w:sz w:val="24"/>
                <w:szCs w:val="20"/>
                <w:lang w:val="en-US" w:eastAsia="zh-CN" w:bidi="ar-SA"/>
              </w:rPr>
              <w:t>在</w:t>
            </w:r>
            <w:r>
              <w:rPr>
                <w:rFonts w:hint="eastAsia" w:ascii="Times New Roman" w:hAnsi="Times New Roman" w:eastAsia="宋体" w:cs="Times New Roman"/>
                <w:color w:val="auto"/>
                <w:kern w:val="0"/>
                <w:sz w:val="24"/>
                <w:szCs w:val="20"/>
                <w:lang w:val="en-US" w:eastAsia="zh-CN" w:bidi="ar-SA"/>
              </w:rPr>
              <w:t>切割过程会产生少量切割粉尘，由于施工现场位于室外，有利于空气扩散，切割工序具有短期性和流动性的特点，因此，对局部地区的环境影响较</w:t>
            </w:r>
            <w:r>
              <w:rPr>
                <w:rFonts w:hint="eastAsia" w:cs="Times New Roman"/>
                <w:color w:val="auto"/>
                <w:kern w:val="0"/>
                <w:sz w:val="24"/>
                <w:szCs w:val="20"/>
                <w:lang w:val="en-US" w:eastAsia="zh-CN" w:bidi="ar-SA"/>
              </w:rPr>
              <w:t>小</w:t>
            </w:r>
            <w:r>
              <w:rPr>
                <w:rFonts w:hint="eastAsia" w:ascii="Times New Roman" w:hAnsi="Times New Roman" w:eastAsia="宋体" w:cs="Times New Roman"/>
                <w:color w:val="auto"/>
                <w:kern w:val="0"/>
                <w:sz w:val="24"/>
                <w:szCs w:val="20"/>
                <w:lang w:val="en-US" w:eastAsia="zh-CN" w:bidi="ar-SA"/>
              </w:rPr>
              <w:t>。</w:t>
            </w:r>
          </w:p>
          <w:p w14:paraId="32646883">
            <w:pPr>
              <w:pStyle w:val="4"/>
              <w:pageBreakBefore w:val="0"/>
              <w:kinsoku/>
              <w:wordWrap/>
              <w:overflowPunct/>
              <w:topLinePunct w:val="0"/>
              <w:autoSpaceDE/>
              <w:autoSpaceDN/>
              <w:bidi w:val="0"/>
              <w:spacing w:before="0" w:after="0" w:line="360" w:lineRule="auto"/>
              <w:ind w:firstLine="482" w:firstLineChars="200"/>
              <w:textAlignment w:val="auto"/>
              <w:rPr>
                <w:color w:val="auto"/>
                <w:kern w:val="0"/>
                <w:sz w:val="24"/>
                <w:szCs w:val="20"/>
              </w:rPr>
            </w:pPr>
            <w:r>
              <w:rPr>
                <w:color w:val="auto"/>
                <w:kern w:val="0"/>
                <w:sz w:val="24"/>
                <w:szCs w:val="20"/>
              </w:rPr>
              <w:t>（</w:t>
            </w:r>
            <w:r>
              <w:rPr>
                <w:rFonts w:hint="eastAsia"/>
                <w:color w:val="auto"/>
                <w:kern w:val="0"/>
                <w:sz w:val="24"/>
                <w:szCs w:val="20"/>
                <w:lang w:val="en-US" w:eastAsia="zh-CN"/>
              </w:rPr>
              <w:t>4</w:t>
            </w:r>
            <w:r>
              <w:rPr>
                <w:color w:val="auto"/>
                <w:kern w:val="0"/>
                <w:sz w:val="24"/>
                <w:szCs w:val="20"/>
              </w:rPr>
              <w:t>）</w:t>
            </w:r>
            <w:r>
              <w:rPr>
                <w:rFonts w:hint="eastAsia"/>
                <w:color w:val="auto"/>
                <w:kern w:val="0"/>
                <w:sz w:val="24"/>
                <w:szCs w:val="20"/>
              </w:rPr>
              <w:t>焊接烟尘</w:t>
            </w:r>
          </w:p>
          <w:p w14:paraId="046349B7">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rFonts w:hint="eastAsia"/>
                <w:color w:val="auto"/>
                <w:kern w:val="0"/>
                <w:sz w:val="24"/>
                <w:szCs w:val="20"/>
              </w:rPr>
              <w:t>本项目在管廊支架、管道连接时需焊接，产生焊接烟尘，属于间断的无组织排放，烟尘产生部位分散在管道沿线，且产生量小，根据建设单位提供的资料，本项目焊条及焊丝合计使用量约为100kg。烟尘的产生量与人员操作熟练程度、焊条材料有关，参照《机加工行业环境影响评价中常见污染物源强估算及污染治理》（许海萍等，湖北大学学报，2010，32（3）344-348），手工电弧焊的低氢型焊条在施焊时的发尘量为11~16g/kg，按16g/kg计算，本工程估算焊接烟尘产生量约为0.0016t。</w:t>
            </w:r>
          </w:p>
          <w:p w14:paraId="57C78581">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rFonts w:hint="eastAsia"/>
                <w:color w:val="auto"/>
                <w:kern w:val="0"/>
                <w:sz w:val="24"/>
                <w:szCs w:val="20"/>
              </w:rPr>
              <w:t>焊接烟尘影响范围集中在施工作业带两侧区域，项目焊接均在野外露天施工，难以采用收集装置对焊接烟尘进行收集，但焊接操作时间短，烟尘产生量小，位置分散，环境开阔，有利于焊接烟尘的扩散，对环境空气的影响不大。并且，焊接烟尘对周围环境空气的影响将随着焊接的结束而消失，施工期间的焊接烟尘属于短期影响。</w:t>
            </w:r>
          </w:p>
          <w:p w14:paraId="2EAD20FE">
            <w:pPr>
              <w:pStyle w:val="4"/>
              <w:pageBreakBefore w:val="0"/>
              <w:kinsoku/>
              <w:wordWrap/>
              <w:overflowPunct/>
              <w:topLinePunct w:val="0"/>
              <w:autoSpaceDE/>
              <w:autoSpaceDN/>
              <w:bidi w:val="0"/>
              <w:spacing w:before="0" w:after="0" w:line="360" w:lineRule="auto"/>
              <w:ind w:firstLine="482" w:firstLineChars="200"/>
              <w:textAlignment w:val="auto"/>
              <w:rPr>
                <w:color w:val="auto"/>
                <w:kern w:val="0"/>
                <w:sz w:val="24"/>
                <w:szCs w:val="20"/>
              </w:rPr>
            </w:pPr>
            <w:r>
              <w:rPr>
                <w:color w:val="auto"/>
                <w:kern w:val="0"/>
                <w:sz w:val="24"/>
                <w:szCs w:val="20"/>
              </w:rPr>
              <w:t>（</w:t>
            </w:r>
            <w:r>
              <w:rPr>
                <w:rFonts w:hint="eastAsia"/>
                <w:color w:val="auto"/>
                <w:kern w:val="0"/>
                <w:sz w:val="24"/>
                <w:szCs w:val="20"/>
                <w:lang w:val="en-US" w:eastAsia="zh-CN"/>
              </w:rPr>
              <w:t>5</w:t>
            </w:r>
            <w:r>
              <w:rPr>
                <w:color w:val="auto"/>
                <w:kern w:val="0"/>
                <w:sz w:val="24"/>
                <w:szCs w:val="20"/>
              </w:rPr>
              <w:t>）</w:t>
            </w:r>
            <w:r>
              <w:rPr>
                <w:rFonts w:hint="eastAsia"/>
                <w:color w:val="auto"/>
                <w:kern w:val="0"/>
                <w:sz w:val="24"/>
                <w:szCs w:val="20"/>
              </w:rPr>
              <w:t>防腐</w:t>
            </w:r>
            <w:r>
              <w:rPr>
                <w:rFonts w:hint="eastAsia"/>
                <w:color w:val="auto"/>
                <w:kern w:val="0"/>
                <w:sz w:val="24"/>
                <w:szCs w:val="20"/>
                <w:lang w:val="en-US" w:eastAsia="zh-CN"/>
              </w:rPr>
              <w:t>涂漆</w:t>
            </w:r>
            <w:r>
              <w:rPr>
                <w:rFonts w:hint="eastAsia"/>
                <w:color w:val="auto"/>
                <w:kern w:val="0"/>
                <w:sz w:val="24"/>
                <w:szCs w:val="20"/>
              </w:rPr>
              <w:t>作业废气影响分析</w:t>
            </w:r>
          </w:p>
          <w:p w14:paraId="453722EA">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rFonts w:hint="eastAsia"/>
                <w:color w:val="auto"/>
                <w:kern w:val="0"/>
                <w:sz w:val="24"/>
                <w:szCs w:val="20"/>
              </w:rPr>
              <w:t>项目使用的管道在出厂前已经完成管道防腐，施工现场只需对管口焊接部分进行防腐，防腐工程量小，防腐作业废气主要为管</w:t>
            </w:r>
            <w:r>
              <w:rPr>
                <w:rFonts w:hint="eastAsia"/>
                <w:color w:val="auto"/>
                <w:kern w:val="0"/>
                <w:sz w:val="24"/>
                <w:szCs w:val="20"/>
                <w:lang w:eastAsia="zh-CN"/>
              </w:rPr>
              <w:t>口</w:t>
            </w:r>
            <w:r>
              <w:rPr>
                <w:rFonts w:hint="eastAsia"/>
                <w:color w:val="auto"/>
                <w:kern w:val="0"/>
                <w:sz w:val="24"/>
                <w:szCs w:val="20"/>
              </w:rPr>
              <w:t>涂刷防腐材料时会产生有机废气。管廊钢构出厂前已完成防腐喷漆，现场只对焊接接口部分进行防腐喷漆，过程会产生有机废气，但防腐工作量小，其产生的废气量也较小</w:t>
            </w:r>
            <w:r>
              <w:rPr>
                <w:rFonts w:hint="eastAsia"/>
                <w:color w:val="auto"/>
                <w:kern w:val="0"/>
                <w:sz w:val="24"/>
                <w:szCs w:val="20"/>
                <w:lang w:eastAsia="zh-CN"/>
              </w:rPr>
              <w:t>，</w:t>
            </w:r>
            <w:r>
              <w:rPr>
                <w:rFonts w:hint="eastAsia"/>
                <w:color w:val="auto"/>
                <w:kern w:val="0"/>
                <w:sz w:val="24"/>
                <w:szCs w:val="20"/>
                <w:lang w:val="en-US" w:eastAsia="zh-CN"/>
              </w:rPr>
              <w:t>建议施工单位优先使用水性环保油漆，可进一步减少防腐涂漆作业废气对环境的影响</w:t>
            </w:r>
            <w:r>
              <w:rPr>
                <w:rFonts w:hint="eastAsia"/>
                <w:color w:val="auto"/>
                <w:kern w:val="0"/>
                <w:sz w:val="24"/>
                <w:szCs w:val="20"/>
              </w:rPr>
              <w:t>。</w:t>
            </w:r>
          </w:p>
          <w:p w14:paraId="4C63A029">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rFonts w:hint="eastAsia"/>
                <w:color w:val="auto"/>
                <w:kern w:val="0"/>
                <w:sz w:val="24"/>
                <w:szCs w:val="20"/>
              </w:rPr>
              <w:t>本项目为线性工程，施工点分散，区域扩散条件良好，并且，废气对周围环境空气的影响将随着防腐作业的结束而消失，因此，项目防腐作业废气对大气环境的影响较小。</w:t>
            </w:r>
          </w:p>
          <w:p w14:paraId="74B683E4">
            <w:pPr>
              <w:pStyle w:val="4"/>
              <w:pageBreakBefore w:val="0"/>
              <w:kinsoku/>
              <w:wordWrap/>
              <w:overflowPunct/>
              <w:topLinePunct w:val="0"/>
              <w:autoSpaceDE/>
              <w:autoSpaceDN/>
              <w:bidi w:val="0"/>
              <w:spacing w:before="0" w:after="0" w:line="360" w:lineRule="auto"/>
              <w:ind w:firstLine="482" w:firstLineChars="200"/>
              <w:textAlignment w:val="auto"/>
              <w:rPr>
                <w:color w:val="auto"/>
                <w:kern w:val="0"/>
                <w:sz w:val="24"/>
                <w:szCs w:val="20"/>
              </w:rPr>
            </w:pPr>
            <w:r>
              <w:rPr>
                <w:color w:val="auto"/>
                <w:kern w:val="0"/>
                <w:sz w:val="24"/>
                <w:szCs w:val="20"/>
              </w:rPr>
              <w:t>（</w:t>
            </w:r>
            <w:r>
              <w:rPr>
                <w:rFonts w:hint="eastAsia"/>
                <w:color w:val="auto"/>
                <w:kern w:val="0"/>
                <w:sz w:val="24"/>
                <w:szCs w:val="20"/>
                <w:lang w:val="en-US" w:eastAsia="zh-CN"/>
              </w:rPr>
              <w:t>6</w:t>
            </w:r>
            <w:r>
              <w:rPr>
                <w:color w:val="auto"/>
                <w:kern w:val="0"/>
                <w:sz w:val="24"/>
                <w:szCs w:val="20"/>
              </w:rPr>
              <w:t>）</w:t>
            </w:r>
            <w:r>
              <w:rPr>
                <w:rFonts w:hint="eastAsia"/>
                <w:color w:val="auto"/>
                <w:kern w:val="0"/>
                <w:sz w:val="24"/>
                <w:szCs w:val="20"/>
              </w:rPr>
              <w:t>旧管道物料放空废气</w:t>
            </w:r>
          </w:p>
          <w:p w14:paraId="55360230">
            <w:pPr>
              <w:pageBreakBefore w:val="0"/>
              <w:kinsoku/>
              <w:wordWrap/>
              <w:overflowPunct/>
              <w:topLinePunct w:val="0"/>
              <w:autoSpaceDE/>
              <w:autoSpaceDN/>
              <w:bidi w:val="0"/>
              <w:spacing w:after="0" w:line="360" w:lineRule="auto"/>
              <w:ind w:firstLine="480" w:firstLineChars="200"/>
              <w:textAlignment w:val="auto"/>
              <w:rPr>
                <w:color w:val="auto"/>
                <w:kern w:val="0"/>
                <w:sz w:val="24"/>
                <w:szCs w:val="20"/>
              </w:rPr>
            </w:pPr>
            <w:r>
              <w:rPr>
                <w:rFonts w:hint="eastAsia"/>
                <w:color w:val="auto"/>
                <w:kern w:val="0"/>
                <w:sz w:val="24"/>
                <w:szCs w:val="20"/>
              </w:rPr>
              <w:t>根据项目施工方案，火炬气旧管道和燃料旧管道在拆除前，采用压缩空气对管道进行吹扫，由泰兴石化厂端吹入压缩空气，将管内残存的火炬气和燃料气吹入火炬进行焚烧。每根管道吹扫3~4次后，再进行切割，经吹扫后旧管道内残存的火炬气和燃料气量很少，经切割口无组织排放，对大气环境影响很小。</w:t>
            </w:r>
          </w:p>
          <w:p w14:paraId="2E79E3E9">
            <w:pPr>
              <w:pStyle w:val="4"/>
              <w:pageBreakBefore w:val="0"/>
              <w:kinsoku/>
              <w:wordWrap/>
              <w:overflowPunct/>
              <w:topLinePunct w:val="0"/>
              <w:autoSpaceDE/>
              <w:autoSpaceDN/>
              <w:bidi w:val="0"/>
              <w:spacing w:before="0" w:after="0" w:line="360" w:lineRule="auto"/>
              <w:ind w:firstLine="482" w:firstLineChars="200"/>
              <w:textAlignment w:val="auto"/>
              <w:rPr>
                <w:color w:val="auto"/>
                <w:kern w:val="0"/>
                <w:sz w:val="24"/>
                <w:szCs w:val="20"/>
              </w:rPr>
            </w:pPr>
            <w:r>
              <w:rPr>
                <w:color w:val="auto"/>
                <w:kern w:val="0"/>
                <w:sz w:val="24"/>
                <w:szCs w:val="20"/>
              </w:rPr>
              <w:t>（</w:t>
            </w:r>
            <w:r>
              <w:rPr>
                <w:rFonts w:hint="eastAsia"/>
                <w:color w:val="auto"/>
                <w:kern w:val="0"/>
                <w:sz w:val="24"/>
                <w:szCs w:val="20"/>
                <w:lang w:val="en-US" w:eastAsia="zh-CN"/>
              </w:rPr>
              <w:t>7</w:t>
            </w:r>
            <w:r>
              <w:rPr>
                <w:color w:val="auto"/>
                <w:kern w:val="0"/>
                <w:sz w:val="24"/>
                <w:szCs w:val="20"/>
              </w:rPr>
              <w:t>）</w:t>
            </w:r>
            <w:r>
              <w:rPr>
                <w:rFonts w:hint="eastAsia"/>
                <w:color w:val="auto"/>
                <w:kern w:val="0"/>
                <w:sz w:val="24"/>
                <w:szCs w:val="20"/>
              </w:rPr>
              <w:t>旧管廊管道切割废气</w:t>
            </w:r>
          </w:p>
          <w:p w14:paraId="7DA4F930">
            <w:pPr>
              <w:pStyle w:val="4"/>
              <w:pageBreakBefore w:val="0"/>
              <w:kinsoku/>
              <w:wordWrap/>
              <w:overflowPunct/>
              <w:topLinePunct w:val="0"/>
              <w:autoSpaceDE/>
              <w:autoSpaceDN/>
              <w:bidi w:val="0"/>
              <w:spacing w:before="0" w:after="0" w:line="360" w:lineRule="auto"/>
              <w:ind w:firstLine="480" w:firstLineChars="200"/>
              <w:textAlignment w:val="auto"/>
              <w:rPr>
                <w:rFonts w:ascii="Times New Roman" w:hAnsi="Times New Roman" w:eastAsia="宋体" w:cs="Times New Roman"/>
                <w:b w:val="0"/>
                <w:bCs w:val="0"/>
                <w:color w:val="auto"/>
                <w:kern w:val="0"/>
                <w:sz w:val="24"/>
                <w:szCs w:val="20"/>
              </w:rPr>
            </w:pPr>
            <w:r>
              <w:rPr>
                <w:rFonts w:hint="eastAsia" w:ascii="Times New Roman" w:hAnsi="Times New Roman" w:eastAsia="宋体" w:cs="Times New Roman"/>
                <w:b w:val="0"/>
                <w:bCs w:val="0"/>
                <w:color w:val="auto"/>
                <w:kern w:val="0"/>
                <w:sz w:val="24"/>
                <w:szCs w:val="20"/>
              </w:rPr>
              <w:t>旧管廊管道切割过程会产生少量切割粉尘，由于施工现场位于室外，有利于空气扩散，且就管道切割工序具有短期性和流动性的特点，因此，对局部地区的环境影响较轻。</w:t>
            </w:r>
          </w:p>
          <w:p w14:paraId="4D505EAF">
            <w:pPr>
              <w:pStyle w:val="4"/>
              <w:pageBreakBefore w:val="0"/>
              <w:kinsoku/>
              <w:wordWrap/>
              <w:overflowPunct/>
              <w:topLinePunct w:val="0"/>
              <w:autoSpaceDE/>
              <w:autoSpaceDN/>
              <w:bidi w:val="0"/>
              <w:spacing w:before="0" w:after="0" w:line="360" w:lineRule="auto"/>
              <w:ind w:firstLine="482" w:firstLineChars="200"/>
              <w:textAlignment w:val="auto"/>
              <w:rPr>
                <w:color w:val="auto"/>
                <w:kern w:val="0"/>
                <w:sz w:val="24"/>
                <w:szCs w:val="20"/>
              </w:rPr>
            </w:pPr>
            <w:r>
              <w:rPr>
                <w:color w:val="auto"/>
                <w:kern w:val="0"/>
                <w:sz w:val="24"/>
                <w:szCs w:val="20"/>
              </w:rPr>
              <w:t>（</w:t>
            </w:r>
            <w:r>
              <w:rPr>
                <w:rFonts w:hint="eastAsia"/>
                <w:color w:val="auto"/>
                <w:kern w:val="0"/>
                <w:sz w:val="24"/>
                <w:szCs w:val="20"/>
                <w:lang w:val="en-US" w:eastAsia="zh-CN"/>
              </w:rPr>
              <w:t>8</w:t>
            </w:r>
            <w:r>
              <w:rPr>
                <w:color w:val="auto"/>
                <w:kern w:val="0"/>
                <w:sz w:val="24"/>
                <w:szCs w:val="20"/>
              </w:rPr>
              <w:t>） 管道吹扫废气</w:t>
            </w:r>
          </w:p>
          <w:p w14:paraId="5DDC7E0B">
            <w:pPr>
              <w:pStyle w:val="4"/>
              <w:pageBreakBefore w:val="0"/>
              <w:kinsoku/>
              <w:wordWrap/>
              <w:overflowPunct/>
              <w:topLinePunct w:val="0"/>
              <w:autoSpaceDE/>
              <w:autoSpaceDN/>
              <w:bidi w:val="0"/>
              <w:spacing w:before="0" w:after="0" w:line="360" w:lineRule="auto"/>
              <w:ind w:firstLine="480" w:firstLineChars="200"/>
              <w:textAlignment w:val="auto"/>
              <w:rPr>
                <w:b w:val="0"/>
                <w:bCs w:val="0"/>
                <w:color w:val="auto"/>
                <w:kern w:val="0"/>
                <w:sz w:val="24"/>
                <w:szCs w:val="20"/>
              </w:rPr>
            </w:pPr>
            <w:r>
              <w:rPr>
                <w:rFonts w:hint="eastAsia"/>
                <w:b w:val="0"/>
                <w:bCs w:val="0"/>
                <w:color w:val="auto"/>
                <w:kern w:val="0"/>
                <w:sz w:val="24"/>
                <w:szCs w:val="20"/>
              </w:rPr>
              <w:t>新建</w:t>
            </w:r>
            <w:r>
              <w:rPr>
                <w:b w:val="0"/>
                <w:bCs w:val="0"/>
                <w:color w:val="auto"/>
                <w:kern w:val="0"/>
                <w:sz w:val="24"/>
                <w:szCs w:val="20"/>
              </w:rPr>
              <w:t>管道</w:t>
            </w:r>
            <w:r>
              <w:rPr>
                <w:rFonts w:hint="eastAsia"/>
                <w:b w:val="0"/>
                <w:bCs w:val="0"/>
                <w:color w:val="auto"/>
                <w:kern w:val="0"/>
                <w:sz w:val="24"/>
                <w:szCs w:val="20"/>
              </w:rPr>
              <w:t>连接好后，通入空气吹扫，</w:t>
            </w:r>
            <w:r>
              <w:rPr>
                <w:b w:val="0"/>
                <w:bCs w:val="0"/>
                <w:color w:val="auto"/>
                <w:kern w:val="0"/>
                <w:sz w:val="24"/>
                <w:szCs w:val="20"/>
              </w:rPr>
              <w:t>吹扫的</w:t>
            </w:r>
            <w:r>
              <w:rPr>
                <w:rFonts w:hint="eastAsia"/>
                <w:b w:val="0"/>
                <w:bCs w:val="0"/>
                <w:color w:val="auto"/>
                <w:kern w:val="0"/>
                <w:sz w:val="24"/>
                <w:szCs w:val="20"/>
              </w:rPr>
              <w:t>废气含有少量的颗粒物，以无组织形式排放到空气中，对大气环境影响较小</w:t>
            </w:r>
            <w:r>
              <w:rPr>
                <w:b w:val="0"/>
                <w:bCs w:val="0"/>
                <w:color w:val="auto"/>
                <w:kern w:val="0"/>
                <w:sz w:val="24"/>
                <w:szCs w:val="20"/>
              </w:rPr>
              <w:t>。</w:t>
            </w:r>
          </w:p>
          <w:p w14:paraId="7F1DC3EE">
            <w:pPr>
              <w:keepNext w:val="0"/>
              <w:keepLines w:val="0"/>
              <w:pageBreakBefore w:val="0"/>
              <w:kinsoku/>
              <w:wordWrap/>
              <w:overflowPunct/>
              <w:autoSpaceDE/>
              <w:autoSpaceDN/>
              <w:bidi w:val="0"/>
              <w:adjustRightInd w:val="0"/>
              <w:snapToGrid w:val="0"/>
              <w:spacing w:after="0" w:line="360" w:lineRule="auto"/>
              <w:ind w:firstLine="562" w:firstLineChars="200"/>
              <w:textAlignment w:val="auto"/>
              <w:outlineLvl w:val="2"/>
              <w:rPr>
                <w:b/>
                <w:bCs/>
                <w:color w:val="auto"/>
                <w:sz w:val="28"/>
                <w:szCs w:val="28"/>
              </w:rPr>
            </w:pPr>
            <w:r>
              <w:rPr>
                <w:b/>
                <w:bCs/>
                <w:color w:val="auto"/>
                <w:sz w:val="28"/>
                <w:szCs w:val="28"/>
              </w:rPr>
              <w:t>4.1.2施工期水环境保护措施</w:t>
            </w:r>
          </w:p>
          <w:p w14:paraId="6C7B6CE3">
            <w:pPr>
              <w:pStyle w:val="51"/>
              <w:keepNext w:val="0"/>
              <w:keepLines w:val="0"/>
              <w:pageBreakBefore w:val="0"/>
              <w:kinsoku/>
              <w:wordWrap/>
              <w:overflowPunct/>
              <w:autoSpaceDE/>
              <w:autoSpaceDN/>
              <w:bidi w:val="0"/>
              <w:spacing w:after="0" w:line="360" w:lineRule="auto"/>
              <w:ind w:firstLine="482"/>
              <w:textAlignment w:val="auto"/>
              <w:rPr>
                <w:b/>
                <w:color w:val="auto"/>
                <w:lang w:eastAsia="zh-CN"/>
              </w:rPr>
            </w:pPr>
            <w:r>
              <w:rPr>
                <w:b/>
                <w:color w:val="auto"/>
                <w:lang w:eastAsia="zh-CN"/>
              </w:rPr>
              <w:t>（1）施工废水</w:t>
            </w:r>
          </w:p>
          <w:p w14:paraId="58E4F6B8">
            <w:pPr>
              <w:keepNext w:val="0"/>
              <w:keepLines w:val="0"/>
              <w:pageBreakBefore w:val="0"/>
              <w:kinsoku/>
              <w:wordWrap/>
              <w:overflowPunct/>
              <w:autoSpaceDE/>
              <w:autoSpaceDN/>
              <w:bidi w:val="0"/>
              <w:spacing w:after="0" w:line="360" w:lineRule="auto"/>
              <w:ind w:firstLine="480" w:firstLineChars="200"/>
              <w:textAlignment w:val="auto"/>
              <w:rPr>
                <w:color w:val="auto"/>
                <w:kern w:val="0"/>
                <w:sz w:val="24"/>
                <w:szCs w:val="20"/>
              </w:rPr>
            </w:pPr>
            <w:r>
              <w:rPr>
                <w:rFonts w:hint="eastAsia"/>
                <w:color w:val="auto"/>
                <w:kern w:val="0"/>
                <w:sz w:val="24"/>
                <w:szCs w:val="20"/>
              </w:rPr>
              <w:t>①施工过程废水</w:t>
            </w:r>
          </w:p>
          <w:p w14:paraId="1EC794D8">
            <w:pPr>
              <w:keepNext w:val="0"/>
              <w:keepLines w:val="0"/>
              <w:pageBreakBefore w:val="0"/>
              <w:kinsoku/>
              <w:wordWrap/>
              <w:overflowPunct/>
              <w:autoSpaceDE/>
              <w:autoSpaceDN/>
              <w:bidi w:val="0"/>
              <w:spacing w:after="0" w:line="360" w:lineRule="auto"/>
              <w:ind w:firstLine="480" w:firstLineChars="200"/>
              <w:textAlignment w:val="auto"/>
              <w:rPr>
                <w:color w:val="auto"/>
                <w:kern w:val="0"/>
                <w:sz w:val="24"/>
                <w:szCs w:val="20"/>
                <w:highlight w:val="none"/>
              </w:rPr>
            </w:pPr>
            <w:r>
              <w:rPr>
                <w:rFonts w:hint="eastAsia"/>
                <w:color w:val="auto"/>
                <w:kern w:val="0"/>
                <w:sz w:val="24"/>
                <w:szCs w:val="20"/>
              </w:rPr>
              <w:t>项目施工期产生的废水污染源主要为钢铁支架、管道及建筑垃圾运输车辆进出场地进行的轮胎清洗废水，废水中主要污染物为SS。同时雨天情况下产生的场地汇流雨水，其主要污染物也是SS。由于项目运输车辆较少，产生的轮胎清洗废水量较小，项目场地面积不大，雨天产生的场地汇流水量也不大，根据同类型项目施工经验，施工过程废水量约为1m³/d。施工单位应在场地内设置沉淀池，对轮胎清洗废水和场地汇流进行沉淀处理，并在进水口设置拦截网，拦截大的块状物及泥沙后回用作洗车、降尘等用水，不外排</w:t>
            </w:r>
            <w:r>
              <w:rPr>
                <w:color w:val="auto"/>
                <w:kern w:val="0"/>
                <w:sz w:val="24"/>
                <w:szCs w:val="20"/>
                <w:highlight w:val="none"/>
              </w:rPr>
              <w:t>。</w:t>
            </w:r>
          </w:p>
          <w:p w14:paraId="7494D397">
            <w:pPr>
              <w:keepNext w:val="0"/>
              <w:keepLines w:val="0"/>
              <w:pageBreakBefore w:val="0"/>
              <w:kinsoku/>
              <w:wordWrap/>
              <w:overflowPunct/>
              <w:autoSpaceDE/>
              <w:autoSpaceDN/>
              <w:bidi w:val="0"/>
              <w:spacing w:after="0" w:line="360" w:lineRule="auto"/>
              <w:ind w:firstLine="480" w:firstLineChars="200"/>
              <w:textAlignment w:val="auto"/>
              <w:rPr>
                <w:color w:val="auto"/>
                <w:kern w:val="0"/>
                <w:sz w:val="24"/>
                <w:szCs w:val="20"/>
              </w:rPr>
            </w:pPr>
            <w:r>
              <w:rPr>
                <w:rFonts w:hint="eastAsia"/>
                <w:color w:val="auto"/>
                <w:kern w:val="0"/>
                <w:sz w:val="24"/>
                <w:szCs w:val="20"/>
              </w:rPr>
              <w:t>②</w:t>
            </w:r>
            <w:r>
              <w:rPr>
                <w:rFonts w:hint="eastAsia"/>
                <w:color w:val="auto"/>
                <w:kern w:val="0"/>
                <w:sz w:val="24"/>
                <w:szCs w:val="20"/>
                <w:lang w:val="en-US" w:eastAsia="zh-CN"/>
              </w:rPr>
              <w:t>新管道</w:t>
            </w:r>
            <w:r>
              <w:rPr>
                <w:rFonts w:hint="eastAsia"/>
                <w:color w:val="auto"/>
                <w:kern w:val="0"/>
                <w:sz w:val="24"/>
                <w:szCs w:val="20"/>
              </w:rPr>
              <w:t>清管和试压排放废水</w:t>
            </w:r>
          </w:p>
          <w:p w14:paraId="635FEADD">
            <w:pPr>
              <w:pStyle w:val="10"/>
              <w:keepNext w:val="0"/>
              <w:keepLines w:val="0"/>
              <w:pageBreakBefore w:val="0"/>
              <w:kinsoku/>
              <w:wordWrap/>
              <w:overflowPunct/>
              <w:autoSpaceDE/>
              <w:autoSpaceDN/>
              <w:bidi w:val="0"/>
              <w:spacing w:after="0" w:line="360" w:lineRule="auto"/>
              <w:ind w:firstLine="480" w:firstLineChars="200"/>
              <w:textAlignment w:val="auto"/>
              <w:rPr>
                <w:color w:val="auto"/>
                <w:kern w:val="0"/>
                <w:szCs w:val="20"/>
              </w:rPr>
            </w:pPr>
            <w:r>
              <w:rPr>
                <w:rFonts w:hint="eastAsia"/>
                <w:color w:val="auto"/>
                <w:kern w:val="0"/>
                <w:szCs w:val="20"/>
              </w:rPr>
              <w:t>根据实际施工经验，清管和试压为分段进行，用水量一般为充满整个管道容积的1.2倍，为了避免浪费，部分水可重复利用（约达50%）</w:t>
            </w:r>
            <w:r>
              <w:rPr>
                <w:rFonts w:hint="eastAsia"/>
                <w:color w:val="auto"/>
                <w:kern w:val="0"/>
                <w:szCs w:val="20"/>
                <w:lang w:eastAsia="zh-CN"/>
              </w:rPr>
              <w:t>，</w:t>
            </w:r>
            <w:r>
              <w:rPr>
                <w:rFonts w:hint="eastAsia"/>
                <w:color w:val="auto"/>
                <w:kern w:val="0"/>
                <w:szCs w:val="20"/>
                <w:lang w:val="en-US" w:eastAsia="zh-CN"/>
              </w:rPr>
              <w:t>迁改的6根管道总体积约23m³，清洗和试压用水量约27.6m³，产生的废水量约13.8m³</w:t>
            </w:r>
            <w:r>
              <w:rPr>
                <w:rFonts w:hint="eastAsia"/>
                <w:color w:val="auto"/>
                <w:kern w:val="0"/>
                <w:szCs w:val="20"/>
              </w:rPr>
              <w:t>。废水中除含少量铁锈、焊渣和泥沙外，基本不</w:t>
            </w:r>
            <w:r>
              <w:rPr>
                <w:rFonts w:hint="eastAsia"/>
                <w:color w:val="auto"/>
                <w:kern w:val="0"/>
                <w:szCs w:val="20"/>
                <w:lang w:eastAsia="zh-CN"/>
              </w:rPr>
              <w:t>含其他</w:t>
            </w:r>
            <w:r>
              <w:rPr>
                <w:rFonts w:hint="eastAsia"/>
                <w:color w:val="auto"/>
                <w:kern w:val="0"/>
                <w:szCs w:val="20"/>
              </w:rPr>
              <w:t>污染物。</w:t>
            </w:r>
            <w:r>
              <w:rPr>
                <w:rFonts w:hint="eastAsia"/>
                <w:color w:val="auto"/>
                <w:kern w:val="0"/>
                <w:szCs w:val="20"/>
                <w:lang w:val="en-US" w:eastAsia="zh-CN"/>
              </w:rPr>
              <w:t>新管道</w:t>
            </w:r>
            <w:r>
              <w:rPr>
                <w:rFonts w:hint="eastAsia"/>
                <w:color w:val="auto"/>
                <w:kern w:val="0"/>
                <w:szCs w:val="20"/>
              </w:rPr>
              <w:t>清管、试压后排放废水中的污染物主要是悬浮物</w:t>
            </w:r>
            <w:r>
              <w:rPr>
                <w:rFonts w:hint="eastAsia"/>
                <w:color w:val="auto"/>
                <w:kern w:val="0"/>
                <w:szCs w:val="20"/>
                <w:lang w:eastAsia="zh-CN"/>
              </w:rPr>
              <w:t>，</w:t>
            </w:r>
            <w:r>
              <w:rPr>
                <w:rFonts w:hint="eastAsia"/>
                <w:color w:val="auto"/>
                <w:kern w:val="0"/>
                <w:szCs w:val="20"/>
                <w:lang w:val="en-US" w:eastAsia="zh-CN"/>
              </w:rPr>
              <w:t>收集沉淀后用于洒水降尘，多余水量</w:t>
            </w:r>
            <w:bookmarkStart w:id="36" w:name="OLE_LINK31"/>
            <w:r>
              <w:rPr>
                <w:rFonts w:hint="eastAsia"/>
                <w:color w:val="auto"/>
                <w:kern w:val="0"/>
                <w:szCs w:val="20"/>
                <w:lang w:val="en-US" w:eastAsia="zh-CN"/>
              </w:rPr>
              <w:t>通过罐车运至泰兴石化污水收集系统处理</w:t>
            </w:r>
            <w:bookmarkEnd w:id="36"/>
            <w:r>
              <w:rPr>
                <w:rFonts w:hint="eastAsia"/>
                <w:color w:val="auto"/>
                <w:kern w:val="0"/>
                <w:szCs w:val="20"/>
              </w:rPr>
              <w:t>。</w:t>
            </w:r>
          </w:p>
          <w:p w14:paraId="65DAF333">
            <w:pPr>
              <w:keepNext w:val="0"/>
              <w:keepLines w:val="0"/>
              <w:pageBreakBefore w:val="0"/>
              <w:kinsoku/>
              <w:wordWrap/>
              <w:overflowPunct/>
              <w:autoSpaceDE/>
              <w:autoSpaceDN/>
              <w:bidi w:val="0"/>
              <w:spacing w:after="0" w:line="360" w:lineRule="auto"/>
              <w:ind w:firstLine="482" w:firstLineChars="200"/>
              <w:textAlignment w:val="auto"/>
              <w:rPr>
                <w:b/>
                <w:bCs/>
                <w:color w:val="auto"/>
                <w:kern w:val="0"/>
                <w:sz w:val="24"/>
                <w:szCs w:val="20"/>
              </w:rPr>
            </w:pPr>
            <w:r>
              <w:rPr>
                <w:b/>
                <w:bCs/>
                <w:color w:val="auto"/>
                <w:kern w:val="0"/>
                <w:sz w:val="24"/>
                <w:szCs w:val="20"/>
              </w:rPr>
              <w:t>（2）施工期生活污水</w:t>
            </w:r>
          </w:p>
          <w:p w14:paraId="590FCE44">
            <w:pPr>
              <w:keepNext w:val="0"/>
              <w:keepLines w:val="0"/>
              <w:pageBreakBefore w:val="0"/>
              <w:kinsoku/>
              <w:wordWrap/>
              <w:overflowPunct/>
              <w:autoSpaceDE/>
              <w:autoSpaceDN/>
              <w:bidi w:val="0"/>
              <w:spacing w:after="0" w:line="360" w:lineRule="auto"/>
              <w:ind w:firstLine="480" w:firstLineChars="200"/>
              <w:textAlignment w:val="auto"/>
              <w:rPr>
                <w:color w:val="auto"/>
                <w:kern w:val="0"/>
                <w:sz w:val="24"/>
                <w:szCs w:val="20"/>
              </w:rPr>
            </w:pPr>
            <w:bookmarkStart w:id="37" w:name="OLE_LINK5"/>
            <w:r>
              <w:rPr>
                <w:rFonts w:hint="eastAsia"/>
                <w:color w:val="auto"/>
                <w:kern w:val="0"/>
                <w:sz w:val="24"/>
                <w:szCs w:val="20"/>
              </w:rPr>
              <w:t>本项目工程量小、施工期短，同时施工场地小且周边均为化工企业不适宜单独设置施工营地。项目施工人员在施工场地产生的生活污水主要为如厕废水，由于场地的限制，施工人员依托</w:t>
            </w:r>
            <w:bookmarkStart w:id="38" w:name="OLE_LINK30"/>
            <w:r>
              <w:rPr>
                <w:rFonts w:hint="eastAsia"/>
                <w:color w:val="auto"/>
                <w:kern w:val="0"/>
                <w:sz w:val="24"/>
                <w:szCs w:val="20"/>
              </w:rPr>
              <w:t>泰兴石化</w:t>
            </w:r>
            <w:bookmarkEnd w:id="38"/>
            <w:r>
              <w:rPr>
                <w:rFonts w:hint="eastAsia"/>
                <w:color w:val="auto"/>
                <w:kern w:val="0"/>
                <w:sz w:val="24"/>
                <w:szCs w:val="20"/>
              </w:rPr>
              <w:t>卫生间，如厕废水依托泰兴生活污水处理</w:t>
            </w:r>
            <w:r>
              <w:rPr>
                <w:rFonts w:hint="eastAsia"/>
                <w:color w:val="auto"/>
                <w:spacing w:val="6"/>
                <w:kern w:val="0"/>
                <w:sz w:val="24"/>
                <w:szCs w:val="28"/>
                <w:lang w:val="en-US" w:eastAsia="zh-CN"/>
              </w:rPr>
              <w:t>设施</w:t>
            </w:r>
            <w:r>
              <w:rPr>
                <w:rFonts w:hint="eastAsia"/>
                <w:color w:val="auto"/>
                <w:spacing w:val="6"/>
                <w:kern w:val="0"/>
                <w:sz w:val="24"/>
                <w:szCs w:val="28"/>
                <w:lang w:eastAsia="zh-CN"/>
              </w:rPr>
              <w:t>，生活污水经</w:t>
            </w:r>
            <w:r>
              <w:rPr>
                <w:rFonts w:hint="eastAsia"/>
                <w:color w:val="auto"/>
                <w:spacing w:val="6"/>
                <w:kern w:val="0"/>
                <w:sz w:val="24"/>
                <w:szCs w:val="28"/>
                <w:lang w:val="en-US" w:eastAsia="zh-CN"/>
              </w:rPr>
              <w:t>现有</w:t>
            </w:r>
            <w:r>
              <w:rPr>
                <w:rFonts w:hint="eastAsia"/>
                <w:color w:val="auto"/>
                <w:spacing w:val="6"/>
                <w:kern w:val="0"/>
                <w:sz w:val="24"/>
                <w:szCs w:val="28"/>
                <w:lang w:eastAsia="zh-CN"/>
              </w:rPr>
              <w:t>化粪池处理后进入市政污水管网，送到胜科污水处理站处理，最后排入钦州湾，</w:t>
            </w:r>
            <w:r>
              <w:rPr>
                <w:rFonts w:hint="eastAsia"/>
                <w:color w:val="auto"/>
                <w:kern w:val="0"/>
                <w:sz w:val="24"/>
                <w:szCs w:val="20"/>
              </w:rPr>
              <w:t>施工期生活污水对地表水环境影响比较小。</w:t>
            </w:r>
            <w:bookmarkEnd w:id="37"/>
          </w:p>
          <w:p w14:paraId="4302ED52">
            <w:pPr>
              <w:keepNext w:val="0"/>
              <w:keepLines w:val="0"/>
              <w:pageBreakBefore w:val="0"/>
              <w:kinsoku/>
              <w:wordWrap/>
              <w:overflowPunct/>
              <w:autoSpaceDE/>
              <w:autoSpaceDN/>
              <w:bidi w:val="0"/>
              <w:adjustRightInd w:val="0"/>
              <w:snapToGrid w:val="0"/>
              <w:spacing w:after="0" w:line="360" w:lineRule="auto"/>
              <w:ind w:firstLine="562" w:firstLineChars="200"/>
              <w:textAlignment w:val="auto"/>
              <w:outlineLvl w:val="2"/>
              <w:rPr>
                <w:b/>
                <w:bCs/>
                <w:color w:val="auto"/>
                <w:sz w:val="28"/>
                <w:szCs w:val="28"/>
              </w:rPr>
            </w:pPr>
            <w:r>
              <w:rPr>
                <w:b/>
                <w:bCs/>
                <w:color w:val="auto"/>
                <w:sz w:val="28"/>
                <w:szCs w:val="28"/>
              </w:rPr>
              <w:t>4.1.3施工期噪声环境影响分析</w:t>
            </w:r>
          </w:p>
          <w:p w14:paraId="12F0F2E0">
            <w:pPr>
              <w:keepNext w:val="0"/>
              <w:keepLines w:val="0"/>
              <w:pageBreakBefore w:val="0"/>
              <w:kinsoku/>
              <w:wordWrap/>
              <w:overflowPunct/>
              <w:autoSpaceDE/>
              <w:autoSpaceDN/>
              <w:bidi w:val="0"/>
              <w:spacing w:after="0" w:line="360" w:lineRule="auto"/>
              <w:ind w:firstLine="480" w:firstLineChars="200"/>
              <w:textAlignment w:val="auto"/>
              <w:rPr>
                <w:color w:val="auto"/>
                <w:sz w:val="24"/>
              </w:rPr>
            </w:pPr>
            <w:r>
              <w:rPr>
                <w:rFonts w:hint="eastAsia"/>
                <w:color w:val="auto"/>
                <w:sz w:val="24"/>
              </w:rPr>
              <w:t>（1）噪声源强</w:t>
            </w:r>
          </w:p>
          <w:p w14:paraId="34D3362D">
            <w:pPr>
              <w:keepNext w:val="0"/>
              <w:keepLines w:val="0"/>
              <w:pageBreakBefore w:val="0"/>
              <w:kinsoku/>
              <w:wordWrap/>
              <w:overflowPunct/>
              <w:autoSpaceDE/>
              <w:autoSpaceDN/>
              <w:bidi w:val="0"/>
              <w:spacing w:after="0" w:line="360" w:lineRule="auto"/>
              <w:ind w:firstLine="480" w:firstLineChars="200"/>
              <w:textAlignment w:val="auto"/>
              <w:rPr>
                <w:color w:val="auto"/>
                <w:sz w:val="24"/>
              </w:rPr>
            </w:pPr>
            <w:r>
              <w:rPr>
                <w:color w:val="auto"/>
                <w:sz w:val="24"/>
              </w:rPr>
              <w:t>施工期的噪声可分为机械噪声、施工作业噪声和施工车辆噪声。机械噪声主要由施工机械所造成，运输车、挖掘机等，多为点声源；施工作业噪声主要指一些零星的敲打声、装卸车辆的撞击声、拆装材料的撞击声等，多为瞬间噪声；施工车辆的噪声属于交通噪声。</w:t>
            </w:r>
            <w:r>
              <w:rPr>
                <w:rFonts w:hint="eastAsia"/>
                <w:color w:val="auto"/>
                <w:sz w:val="24"/>
              </w:rPr>
              <w:t>施工期噪声源强见表4-1。</w:t>
            </w:r>
          </w:p>
          <w:p w14:paraId="64F0CB09">
            <w:pPr>
              <w:pStyle w:val="10"/>
              <w:pageBreakBefore w:val="0"/>
              <w:kinsoku/>
              <w:wordWrap/>
              <w:overflowPunct/>
              <w:autoSpaceDE/>
              <w:autoSpaceDN/>
              <w:bidi w:val="0"/>
              <w:spacing w:line="360" w:lineRule="auto"/>
              <w:ind w:firstLine="327"/>
              <w:jc w:val="center"/>
              <w:textAlignment w:val="auto"/>
              <w:rPr>
                <w:color w:val="auto"/>
              </w:rPr>
            </w:pPr>
            <w:r>
              <w:rPr>
                <w:b/>
                <w:bCs/>
                <w:color w:val="auto"/>
                <w:sz w:val="21"/>
                <w:szCs w:val="21"/>
              </w:rPr>
              <w:t>表</w:t>
            </w:r>
            <w:r>
              <w:rPr>
                <w:rFonts w:hint="eastAsia"/>
                <w:b/>
                <w:bCs/>
                <w:color w:val="auto"/>
                <w:sz w:val="21"/>
                <w:szCs w:val="21"/>
              </w:rPr>
              <w:t>4</w:t>
            </w:r>
            <w:r>
              <w:rPr>
                <w:b/>
                <w:bCs/>
                <w:color w:val="auto"/>
                <w:sz w:val="21"/>
                <w:szCs w:val="21"/>
              </w:rPr>
              <w:t>-</w:t>
            </w:r>
            <w:r>
              <w:rPr>
                <w:rFonts w:hint="eastAsia"/>
                <w:b/>
                <w:bCs/>
                <w:color w:val="auto"/>
                <w:sz w:val="21"/>
                <w:szCs w:val="21"/>
              </w:rPr>
              <w:t>1</w:t>
            </w:r>
            <w:r>
              <w:rPr>
                <w:b/>
                <w:bCs/>
                <w:color w:val="auto"/>
                <w:sz w:val="21"/>
                <w:szCs w:val="21"/>
              </w:rPr>
              <w:t xml:space="preserve">  施工期噪声源强    单位：dB(A)</w:t>
            </w:r>
          </w:p>
          <w:tbl>
            <w:tblPr>
              <w:tblStyle w:val="22"/>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2787"/>
              <w:gridCol w:w="3242"/>
            </w:tblGrid>
            <w:tr w14:paraId="6AB0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dxa"/>
                  <w:vAlign w:val="center"/>
                </w:tcPr>
                <w:p w14:paraId="612E9D38">
                  <w:pPr>
                    <w:pageBreakBefore w:val="0"/>
                    <w:kinsoku/>
                    <w:wordWrap/>
                    <w:overflowPunct/>
                    <w:autoSpaceDE/>
                    <w:autoSpaceDN/>
                    <w:bidi w:val="0"/>
                    <w:spacing w:line="360" w:lineRule="auto"/>
                    <w:jc w:val="center"/>
                    <w:textAlignment w:val="auto"/>
                    <w:rPr>
                      <w:b/>
                      <w:color w:val="auto"/>
                      <w:szCs w:val="21"/>
                    </w:rPr>
                  </w:pPr>
                  <w:r>
                    <w:rPr>
                      <w:b/>
                      <w:color w:val="auto"/>
                      <w:szCs w:val="21"/>
                    </w:rPr>
                    <w:t>序号</w:t>
                  </w:r>
                </w:p>
              </w:tc>
              <w:tc>
                <w:tcPr>
                  <w:tcW w:w="2787" w:type="dxa"/>
                  <w:vAlign w:val="center"/>
                </w:tcPr>
                <w:p w14:paraId="1480B1C9">
                  <w:pPr>
                    <w:pageBreakBefore w:val="0"/>
                    <w:kinsoku/>
                    <w:wordWrap/>
                    <w:overflowPunct/>
                    <w:autoSpaceDE/>
                    <w:autoSpaceDN/>
                    <w:bidi w:val="0"/>
                    <w:spacing w:line="360" w:lineRule="auto"/>
                    <w:jc w:val="center"/>
                    <w:textAlignment w:val="auto"/>
                    <w:rPr>
                      <w:b/>
                      <w:color w:val="auto"/>
                      <w:szCs w:val="21"/>
                    </w:rPr>
                  </w:pPr>
                  <w:r>
                    <w:rPr>
                      <w:b/>
                      <w:color w:val="auto"/>
                      <w:szCs w:val="21"/>
                    </w:rPr>
                    <w:t>机械名称</w:t>
                  </w:r>
                </w:p>
              </w:tc>
              <w:tc>
                <w:tcPr>
                  <w:tcW w:w="3242" w:type="dxa"/>
                  <w:vAlign w:val="center"/>
                </w:tcPr>
                <w:p w14:paraId="6D219E3D">
                  <w:pPr>
                    <w:pageBreakBefore w:val="0"/>
                    <w:kinsoku/>
                    <w:wordWrap/>
                    <w:overflowPunct/>
                    <w:autoSpaceDE/>
                    <w:autoSpaceDN/>
                    <w:bidi w:val="0"/>
                    <w:spacing w:line="360" w:lineRule="auto"/>
                    <w:jc w:val="center"/>
                    <w:textAlignment w:val="auto"/>
                    <w:rPr>
                      <w:b/>
                      <w:color w:val="auto"/>
                      <w:szCs w:val="21"/>
                    </w:rPr>
                  </w:pPr>
                  <w:r>
                    <w:rPr>
                      <w:b/>
                      <w:color w:val="auto"/>
                      <w:szCs w:val="21"/>
                    </w:rPr>
                    <w:t>近场噪声</w:t>
                  </w:r>
                </w:p>
              </w:tc>
            </w:tr>
            <w:tr w14:paraId="1E75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dxa"/>
                  <w:vAlign w:val="center"/>
                </w:tcPr>
                <w:p w14:paraId="6EFCC093">
                  <w:pPr>
                    <w:pageBreakBefore w:val="0"/>
                    <w:kinsoku/>
                    <w:wordWrap/>
                    <w:overflowPunct/>
                    <w:autoSpaceDE/>
                    <w:autoSpaceDN/>
                    <w:bidi w:val="0"/>
                    <w:spacing w:line="360" w:lineRule="auto"/>
                    <w:jc w:val="center"/>
                    <w:textAlignment w:val="auto"/>
                    <w:rPr>
                      <w:color w:val="auto"/>
                      <w:szCs w:val="21"/>
                    </w:rPr>
                  </w:pPr>
                  <w:r>
                    <w:rPr>
                      <w:color w:val="auto"/>
                      <w:szCs w:val="21"/>
                    </w:rPr>
                    <w:t>1</w:t>
                  </w:r>
                </w:p>
              </w:tc>
              <w:tc>
                <w:tcPr>
                  <w:tcW w:w="2787" w:type="dxa"/>
                  <w:vAlign w:val="center"/>
                </w:tcPr>
                <w:p w14:paraId="6879FF04">
                  <w:pPr>
                    <w:pageBreakBefore w:val="0"/>
                    <w:kinsoku/>
                    <w:wordWrap/>
                    <w:overflowPunct/>
                    <w:autoSpaceDE/>
                    <w:autoSpaceDN/>
                    <w:bidi w:val="0"/>
                    <w:spacing w:line="360" w:lineRule="auto"/>
                    <w:jc w:val="center"/>
                    <w:textAlignment w:val="auto"/>
                    <w:rPr>
                      <w:color w:val="auto"/>
                      <w:szCs w:val="21"/>
                    </w:rPr>
                  </w:pPr>
                  <w:r>
                    <w:rPr>
                      <w:color w:val="auto"/>
                      <w:szCs w:val="21"/>
                    </w:rPr>
                    <w:t>装载车</w:t>
                  </w:r>
                </w:p>
              </w:tc>
              <w:tc>
                <w:tcPr>
                  <w:tcW w:w="3242" w:type="dxa"/>
                  <w:vAlign w:val="center"/>
                </w:tcPr>
                <w:p w14:paraId="696BA15C">
                  <w:pPr>
                    <w:pageBreakBefore w:val="0"/>
                    <w:kinsoku/>
                    <w:wordWrap/>
                    <w:overflowPunct/>
                    <w:autoSpaceDE/>
                    <w:autoSpaceDN/>
                    <w:bidi w:val="0"/>
                    <w:spacing w:line="360" w:lineRule="auto"/>
                    <w:jc w:val="center"/>
                    <w:textAlignment w:val="auto"/>
                    <w:rPr>
                      <w:color w:val="auto"/>
                      <w:szCs w:val="21"/>
                    </w:rPr>
                  </w:pPr>
                  <w:r>
                    <w:rPr>
                      <w:color w:val="auto"/>
                      <w:szCs w:val="21"/>
                    </w:rPr>
                    <w:t>86</w:t>
                  </w:r>
                </w:p>
              </w:tc>
            </w:tr>
            <w:tr w14:paraId="7CEF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dxa"/>
                  <w:vAlign w:val="center"/>
                </w:tcPr>
                <w:p w14:paraId="443DDBD1">
                  <w:pPr>
                    <w:pageBreakBefore w:val="0"/>
                    <w:kinsoku/>
                    <w:wordWrap/>
                    <w:overflowPunct/>
                    <w:autoSpaceDE/>
                    <w:autoSpaceDN/>
                    <w:bidi w:val="0"/>
                    <w:spacing w:line="360" w:lineRule="auto"/>
                    <w:jc w:val="center"/>
                    <w:textAlignment w:val="auto"/>
                    <w:rPr>
                      <w:color w:val="auto"/>
                      <w:szCs w:val="21"/>
                    </w:rPr>
                  </w:pPr>
                  <w:r>
                    <w:rPr>
                      <w:color w:val="auto"/>
                      <w:szCs w:val="21"/>
                    </w:rPr>
                    <w:t>2</w:t>
                  </w:r>
                </w:p>
              </w:tc>
              <w:tc>
                <w:tcPr>
                  <w:tcW w:w="2787" w:type="dxa"/>
                  <w:vAlign w:val="center"/>
                </w:tcPr>
                <w:p w14:paraId="35F6F023">
                  <w:pPr>
                    <w:pageBreakBefore w:val="0"/>
                    <w:kinsoku/>
                    <w:wordWrap/>
                    <w:overflowPunct/>
                    <w:autoSpaceDE/>
                    <w:autoSpaceDN/>
                    <w:bidi w:val="0"/>
                    <w:spacing w:line="360" w:lineRule="auto"/>
                    <w:jc w:val="center"/>
                    <w:textAlignment w:val="auto"/>
                    <w:rPr>
                      <w:color w:val="auto"/>
                      <w:szCs w:val="21"/>
                    </w:rPr>
                  </w:pPr>
                  <w:r>
                    <w:rPr>
                      <w:color w:val="auto"/>
                      <w:szCs w:val="21"/>
                    </w:rPr>
                    <w:t>移动式吊车</w:t>
                  </w:r>
                </w:p>
              </w:tc>
              <w:tc>
                <w:tcPr>
                  <w:tcW w:w="3242" w:type="dxa"/>
                  <w:vAlign w:val="center"/>
                </w:tcPr>
                <w:p w14:paraId="493AFB60">
                  <w:pPr>
                    <w:pageBreakBefore w:val="0"/>
                    <w:kinsoku/>
                    <w:wordWrap/>
                    <w:overflowPunct/>
                    <w:autoSpaceDE/>
                    <w:autoSpaceDN/>
                    <w:bidi w:val="0"/>
                    <w:spacing w:line="360" w:lineRule="auto"/>
                    <w:jc w:val="center"/>
                    <w:textAlignment w:val="auto"/>
                    <w:rPr>
                      <w:color w:val="auto"/>
                      <w:szCs w:val="21"/>
                    </w:rPr>
                  </w:pPr>
                  <w:r>
                    <w:rPr>
                      <w:color w:val="auto"/>
                      <w:szCs w:val="21"/>
                    </w:rPr>
                    <w:t>88</w:t>
                  </w:r>
                </w:p>
              </w:tc>
            </w:tr>
            <w:tr w14:paraId="59AF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dxa"/>
                  <w:vAlign w:val="center"/>
                </w:tcPr>
                <w:p w14:paraId="06502A75">
                  <w:pPr>
                    <w:pageBreakBefore w:val="0"/>
                    <w:kinsoku/>
                    <w:wordWrap/>
                    <w:overflowPunct/>
                    <w:autoSpaceDE/>
                    <w:autoSpaceDN/>
                    <w:bidi w:val="0"/>
                    <w:spacing w:line="360" w:lineRule="auto"/>
                    <w:jc w:val="center"/>
                    <w:textAlignment w:val="auto"/>
                    <w:rPr>
                      <w:color w:val="auto"/>
                      <w:szCs w:val="21"/>
                    </w:rPr>
                  </w:pPr>
                  <w:r>
                    <w:rPr>
                      <w:color w:val="auto"/>
                      <w:szCs w:val="21"/>
                    </w:rPr>
                    <w:t>3</w:t>
                  </w:r>
                </w:p>
              </w:tc>
              <w:tc>
                <w:tcPr>
                  <w:tcW w:w="2787" w:type="dxa"/>
                  <w:vAlign w:val="center"/>
                </w:tcPr>
                <w:p w14:paraId="07C36B37">
                  <w:pPr>
                    <w:pageBreakBefore w:val="0"/>
                    <w:kinsoku/>
                    <w:wordWrap/>
                    <w:overflowPunct/>
                    <w:autoSpaceDE/>
                    <w:autoSpaceDN/>
                    <w:bidi w:val="0"/>
                    <w:spacing w:line="360" w:lineRule="auto"/>
                    <w:jc w:val="center"/>
                    <w:textAlignment w:val="auto"/>
                    <w:rPr>
                      <w:color w:val="auto"/>
                      <w:szCs w:val="21"/>
                    </w:rPr>
                  </w:pPr>
                  <w:r>
                    <w:rPr>
                      <w:color w:val="auto"/>
                      <w:szCs w:val="21"/>
                    </w:rPr>
                    <w:t>运输车辆</w:t>
                  </w:r>
                </w:p>
              </w:tc>
              <w:tc>
                <w:tcPr>
                  <w:tcW w:w="3242" w:type="dxa"/>
                  <w:vAlign w:val="center"/>
                </w:tcPr>
                <w:p w14:paraId="61B90417">
                  <w:pPr>
                    <w:pageBreakBefore w:val="0"/>
                    <w:kinsoku/>
                    <w:wordWrap/>
                    <w:overflowPunct/>
                    <w:autoSpaceDE/>
                    <w:autoSpaceDN/>
                    <w:bidi w:val="0"/>
                    <w:spacing w:line="360" w:lineRule="auto"/>
                    <w:jc w:val="center"/>
                    <w:textAlignment w:val="auto"/>
                    <w:rPr>
                      <w:color w:val="auto"/>
                      <w:szCs w:val="21"/>
                    </w:rPr>
                  </w:pPr>
                  <w:r>
                    <w:rPr>
                      <w:color w:val="auto"/>
                      <w:szCs w:val="21"/>
                    </w:rPr>
                    <w:t>90</w:t>
                  </w:r>
                </w:p>
              </w:tc>
            </w:tr>
            <w:tr w14:paraId="61F6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dxa"/>
                  <w:vAlign w:val="center"/>
                </w:tcPr>
                <w:p w14:paraId="38F3821C">
                  <w:pPr>
                    <w:pageBreakBefore w:val="0"/>
                    <w:kinsoku/>
                    <w:wordWrap/>
                    <w:overflowPunct/>
                    <w:autoSpaceDE/>
                    <w:autoSpaceDN/>
                    <w:bidi w:val="0"/>
                    <w:spacing w:line="360" w:lineRule="auto"/>
                    <w:jc w:val="center"/>
                    <w:textAlignment w:val="auto"/>
                    <w:rPr>
                      <w:color w:val="auto"/>
                      <w:szCs w:val="21"/>
                    </w:rPr>
                  </w:pPr>
                  <w:r>
                    <w:rPr>
                      <w:color w:val="auto"/>
                      <w:szCs w:val="21"/>
                    </w:rPr>
                    <w:t>4</w:t>
                  </w:r>
                </w:p>
              </w:tc>
              <w:tc>
                <w:tcPr>
                  <w:tcW w:w="2787" w:type="dxa"/>
                  <w:vAlign w:val="center"/>
                </w:tcPr>
                <w:p w14:paraId="1E8DC526">
                  <w:pPr>
                    <w:pageBreakBefore w:val="0"/>
                    <w:kinsoku/>
                    <w:wordWrap/>
                    <w:overflowPunct/>
                    <w:autoSpaceDE/>
                    <w:autoSpaceDN/>
                    <w:bidi w:val="0"/>
                    <w:spacing w:line="360" w:lineRule="auto"/>
                    <w:jc w:val="center"/>
                    <w:textAlignment w:val="auto"/>
                    <w:rPr>
                      <w:color w:val="auto"/>
                      <w:szCs w:val="21"/>
                    </w:rPr>
                  </w:pPr>
                  <w:r>
                    <w:rPr>
                      <w:color w:val="auto"/>
                      <w:szCs w:val="21"/>
                    </w:rPr>
                    <w:t>电焊机</w:t>
                  </w:r>
                </w:p>
              </w:tc>
              <w:tc>
                <w:tcPr>
                  <w:tcW w:w="3242" w:type="dxa"/>
                  <w:vAlign w:val="center"/>
                </w:tcPr>
                <w:p w14:paraId="3A118EC4">
                  <w:pPr>
                    <w:pageBreakBefore w:val="0"/>
                    <w:kinsoku/>
                    <w:wordWrap/>
                    <w:overflowPunct/>
                    <w:autoSpaceDE/>
                    <w:autoSpaceDN/>
                    <w:bidi w:val="0"/>
                    <w:spacing w:line="360" w:lineRule="auto"/>
                    <w:jc w:val="center"/>
                    <w:textAlignment w:val="auto"/>
                    <w:rPr>
                      <w:color w:val="auto"/>
                      <w:szCs w:val="21"/>
                    </w:rPr>
                  </w:pPr>
                  <w:r>
                    <w:rPr>
                      <w:color w:val="auto"/>
                      <w:szCs w:val="21"/>
                    </w:rPr>
                    <w:t>85</w:t>
                  </w:r>
                </w:p>
              </w:tc>
            </w:tr>
            <w:tr w14:paraId="5B2B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dxa"/>
                  <w:vAlign w:val="center"/>
                </w:tcPr>
                <w:p w14:paraId="58C68CC9">
                  <w:pPr>
                    <w:pageBreakBefore w:val="0"/>
                    <w:kinsoku/>
                    <w:wordWrap/>
                    <w:overflowPunct/>
                    <w:autoSpaceDE/>
                    <w:autoSpaceDN/>
                    <w:bidi w:val="0"/>
                    <w:spacing w:line="360" w:lineRule="auto"/>
                    <w:jc w:val="center"/>
                    <w:textAlignment w:val="auto"/>
                    <w:rPr>
                      <w:color w:val="auto"/>
                      <w:szCs w:val="21"/>
                    </w:rPr>
                  </w:pPr>
                  <w:r>
                    <w:rPr>
                      <w:color w:val="auto"/>
                      <w:szCs w:val="21"/>
                    </w:rPr>
                    <w:t>5</w:t>
                  </w:r>
                </w:p>
              </w:tc>
              <w:tc>
                <w:tcPr>
                  <w:tcW w:w="2787" w:type="dxa"/>
                  <w:vAlign w:val="center"/>
                </w:tcPr>
                <w:p w14:paraId="1CAE1DD0">
                  <w:pPr>
                    <w:pageBreakBefore w:val="0"/>
                    <w:kinsoku/>
                    <w:wordWrap/>
                    <w:overflowPunct/>
                    <w:autoSpaceDE/>
                    <w:autoSpaceDN/>
                    <w:bidi w:val="0"/>
                    <w:spacing w:line="360" w:lineRule="auto"/>
                    <w:jc w:val="center"/>
                    <w:textAlignment w:val="auto"/>
                    <w:rPr>
                      <w:color w:val="auto"/>
                      <w:szCs w:val="21"/>
                    </w:rPr>
                  </w:pPr>
                  <w:r>
                    <w:rPr>
                      <w:color w:val="auto"/>
                      <w:szCs w:val="21"/>
                    </w:rPr>
                    <w:t>切割机</w:t>
                  </w:r>
                </w:p>
              </w:tc>
              <w:tc>
                <w:tcPr>
                  <w:tcW w:w="3242" w:type="dxa"/>
                  <w:vAlign w:val="center"/>
                </w:tcPr>
                <w:p w14:paraId="7AD0742B">
                  <w:pPr>
                    <w:pageBreakBefore w:val="0"/>
                    <w:kinsoku/>
                    <w:wordWrap/>
                    <w:overflowPunct/>
                    <w:autoSpaceDE/>
                    <w:autoSpaceDN/>
                    <w:bidi w:val="0"/>
                    <w:spacing w:line="360" w:lineRule="auto"/>
                    <w:jc w:val="center"/>
                    <w:textAlignment w:val="auto"/>
                    <w:rPr>
                      <w:color w:val="auto"/>
                      <w:szCs w:val="21"/>
                    </w:rPr>
                  </w:pPr>
                  <w:r>
                    <w:rPr>
                      <w:color w:val="auto"/>
                      <w:szCs w:val="21"/>
                    </w:rPr>
                    <w:t>95</w:t>
                  </w:r>
                </w:p>
              </w:tc>
            </w:tr>
          </w:tbl>
          <w:p w14:paraId="2787167A">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color w:val="auto"/>
                <w:sz w:val="24"/>
              </w:rPr>
            </w:pPr>
            <w:r>
              <w:rPr>
                <w:color w:val="auto"/>
                <w:sz w:val="24"/>
              </w:rPr>
              <w:t>施工期场界噪声限值标准执行国家《建筑施工场界环境噪声排放标准》（GB12523-2011）排放限值。</w:t>
            </w:r>
          </w:p>
          <w:p w14:paraId="3E1E2508">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color w:val="auto"/>
                <w:sz w:val="24"/>
              </w:rPr>
            </w:pPr>
            <w:r>
              <w:rPr>
                <w:rFonts w:hint="eastAsia"/>
                <w:color w:val="auto"/>
                <w:sz w:val="24"/>
              </w:rPr>
              <w:t>（2）</w:t>
            </w:r>
            <w:r>
              <w:rPr>
                <w:color w:val="auto"/>
                <w:sz w:val="24"/>
              </w:rPr>
              <w:t>施工期噪声环境影响分析</w:t>
            </w:r>
          </w:p>
          <w:p w14:paraId="3E0A3AB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color w:val="auto"/>
                <w:sz w:val="24"/>
              </w:rPr>
              <w:t>① 预测方法</w:t>
            </w:r>
          </w:p>
          <w:p w14:paraId="13E69A3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color w:val="auto"/>
                <w:sz w:val="24"/>
              </w:rPr>
              <w:t>应用点声源噪声扩散公式估算施工噪声对环境的影响。与施工噪声源相距r</w:t>
            </w:r>
            <w:r>
              <w:rPr>
                <w:color w:val="auto"/>
                <w:sz w:val="24"/>
                <w:vertAlign w:val="subscript"/>
              </w:rPr>
              <w:t>2</w:t>
            </w:r>
            <w:r>
              <w:rPr>
                <w:color w:val="auto"/>
                <w:sz w:val="24"/>
              </w:rPr>
              <w:t>的评价点处的施工噪声声级L</w:t>
            </w:r>
            <w:r>
              <w:rPr>
                <w:color w:val="auto"/>
                <w:sz w:val="24"/>
                <w:vertAlign w:val="subscript"/>
              </w:rPr>
              <w:t>施2</w:t>
            </w:r>
            <w:r>
              <w:rPr>
                <w:color w:val="auto"/>
                <w:sz w:val="24"/>
              </w:rPr>
              <w:t>由下式计算：</w:t>
            </w:r>
          </w:p>
          <w:p w14:paraId="54F2CF3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center"/>
              <w:textAlignment w:val="auto"/>
              <w:rPr>
                <w:color w:val="auto"/>
                <w:sz w:val="24"/>
              </w:rPr>
            </w:pPr>
            <w:r>
              <w:rPr>
                <w:color w:val="auto"/>
                <w:sz w:val="24"/>
              </w:rPr>
              <w:drawing>
                <wp:inline distT="0" distB="0" distL="114300" distR="114300">
                  <wp:extent cx="1781810" cy="447675"/>
                  <wp:effectExtent l="0" t="0" r="8890" b="762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7"/>
                          <a:stretch>
                            <a:fillRect/>
                          </a:stretch>
                        </pic:blipFill>
                        <pic:spPr>
                          <a:xfrm>
                            <a:off x="0" y="0"/>
                            <a:ext cx="1781810" cy="447675"/>
                          </a:xfrm>
                          <a:prstGeom prst="rect">
                            <a:avLst/>
                          </a:prstGeom>
                          <a:noFill/>
                          <a:ln>
                            <a:noFill/>
                          </a:ln>
                        </pic:spPr>
                      </pic:pic>
                    </a:graphicData>
                  </a:graphic>
                </wp:inline>
              </w:drawing>
            </w:r>
          </w:p>
          <w:p w14:paraId="490BD65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color w:val="auto"/>
                <w:sz w:val="24"/>
              </w:rPr>
              <w:t>式中：</w:t>
            </w:r>
          </w:p>
          <w:p w14:paraId="410F9B7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color w:val="auto"/>
                <w:sz w:val="24"/>
              </w:rPr>
              <w:t>L</w:t>
            </w:r>
            <w:r>
              <w:rPr>
                <w:color w:val="auto"/>
                <w:sz w:val="24"/>
                <w:vertAlign w:val="subscript"/>
              </w:rPr>
              <w:t>施1</w:t>
            </w:r>
            <w:r>
              <w:rPr>
                <w:color w:val="auto"/>
                <w:sz w:val="24"/>
              </w:rPr>
              <w:t>——与声源相距r</w:t>
            </w:r>
            <w:r>
              <w:rPr>
                <w:color w:val="auto"/>
                <w:sz w:val="24"/>
                <w:vertAlign w:val="subscript"/>
              </w:rPr>
              <w:t>1</w:t>
            </w:r>
            <w:r>
              <w:rPr>
                <w:color w:val="auto"/>
                <w:sz w:val="24"/>
              </w:rPr>
              <w:t>(m)处的施工噪声声级〔dB(A)〕。</w:t>
            </w:r>
          </w:p>
          <w:p w14:paraId="7275878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color w:val="auto"/>
                <w:sz w:val="24"/>
              </w:rPr>
              <w:t>评价点处环境噪声预测值L施预由下式计算：</w:t>
            </w:r>
          </w:p>
          <w:p w14:paraId="70F9E01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center"/>
              <w:textAlignment w:val="auto"/>
              <w:rPr>
                <w:color w:val="auto"/>
                <w:sz w:val="24"/>
              </w:rPr>
            </w:pPr>
            <w:r>
              <w:rPr>
                <w:color w:val="auto"/>
                <w:sz w:val="24"/>
              </w:rPr>
              <w:t>L</w:t>
            </w:r>
            <w:r>
              <w:rPr>
                <w:color w:val="auto"/>
                <w:sz w:val="24"/>
                <w:vertAlign w:val="subscript"/>
              </w:rPr>
              <w:t>施预</w:t>
            </w:r>
            <w:r>
              <w:rPr>
                <w:color w:val="auto"/>
                <w:sz w:val="24"/>
              </w:rPr>
              <w:t>=10lg(</w:t>
            </w:r>
            <w:r>
              <w:rPr>
                <w:color w:val="auto"/>
                <w:sz w:val="24"/>
              </w:rPr>
              <w:drawing>
                <wp:inline distT="0" distB="0" distL="114300" distR="114300">
                  <wp:extent cx="1057910" cy="219075"/>
                  <wp:effectExtent l="0" t="0" r="8890" b="698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18"/>
                          <a:stretch>
                            <a:fillRect/>
                          </a:stretch>
                        </pic:blipFill>
                        <pic:spPr>
                          <a:xfrm>
                            <a:off x="0" y="0"/>
                            <a:ext cx="1057910" cy="219075"/>
                          </a:xfrm>
                          <a:prstGeom prst="rect">
                            <a:avLst/>
                          </a:prstGeom>
                          <a:noFill/>
                          <a:ln>
                            <a:noFill/>
                          </a:ln>
                        </pic:spPr>
                      </pic:pic>
                    </a:graphicData>
                  </a:graphic>
                </wp:inline>
              </w:drawing>
            </w:r>
            <w:r>
              <w:rPr>
                <w:color w:val="auto"/>
                <w:sz w:val="24"/>
              </w:rPr>
              <w:t>)〔dB(A)〕</w:t>
            </w:r>
          </w:p>
          <w:p w14:paraId="788A232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auto"/>
                <w:sz w:val="24"/>
              </w:rPr>
            </w:pPr>
            <w:r>
              <w:rPr>
                <w:color w:val="auto"/>
                <w:sz w:val="24"/>
              </w:rPr>
              <w:t>式中：</w:t>
            </w:r>
          </w:p>
          <w:p w14:paraId="330CD268">
            <w:pPr>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color w:val="auto"/>
                <w:sz w:val="24"/>
              </w:rPr>
            </w:pPr>
            <w:r>
              <w:rPr>
                <w:color w:val="auto"/>
                <w:sz w:val="24"/>
              </w:rPr>
              <w:t>L</w:t>
            </w:r>
            <w:r>
              <w:rPr>
                <w:color w:val="auto"/>
                <w:sz w:val="24"/>
                <w:vertAlign w:val="subscript"/>
              </w:rPr>
              <w:t>施背</w:t>
            </w:r>
            <w:r>
              <w:rPr>
                <w:color w:val="auto"/>
                <w:sz w:val="24"/>
              </w:rPr>
              <w:t>为环境噪声背景值〔dB(A)〕。</w:t>
            </w:r>
          </w:p>
          <w:p w14:paraId="3488D227">
            <w:pPr>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color w:val="auto"/>
                <w:sz w:val="24"/>
              </w:rPr>
            </w:pPr>
            <w:r>
              <w:rPr>
                <w:color w:val="auto"/>
                <w:sz w:val="24"/>
              </w:rPr>
              <w:t>② 预测结果</w:t>
            </w:r>
          </w:p>
          <w:p w14:paraId="2380C4FF">
            <w:pPr>
              <w:keepNext w:val="0"/>
              <w:keepLines w:val="0"/>
              <w:pageBreakBefore w:val="0"/>
              <w:widowControl w:val="0"/>
              <w:kinsoku/>
              <w:wordWrap/>
              <w:overflowPunct/>
              <w:topLinePunct w:val="0"/>
              <w:autoSpaceDE/>
              <w:autoSpaceDN/>
              <w:bidi w:val="0"/>
              <w:snapToGrid w:val="0"/>
              <w:spacing w:after="0" w:line="360" w:lineRule="auto"/>
              <w:ind w:firstLine="480" w:firstLineChars="200"/>
              <w:textAlignment w:val="auto"/>
              <w:rPr>
                <w:color w:val="auto"/>
                <w:sz w:val="24"/>
              </w:rPr>
            </w:pPr>
            <w:r>
              <w:rPr>
                <w:color w:val="auto"/>
                <w:sz w:val="24"/>
              </w:rPr>
              <w:t>在没有消声和屏障等衰减条件下，传播不同距离处，各种施工机械噪声值几何衰减达标情况见表4-2。</w:t>
            </w:r>
          </w:p>
          <w:p w14:paraId="7722560B">
            <w:pPr>
              <w:pStyle w:val="2"/>
              <w:rPr>
                <w:color w:val="auto"/>
              </w:rPr>
            </w:pPr>
          </w:p>
          <w:p w14:paraId="60E2B5B3">
            <w:pPr>
              <w:keepNext w:val="0"/>
              <w:keepLines w:val="0"/>
              <w:pageBreakBefore w:val="0"/>
              <w:widowControl w:val="0"/>
              <w:kinsoku/>
              <w:wordWrap/>
              <w:overflowPunct/>
              <w:topLinePunct w:val="0"/>
              <w:autoSpaceDE/>
              <w:autoSpaceDN/>
              <w:bidi w:val="0"/>
              <w:spacing w:after="0" w:line="360" w:lineRule="auto"/>
              <w:jc w:val="center"/>
              <w:textAlignment w:val="auto"/>
              <w:rPr>
                <w:b/>
                <w:color w:val="auto"/>
              </w:rPr>
            </w:pPr>
            <w:r>
              <w:rPr>
                <w:b/>
                <w:color w:val="auto"/>
              </w:rPr>
              <w:t>表4-2  机械噪声扩散传播衰减值</w:t>
            </w:r>
          </w:p>
          <w:tbl>
            <w:tblPr>
              <w:tblStyle w:val="22"/>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799"/>
              <w:gridCol w:w="742"/>
              <w:gridCol w:w="709"/>
              <w:gridCol w:w="709"/>
              <w:gridCol w:w="723"/>
              <w:gridCol w:w="736"/>
              <w:gridCol w:w="723"/>
              <w:gridCol w:w="750"/>
              <w:gridCol w:w="735"/>
            </w:tblGrid>
            <w:tr w14:paraId="65FD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13" w:type="dxa"/>
                  <w:vAlign w:val="center"/>
                </w:tcPr>
                <w:p w14:paraId="677DD0C8">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设备名称</w:t>
                  </w:r>
                </w:p>
              </w:tc>
              <w:tc>
                <w:tcPr>
                  <w:tcW w:w="799" w:type="dxa"/>
                  <w:vAlign w:val="center"/>
                </w:tcPr>
                <w:p w14:paraId="2C764E64">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5m</w:t>
                  </w:r>
                </w:p>
              </w:tc>
              <w:tc>
                <w:tcPr>
                  <w:tcW w:w="742" w:type="dxa"/>
                  <w:vAlign w:val="center"/>
                </w:tcPr>
                <w:p w14:paraId="6E963109">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10m</w:t>
                  </w:r>
                </w:p>
              </w:tc>
              <w:tc>
                <w:tcPr>
                  <w:tcW w:w="709" w:type="dxa"/>
                  <w:vAlign w:val="center"/>
                </w:tcPr>
                <w:p w14:paraId="105DC122">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20m</w:t>
                  </w:r>
                </w:p>
              </w:tc>
              <w:tc>
                <w:tcPr>
                  <w:tcW w:w="709" w:type="dxa"/>
                  <w:vAlign w:val="center"/>
                </w:tcPr>
                <w:p w14:paraId="56AD096C">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40m</w:t>
                  </w:r>
                </w:p>
              </w:tc>
              <w:tc>
                <w:tcPr>
                  <w:tcW w:w="723" w:type="dxa"/>
                  <w:vAlign w:val="center"/>
                </w:tcPr>
                <w:p w14:paraId="64563B56">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50m</w:t>
                  </w:r>
                </w:p>
              </w:tc>
              <w:tc>
                <w:tcPr>
                  <w:tcW w:w="736" w:type="dxa"/>
                  <w:vAlign w:val="center"/>
                </w:tcPr>
                <w:p w14:paraId="06447C8C">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100m</w:t>
                  </w:r>
                </w:p>
              </w:tc>
              <w:tc>
                <w:tcPr>
                  <w:tcW w:w="723" w:type="dxa"/>
                  <w:vAlign w:val="center"/>
                </w:tcPr>
                <w:p w14:paraId="05D0AA34">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150m</w:t>
                  </w:r>
                </w:p>
              </w:tc>
              <w:tc>
                <w:tcPr>
                  <w:tcW w:w="750" w:type="dxa"/>
                  <w:vAlign w:val="center"/>
                </w:tcPr>
                <w:p w14:paraId="5B7026AE">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200m</w:t>
                  </w:r>
                </w:p>
              </w:tc>
              <w:tc>
                <w:tcPr>
                  <w:tcW w:w="735" w:type="dxa"/>
                  <w:vAlign w:val="center"/>
                </w:tcPr>
                <w:p w14:paraId="77C800E9">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b/>
                      <w:color w:val="auto"/>
                    </w:rPr>
                  </w:pPr>
                  <w:r>
                    <w:rPr>
                      <w:b/>
                      <w:color w:val="auto"/>
                    </w:rPr>
                    <w:t>300m</w:t>
                  </w:r>
                </w:p>
              </w:tc>
            </w:tr>
            <w:tr w14:paraId="348A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313" w:type="dxa"/>
                  <w:vAlign w:val="center"/>
                </w:tcPr>
                <w:p w14:paraId="60738AFA">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装载机</w:t>
                  </w:r>
                </w:p>
              </w:tc>
              <w:tc>
                <w:tcPr>
                  <w:tcW w:w="799" w:type="dxa"/>
                  <w:vAlign w:val="center"/>
                </w:tcPr>
                <w:p w14:paraId="5DC83955">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72</w:t>
                  </w:r>
                </w:p>
              </w:tc>
              <w:tc>
                <w:tcPr>
                  <w:tcW w:w="742" w:type="dxa"/>
                  <w:vAlign w:val="center"/>
                </w:tcPr>
                <w:p w14:paraId="2F3B1FDB">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66</w:t>
                  </w:r>
                </w:p>
              </w:tc>
              <w:tc>
                <w:tcPr>
                  <w:tcW w:w="709" w:type="dxa"/>
                  <w:vAlign w:val="center"/>
                </w:tcPr>
                <w:p w14:paraId="3834957F">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60</w:t>
                  </w:r>
                </w:p>
              </w:tc>
              <w:tc>
                <w:tcPr>
                  <w:tcW w:w="709" w:type="dxa"/>
                  <w:vAlign w:val="center"/>
                </w:tcPr>
                <w:p w14:paraId="647FCC3C">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54</w:t>
                  </w:r>
                </w:p>
              </w:tc>
              <w:tc>
                <w:tcPr>
                  <w:tcW w:w="723" w:type="dxa"/>
                  <w:vAlign w:val="center"/>
                </w:tcPr>
                <w:p w14:paraId="09BAD353">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52</w:t>
                  </w:r>
                </w:p>
              </w:tc>
              <w:tc>
                <w:tcPr>
                  <w:tcW w:w="736" w:type="dxa"/>
                  <w:vAlign w:val="center"/>
                </w:tcPr>
                <w:p w14:paraId="0021B615">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46</w:t>
                  </w:r>
                </w:p>
              </w:tc>
              <w:tc>
                <w:tcPr>
                  <w:tcW w:w="723" w:type="dxa"/>
                  <w:vAlign w:val="center"/>
                </w:tcPr>
                <w:p w14:paraId="355283F1">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42</w:t>
                  </w:r>
                </w:p>
              </w:tc>
              <w:tc>
                <w:tcPr>
                  <w:tcW w:w="750" w:type="dxa"/>
                  <w:vAlign w:val="center"/>
                </w:tcPr>
                <w:p w14:paraId="27B1C600">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40</w:t>
                  </w:r>
                </w:p>
              </w:tc>
              <w:tc>
                <w:tcPr>
                  <w:tcW w:w="735" w:type="dxa"/>
                  <w:vAlign w:val="center"/>
                </w:tcPr>
                <w:p w14:paraId="07A1FD00">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36</w:t>
                  </w:r>
                </w:p>
              </w:tc>
            </w:tr>
            <w:tr w14:paraId="2362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13" w:type="dxa"/>
                  <w:vAlign w:val="center"/>
                </w:tcPr>
                <w:p w14:paraId="3369D85D">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移动式吊车</w:t>
                  </w:r>
                </w:p>
              </w:tc>
              <w:tc>
                <w:tcPr>
                  <w:tcW w:w="799" w:type="dxa"/>
                  <w:vAlign w:val="center"/>
                </w:tcPr>
                <w:p w14:paraId="17225C92">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74</w:t>
                  </w:r>
                </w:p>
              </w:tc>
              <w:tc>
                <w:tcPr>
                  <w:tcW w:w="742" w:type="dxa"/>
                  <w:vAlign w:val="center"/>
                </w:tcPr>
                <w:p w14:paraId="447F3DB2">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68</w:t>
                  </w:r>
                </w:p>
              </w:tc>
              <w:tc>
                <w:tcPr>
                  <w:tcW w:w="709" w:type="dxa"/>
                  <w:vAlign w:val="center"/>
                </w:tcPr>
                <w:p w14:paraId="746F86FF">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62</w:t>
                  </w:r>
                </w:p>
              </w:tc>
              <w:tc>
                <w:tcPr>
                  <w:tcW w:w="709" w:type="dxa"/>
                  <w:vAlign w:val="center"/>
                </w:tcPr>
                <w:p w14:paraId="660B1DCB">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56</w:t>
                  </w:r>
                </w:p>
              </w:tc>
              <w:tc>
                <w:tcPr>
                  <w:tcW w:w="723" w:type="dxa"/>
                  <w:vAlign w:val="center"/>
                </w:tcPr>
                <w:p w14:paraId="4D1092B5">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54</w:t>
                  </w:r>
                </w:p>
              </w:tc>
              <w:tc>
                <w:tcPr>
                  <w:tcW w:w="736" w:type="dxa"/>
                  <w:vAlign w:val="center"/>
                </w:tcPr>
                <w:p w14:paraId="4FE4DBF8">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48</w:t>
                  </w:r>
                </w:p>
              </w:tc>
              <w:tc>
                <w:tcPr>
                  <w:tcW w:w="723" w:type="dxa"/>
                  <w:vAlign w:val="center"/>
                </w:tcPr>
                <w:p w14:paraId="67C5CE33">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44</w:t>
                  </w:r>
                </w:p>
              </w:tc>
              <w:tc>
                <w:tcPr>
                  <w:tcW w:w="750" w:type="dxa"/>
                  <w:vAlign w:val="center"/>
                </w:tcPr>
                <w:p w14:paraId="1030065E">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42</w:t>
                  </w:r>
                </w:p>
              </w:tc>
              <w:tc>
                <w:tcPr>
                  <w:tcW w:w="735" w:type="dxa"/>
                  <w:vAlign w:val="center"/>
                </w:tcPr>
                <w:p w14:paraId="0799B1FC">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38</w:t>
                  </w:r>
                </w:p>
              </w:tc>
            </w:tr>
            <w:tr w14:paraId="37B2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313" w:type="dxa"/>
                  <w:vAlign w:val="center"/>
                </w:tcPr>
                <w:p w14:paraId="1677D785">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运输车辆</w:t>
                  </w:r>
                </w:p>
              </w:tc>
              <w:tc>
                <w:tcPr>
                  <w:tcW w:w="799" w:type="dxa"/>
                  <w:vAlign w:val="center"/>
                </w:tcPr>
                <w:p w14:paraId="0653436A">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76</w:t>
                  </w:r>
                </w:p>
              </w:tc>
              <w:tc>
                <w:tcPr>
                  <w:tcW w:w="742" w:type="dxa"/>
                  <w:vAlign w:val="center"/>
                </w:tcPr>
                <w:p w14:paraId="6E8688B9">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70</w:t>
                  </w:r>
                </w:p>
              </w:tc>
              <w:tc>
                <w:tcPr>
                  <w:tcW w:w="709" w:type="dxa"/>
                  <w:vAlign w:val="center"/>
                </w:tcPr>
                <w:p w14:paraId="01F74FA2">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64</w:t>
                  </w:r>
                </w:p>
              </w:tc>
              <w:tc>
                <w:tcPr>
                  <w:tcW w:w="709" w:type="dxa"/>
                  <w:vAlign w:val="center"/>
                </w:tcPr>
                <w:p w14:paraId="3C3317AD">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58</w:t>
                  </w:r>
                </w:p>
              </w:tc>
              <w:tc>
                <w:tcPr>
                  <w:tcW w:w="723" w:type="dxa"/>
                  <w:vAlign w:val="center"/>
                </w:tcPr>
                <w:p w14:paraId="5995CC7A">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56</w:t>
                  </w:r>
                </w:p>
              </w:tc>
              <w:tc>
                <w:tcPr>
                  <w:tcW w:w="736" w:type="dxa"/>
                  <w:vAlign w:val="center"/>
                </w:tcPr>
                <w:p w14:paraId="4A536565">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50</w:t>
                  </w:r>
                </w:p>
              </w:tc>
              <w:tc>
                <w:tcPr>
                  <w:tcW w:w="723" w:type="dxa"/>
                  <w:vAlign w:val="center"/>
                </w:tcPr>
                <w:p w14:paraId="34B1BFF0">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46</w:t>
                  </w:r>
                </w:p>
              </w:tc>
              <w:tc>
                <w:tcPr>
                  <w:tcW w:w="750" w:type="dxa"/>
                  <w:vAlign w:val="center"/>
                </w:tcPr>
                <w:p w14:paraId="4611B2ED">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44</w:t>
                  </w:r>
                </w:p>
              </w:tc>
              <w:tc>
                <w:tcPr>
                  <w:tcW w:w="735" w:type="dxa"/>
                  <w:vAlign w:val="center"/>
                </w:tcPr>
                <w:p w14:paraId="5C41A3E3">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40</w:t>
                  </w:r>
                </w:p>
              </w:tc>
            </w:tr>
            <w:tr w14:paraId="1622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313" w:type="dxa"/>
                  <w:vAlign w:val="center"/>
                </w:tcPr>
                <w:p w14:paraId="3988A03A">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电焊机</w:t>
                  </w:r>
                </w:p>
              </w:tc>
              <w:tc>
                <w:tcPr>
                  <w:tcW w:w="799" w:type="dxa"/>
                  <w:vAlign w:val="center"/>
                </w:tcPr>
                <w:p w14:paraId="654441AD">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71</w:t>
                  </w:r>
                </w:p>
              </w:tc>
              <w:tc>
                <w:tcPr>
                  <w:tcW w:w="742" w:type="dxa"/>
                  <w:vAlign w:val="center"/>
                </w:tcPr>
                <w:p w14:paraId="1EFF1F4B">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65</w:t>
                  </w:r>
                </w:p>
              </w:tc>
              <w:tc>
                <w:tcPr>
                  <w:tcW w:w="709" w:type="dxa"/>
                  <w:vAlign w:val="center"/>
                </w:tcPr>
                <w:p w14:paraId="5F0F0FD2">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59</w:t>
                  </w:r>
                </w:p>
              </w:tc>
              <w:tc>
                <w:tcPr>
                  <w:tcW w:w="709" w:type="dxa"/>
                  <w:vAlign w:val="center"/>
                </w:tcPr>
                <w:p w14:paraId="5AD6F6C2">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53</w:t>
                  </w:r>
                </w:p>
              </w:tc>
              <w:tc>
                <w:tcPr>
                  <w:tcW w:w="723" w:type="dxa"/>
                  <w:vAlign w:val="center"/>
                </w:tcPr>
                <w:p w14:paraId="0A7368BD">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51</w:t>
                  </w:r>
                </w:p>
              </w:tc>
              <w:tc>
                <w:tcPr>
                  <w:tcW w:w="736" w:type="dxa"/>
                  <w:vAlign w:val="center"/>
                </w:tcPr>
                <w:p w14:paraId="3B236AF7">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45</w:t>
                  </w:r>
                </w:p>
              </w:tc>
              <w:tc>
                <w:tcPr>
                  <w:tcW w:w="723" w:type="dxa"/>
                  <w:vAlign w:val="center"/>
                </w:tcPr>
                <w:p w14:paraId="55424AC0">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41</w:t>
                  </w:r>
                </w:p>
              </w:tc>
              <w:tc>
                <w:tcPr>
                  <w:tcW w:w="750" w:type="dxa"/>
                  <w:vAlign w:val="center"/>
                </w:tcPr>
                <w:p w14:paraId="02BBCCD8">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39</w:t>
                  </w:r>
                </w:p>
              </w:tc>
              <w:tc>
                <w:tcPr>
                  <w:tcW w:w="735" w:type="dxa"/>
                  <w:vAlign w:val="center"/>
                </w:tcPr>
                <w:p w14:paraId="0588983C">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35</w:t>
                  </w:r>
                </w:p>
              </w:tc>
            </w:tr>
            <w:tr w14:paraId="6F44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313" w:type="dxa"/>
                  <w:vAlign w:val="center"/>
                </w:tcPr>
                <w:p w14:paraId="03272E70">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切割机</w:t>
                  </w:r>
                </w:p>
              </w:tc>
              <w:tc>
                <w:tcPr>
                  <w:tcW w:w="799" w:type="dxa"/>
                  <w:vAlign w:val="center"/>
                </w:tcPr>
                <w:p w14:paraId="193804EC">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81</w:t>
                  </w:r>
                </w:p>
              </w:tc>
              <w:tc>
                <w:tcPr>
                  <w:tcW w:w="742" w:type="dxa"/>
                  <w:vAlign w:val="center"/>
                </w:tcPr>
                <w:p w14:paraId="695F0E43">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75</w:t>
                  </w:r>
                </w:p>
              </w:tc>
              <w:tc>
                <w:tcPr>
                  <w:tcW w:w="709" w:type="dxa"/>
                  <w:vAlign w:val="center"/>
                </w:tcPr>
                <w:p w14:paraId="07119A1F">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69</w:t>
                  </w:r>
                </w:p>
              </w:tc>
              <w:tc>
                <w:tcPr>
                  <w:tcW w:w="709" w:type="dxa"/>
                  <w:vAlign w:val="center"/>
                </w:tcPr>
                <w:p w14:paraId="25635644">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63</w:t>
                  </w:r>
                </w:p>
              </w:tc>
              <w:tc>
                <w:tcPr>
                  <w:tcW w:w="723" w:type="dxa"/>
                  <w:vAlign w:val="center"/>
                </w:tcPr>
                <w:p w14:paraId="3EC4B2DB">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61</w:t>
                  </w:r>
                </w:p>
              </w:tc>
              <w:tc>
                <w:tcPr>
                  <w:tcW w:w="736" w:type="dxa"/>
                  <w:vAlign w:val="center"/>
                </w:tcPr>
                <w:p w14:paraId="1C335914">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55</w:t>
                  </w:r>
                </w:p>
              </w:tc>
              <w:tc>
                <w:tcPr>
                  <w:tcW w:w="723" w:type="dxa"/>
                  <w:vAlign w:val="center"/>
                </w:tcPr>
                <w:p w14:paraId="12CAF055">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51</w:t>
                  </w:r>
                </w:p>
              </w:tc>
              <w:tc>
                <w:tcPr>
                  <w:tcW w:w="750" w:type="dxa"/>
                  <w:vAlign w:val="center"/>
                </w:tcPr>
                <w:p w14:paraId="3412869B">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49</w:t>
                  </w:r>
                </w:p>
              </w:tc>
              <w:tc>
                <w:tcPr>
                  <w:tcW w:w="735" w:type="dxa"/>
                  <w:vAlign w:val="center"/>
                </w:tcPr>
                <w:p w14:paraId="0BE53BAF">
                  <w:pPr>
                    <w:pStyle w:val="67"/>
                    <w:keepNext w:val="0"/>
                    <w:keepLines w:val="0"/>
                    <w:pageBreakBefore w:val="0"/>
                    <w:widowControl/>
                    <w:kinsoku/>
                    <w:wordWrap/>
                    <w:overflowPunct/>
                    <w:topLinePunct w:val="0"/>
                    <w:autoSpaceDE/>
                    <w:autoSpaceDN/>
                    <w:bidi w:val="0"/>
                    <w:adjustRightInd w:val="0"/>
                    <w:snapToGrid w:val="0"/>
                    <w:spacing w:after="0" w:line="360" w:lineRule="auto"/>
                    <w:textAlignment w:val="auto"/>
                    <w:rPr>
                      <w:color w:val="auto"/>
                    </w:rPr>
                  </w:pPr>
                  <w:r>
                    <w:rPr>
                      <w:color w:val="auto"/>
                    </w:rPr>
                    <w:t>45</w:t>
                  </w:r>
                </w:p>
              </w:tc>
            </w:tr>
            <w:tr w14:paraId="59B7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313" w:type="dxa"/>
                  <w:vAlign w:val="center"/>
                </w:tcPr>
                <w:p w14:paraId="76097B04">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eastAsia="宋体"/>
                      <w:color w:val="auto"/>
                      <w:highlight w:val="none"/>
                      <w:lang w:val="en-US" w:eastAsia="zh-CN"/>
                    </w:rPr>
                  </w:pPr>
                  <w:r>
                    <w:rPr>
                      <w:rFonts w:hint="eastAsia"/>
                      <w:color w:val="auto"/>
                      <w:highlight w:val="none"/>
                      <w:lang w:val="en-US" w:eastAsia="zh-CN"/>
                    </w:rPr>
                    <w:t>以上机械同时施工</w:t>
                  </w:r>
                </w:p>
              </w:tc>
              <w:tc>
                <w:tcPr>
                  <w:tcW w:w="799" w:type="dxa"/>
                  <w:vAlign w:val="center"/>
                </w:tcPr>
                <w:p w14:paraId="3D14E816">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auto"/>
                      <w:highlight w:val="none"/>
                    </w:rPr>
                  </w:pPr>
                  <w:r>
                    <w:rPr>
                      <w:rFonts w:hint="eastAsia"/>
                      <w:color w:val="auto"/>
                      <w:highlight w:val="none"/>
                    </w:rPr>
                    <w:t>83.41</w:t>
                  </w:r>
                </w:p>
              </w:tc>
              <w:tc>
                <w:tcPr>
                  <w:tcW w:w="742" w:type="dxa"/>
                  <w:vAlign w:val="center"/>
                </w:tcPr>
                <w:p w14:paraId="36DEEE5D">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eastAsia="宋体"/>
                      <w:color w:val="auto"/>
                      <w:highlight w:val="none"/>
                      <w:lang w:val="en-US" w:eastAsia="zh-CN"/>
                    </w:rPr>
                  </w:pPr>
                  <w:r>
                    <w:rPr>
                      <w:rFonts w:hint="eastAsia"/>
                      <w:color w:val="auto"/>
                      <w:highlight w:val="none"/>
                      <w:lang w:val="en-US" w:eastAsia="zh-CN"/>
                    </w:rPr>
                    <w:t>77.41</w:t>
                  </w:r>
                </w:p>
              </w:tc>
              <w:tc>
                <w:tcPr>
                  <w:tcW w:w="709" w:type="dxa"/>
                  <w:vAlign w:val="center"/>
                </w:tcPr>
                <w:p w14:paraId="785BDA37">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eastAsia="宋体"/>
                      <w:color w:val="auto"/>
                      <w:highlight w:val="none"/>
                      <w:lang w:val="en-US" w:eastAsia="zh-CN"/>
                    </w:rPr>
                  </w:pPr>
                  <w:r>
                    <w:rPr>
                      <w:rFonts w:hint="eastAsia"/>
                      <w:color w:val="auto"/>
                      <w:highlight w:val="none"/>
                      <w:lang w:val="en-US" w:eastAsia="zh-CN"/>
                    </w:rPr>
                    <w:t>71.41</w:t>
                  </w:r>
                </w:p>
              </w:tc>
              <w:tc>
                <w:tcPr>
                  <w:tcW w:w="709" w:type="dxa"/>
                  <w:vAlign w:val="center"/>
                </w:tcPr>
                <w:p w14:paraId="2F8D52FF">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eastAsia="宋体"/>
                      <w:color w:val="auto"/>
                      <w:highlight w:val="none"/>
                      <w:lang w:val="en-US" w:eastAsia="zh-CN"/>
                    </w:rPr>
                  </w:pPr>
                  <w:r>
                    <w:rPr>
                      <w:rFonts w:hint="eastAsia"/>
                      <w:color w:val="auto"/>
                      <w:highlight w:val="none"/>
                      <w:lang w:val="en-US" w:eastAsia="zh-CN"/>
                    </w:rPr>
                    <w:t>65.41</w:t>
                  </w:r>
                </w:p>
              </w:tc>
              <w:tc>
                <w:tcPr>
                  <w:tcW w:w="723" w:type="dxa"/>
                  <w:vAlign w:val="center"/>
                </w:tcPr>
                <w:p w14:paraId="41A2BF91">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eastAsia="宋体"/>
                      <w:color w:val="auto"/>
                      <w:highlight w:val="none"/>
                      <w:lang w:val="en-US" w:eastAsia="zh-CN"/>
                    </w:rPr>
                  </w:pPr>
                  <w:r>
                    <w:rPr>
                      <w:rFonts w:hint="eastAsia"/>
                      <w:color w:val="auto"/>
                      <w:highlight w:val="none"/>
                      <w:lang w:val="en-US" w:eastAsia="zh-CN"/>
                    </w:rPr>
                    <w:t>63.41</w:t>
                  </w:r>
                </w:p>
              </w:tc>
              <w:tc>
                <w:tcPr>
                  <w:tcW w:w="736" w:type="dxa"/>
                  <w:vAlign w:val="center"/>
                </w:tcPr>
                <w:p w14:paraId="2532F07D">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eastAsia="宋体"/>
                      <w:color w:val="auto"/>
                      <w:highlight w:val="none"/>
                      <w:lang w:val="en-US" w:eastAsia="zh-CN"/>
                    </w:rPr>
                  </w:pPr>
                  <w:r>
                    <w:rPr>
                      <w:rFonts w:hint="eastAsia"/>
                      <w:color w:val="auto"/>
                      <w:highlight w:val="none"/>
                      <w:lang w:val="en-US" w:eastAsia="zh-CN"/>
                    </w:rPr>
                    <w:t>57.41</w:t>
                  </w:r>
                </w:p>
              </w:tc>
              <w:tc>
                <w:tcPr>
                  <w:tcW w:w="723" w:type="dxa"/>
                  <w:vAlign w:val="center"/>
                </w:tcPr>
                <w:p w14:paraId="34DA4D4E">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eastAsia="宋体"/>
                      <w:color w:val="auto"/>
                      <w:highlight w:val="none"/>
                      <w:lang w:val="en-US" w:eastAsia="zh-CN"/>
                    </w:rPr>
                  </w:pPr>
                  <w:r>
                    <w:rPr>
                      <w:rFonts w:hint="eastAsia"/>
                      <w:color w:val="auto"/>
                      <w:highlight w:val="none"/>
                      <w:lang w:val="en-US" w:eastAsia="zh-CN"/>
                    </w:rPr>
                    <w:t>53.41</w:t>
                  </w:r>
                </w:p>
              </w:tc>
              <w:tc>
                <w:tcPr>
                  <w:tcW w:w="750" w:type="dxa"/>
                  <w:vAlign w:val="center"/>
                </w:tcPr>
                <w:p w14:paraId="1FD52C95">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eastAsia="宋体"/>
                      <w:color w:val="auto"/>
                      <w:highlight w:val="none"/>
                      <w:lang w:val="en-US" w:eastAsia="zh-CN"/>
                    </w:rPr>
                  </w:pPr>
                  <w:r>
                    <w:rPr>
                      <w:rFonts w:hint="eastAsia"/>
                      <w:color w:val="auto"/>
                      <w:highlight w:val="none"/>
                      <w:lang w:val="en-US" w:eastAsia="zh-CN"/>
                    </w:rPr>
                    <w:t>51.41</w:t>
                  </w:r>
                </w:p>
              </w:tc>
              <w:tc>
                <w:tcPr>
                  <w:tcW w:w="735" w:type="dxa"/>
                  <w:vAlign w:val="center"/>
                </w:tcPr>
                <w:p w14:paraId="0FBD689B">
                  <w:pPr>
                    <w:pStyle w:val="67"/>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eastAsia="宋体"/>
                      <w:color w:val="auto"/>
                      <w:highlight w:val="none"/>
                      <w:lang w:val="en-US" w:eastAsia="zh-CN"/>
                    </w:rPr>
                  </w:pPr>
                  <w:r>
                    <w:rPr>
                      <w:rFonts w:hint="eastAsia"/>
                      <w:color w:val="auto"/>
                      <w:highlight w:val="none"/>
                      <w:lang w:val="en-US" w:eastAsia="zh-CN"/>
                    </w:rPr>
                    <w:t>47.41</w:t>
                  </w:r>
                </w:p>
              </w:tc>
            </w:tr>
          </w:tbl>
          <w:p w14:paraId="07D2227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rFonts w:hint="eastAsia"/>
                <w:color w:val="auto"/>
                <w:sz w:val="24"/>
              </w:rPr>
              <w:t>项目夜间不施工。</w:t>
            </w:r>
            <w:r>
              <w:rPr>
                <w:rFonts w:hint="eastAsia"/>
                <w:color w:val="auto"/>
                <w:sz w:val="24"/>
                <w:lang w:val="en-US" w:eastAsia="zh-CN"/>
              </w:rPr>
              <w:t>根据上表预测，</w:t>
            </w:r>
            <w:r>
              <w:rPr>
                <w:rFonts w:hint="eastAsia"/>
                <w:color w:val="auto"/>
                <w:sz w:val="24"/>
              </w:rPr>
              <w:t>多种机械同时施工的情况下</w:t>
            </w:r>
            <w:r>
              <w:rPr>
                <w:rFonts w:hint="eastAsia"/>
                <w:color w:val="auto"/>
                <w:sz w:val="24"/>
                <w:lang w:eastAsia="zh-CN"/>
              </w:rPr>
              <w:t>，昼间在距离施工场地</w:t>
            </w:r>
            <w:r>
              <w:rPr>
                <w:rFonts w:hint="eastAsia"/>
                <w:color w:val="auto"/>
                <w:sz w:val="24"/>
                <w:lang w:val="en-US" w:eastAsia="zh-CN"/>
              </w:rPr>
              <w:t>4</w:t>
            </w:r>
            <w:r>
              <w:rPr>
                <w:rFonts w:hint="eastAsia"/>
                <w:color w:val="auto"/>
                <w:sz w:val="24"/>
                <w:lang w:eastAsia="zh-CN"/>
              </w:rPr>
              <w:t>0m范围外，可以满足《建筑施工场界环境噪声排放标准》（GB12523-2011）标准限值要求。</w:t>
            </w:r>
            <w:r>
              <w:rPr>
                <w:color w:val="auto"/>
                <w:sz w:val="24"/>
              </w:rPr>
              <w:t>本项目管线两侧200m范围内均无声环境敏感目标分布，项目的施工机械噪声对周围的声影响较小。随着项目施工的结束，施工噪声的影响也将随之消失，施工噪声对环境的不利影响是暂时的、短期的行为。</w:t>
            </w:r>
          </w:p>
          <w:p w14:paraId="1FB9A7C4">
            <w:pPr>
              <w:pStyle w:val="10"/>
              <w:keepNext w:val="0"/>
              <w:keepLines w:val="0"/>
              <w:pageBreakBefore w:val="0"/>
              <w:widowControl w:val="0"/>
              <w:kinsoku/>
              <w:wordWrap/>
              <w:overflowPunct/>
              <w:topLinePunct w:val="0"/>
              <w:autoSpaceDE/>
              <w:autoSpaceDN/>
              <w:bidi w:val="0"/>
              <w:adjustRightInd/>
              <w:snapToGrid/>
              <w:spacing w:after="0" w:line="360" w:lineRule="auto"/>
              <w:ind w:firstLine="436"/>
              <w:textAlignment w:val="auto"/>
              <w:rPr>
                <w:b/>
                <w:bCs/>
                <w:color w:val="auto"/>
                <w:sz w:val="28"/>
                <w:szCs w:val="28"/>
              </w:rPr>
            </w:pPr>
            <w:r>
              <w:rPr>
                <w:b/>
                <w:bCs/>
                <w:color w:val="auto"/>
                <w:sz w:val="28"/>
                <w:szCs w:val="28"/>
              </w:rPr>
              <w:t>4.1.</w:t>
            </w:r>
            <w:r>
              <w:rPr>
                <w:rFonts w:hint="eastAsia"/>
                <w:b/>
                <w:bCs/>
                <w:color w:val="auto"/>
                <w:sz w:val="28"/>
                <w:szCs w:val="28"/>
              </w:rPr>
              <w:t>4</w:t>
            </w:r>
            <w:r>
              <w:rPr>
                <w:b/>
                <w:bCs/>
                <w:color w:val="auto"/>
                <w:sz w:val="28"/>
                <w:szCs w:val="28"/>
              </w:rPr>
              <w:t>施工期</w:t>
            </w:r>
            <w:r>
              <w:rPr>
                <w:rFonts w:hint="eastAsia"/>
                <w:b/>
                <w:bCs/>
                <w:color w:val="auto"/>
                <w:sz w:val="28"/>
                <w:szCs w:val="28"/>
              </w:rPr>
              <w:t>固体废物</w:t>
            </w:r>
            <w:r>
              <w:rPr>
                <w:b/>
                <w:bCs/>
                <w:color w:val="auto"/>
                <w:sz w:val="28"/>
                <w:szCs w:val="28"/>
              </w:rPr>
              <w:t>影响分析</w:t>
            </w:r>
          </w:p>
          <w:p w14:paraId="1556369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rFonts w:hint="eastAsia"/>
                <w:color w:val="auto"/>
                <w:sz w:val="24"/>
                <w:lang w:val="en-US" w:eastAsia="zh-CN"/>
              </w:rPr>
              <w:t>项目施工过程产生的土方量临时堆放在施工作业带内，施工后期用于回填，土方挖填平衡，没有弃土。</w:t>
            </w:r>
            <w:r>
              <w:rPr>
                <w:rFonts w:hint="eastAsia"/>
                <w:color w:val="auto"/>
                <w:sz w:val="24"/>
              </w:rPr>
              <w:t>施工期产生的固体废物主要为生活垃圾、建筑垃圾、废油漆桶、废油漆刷、切割产生的</w:t>
            </w:r>
            <w:bookmarkStart w:id="39" w:name="OLE_LINK32"/>
            <w:r>
              <w:rPr>
                <w:rFonts w:hint="eastAsia"/>
                <w:color w:val="auto"/>
                <w:sz w:val="24"/>
              </w:rPr>
              <w:t>支架边角料</w:t>
            </w:r>
            <w:r>
              <w:rPr>
                <w:rFonts w:hint="eastAsia"/>
                <w:color w:val="auto"/>
                <w:sz w:val="24"/>
                <w:lang w:val="en-US" w:eastAsia="zh-CN"/>
              </w:rPr>
              <w:t>及</w:t>
            </w:r>
            <w:r>
              <w:rPr>
                <w:rFonts w:hint="eastAsia"/>
                <w:color w:val="auto"/>
                <w:sz w:val="24"/>
              </w:rPr>
              <w:t>管道边角料</w:t>
            </w:r>
            <w:bookmarkEnd w:id="39"/>
            <w:r>
              <w:rPr>
                <w:rFonts w:hint="eastAsia"/>
                <w:color w:val="auto"/>
                <w:sz w:val="24"/>
                <w:lang w:eastAsia="zh-CN"/>
              </w:rPr>
              <w:t>、</w:t>
            </w:r>
            <w:r>
              <w:rPr>
                <w:rFonts w:hint="eastAsia"/>
                <w:color w:val="auto"/>
                <w:sz w:val="24"/>
              </w:rPr>
              <w:t>拆除的</w:t>
            </w:r>
            <w:bookmarkStart w:id="40" w:name="OLE_LINK33"/>
            <w:r>
              <w:rPr>
                <w:rFonts w:hint="eastAsia"/>
                <w:color w:val="auto"/>
                <w:sz w:val="24"/>
              </w:rPr>
              <w:t>旧管和旧支架</w:t>
            </w:r>
            <w:bookmarkEnd w:id="40"/>
            <w:r>
              <w:rPr>
                <w:rFonts w:hint="eastAsia"/>
                <w:color w:val="auto"/>
                <w:sz w:val="24"/>
              </w:rPr>
              <w:t>等。</w:t>
            </w:r>
          </w:p>
          <w:p w14:paraId="0FF5BB2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rFonts w:hint="eastAsia"/>
                <w:color w:val="auto"/>
                <w:sz w:val="24"/>
              </w:rPr>
              <w:t>（1）生活垃圾：项目施工人员生活垃圾以1kg/d人计，生活垃圾产生量大约10kg/d。施工人员生活垃圾定期收集，交由环卫部门进行处理处置。</w:t>
            </w:r>
          </w:p>
          <w:p w14:paraId="0392E23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rPr>
            </w:pPr>
            <w:r>
              <w:rPr>
                <w:rFonts w:hint="eastAsia"/>
                <w:color w:val="auto"/>
                <w:sz w:val="24"/>
              </w:rPr>
              <w:t>（2）废焊条：根据类比调查，废焊条和焊渣产生量约为焊材用量的5%，由此估算废焊条和焊渣的产生量为5kg。废焊条属于一般工业固体废物，通过集中收集后，可外售废品站回收利用。</w:t>
            </w:r>
          </w:p>
          <w:p w14:paraId="71EE51D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auto"/>
                <w:sz w:val="24"/>
                <w:u w:val="single"/>
              </w:rPr>
            </w:pPr>
            <w:r>
              <w:rPr>
                <w:rFonts w:hint="eastAsia"/>
                <w:color w:val="auto"/>
                <w:sz w:val="24"/>
                <w:u w:val="single"/>
              </w:rPr>
              <w:t>（3）拆除的旧管道和</w:t>
            </w:r>
            <w:r>
              <w:rPr>
                <w:rFonts w:hint="eastAsia"/>
                <w:color w:val="auto"/>
                <w:sz w:val="24"/>
                <w:u w:val="single"/>
                <w:lang w:val="en-US" w:eastAsia="zh-CN"/>
              </w:rPr>
              <w:t>钢架</w:t>
            </w:r>
            <w:r>
              <w:rPr>
                <w:rFonts w:hint="eastAsia"/>
                <w:color w:val="auto"/>
                <w:sz w:val="24"/>
                <w:u w:val="single"/>
              </w:rPr>
              <w:t>：</w:t>
            </w:r>
            <w:r>
              <w:rPr>
                <w:rFonts w:hint="eastAsia"/>
                <w:color w:val="auto"/>
                <w:sz w:val="24"/>
                <w:u w:val="single"/>
                <w:lang w:eastAsia="zh-CN"/>
              </w:rPr>
              <w:t>凝缩油（属烃类冷凝液）</w:t>
            </w:r>
            <w:r>
              <w:rPr>
                <w:rFonts w:hint="eastAsia"/>
                <w:color w:val="auto"/>
                <w:sz w:val="24"/>
                <w:u w:val="single"/>
              </w:rPr>
              <w:t>废旧管道属于危险废物</w:t>
            </w:r>
            <w:r>
              <w:rPr>
                <w:rFonts w:hint="eastAsia"/>
                <w:color w:val="auto"/>
                <w:sz w:val="24"/>
                <w:u w:val="single"/>
                <w:lang w:val="en-US" w:eastAsia="zh-CN"/>
              </w:rPr>
              <w:t>HW49</w:t>
            </w:r>
            <w:r>
              <w:rPr>
                <w:rFonts w:hint="eastAsia"/>
                <w:color w:val="auto"/>
                <w:sz w:val="24"/>
                <w:szCs w:val="24"/>
                <w:u w:val="single"/>
                <w:lang w:val="en-US" w:eastAsia="zh-CN"/>
              </w:rPr>
              <w:t>（900-041-49）</w:t>
            </w:r>
            <w:r>
              <w:rPr>
                <w:rFonts w:hint="eastAsia"/>
                <w:color w:val="auto"/>
                <w:sz w:val="24"/>
                <w:u w:val="single"/>
                <w:lang w:val="en-US" w:eastAsia="zh-CN"/>
              </w:rPr>
              <w:t>，</w:t>
            </w:r>
            <w:r>
              <w:rPr>
                <w:rFonts w:hint="eastAsia"/>
                <w:color w:val="auto"/>
                <w:sz w:val="24"/>
                <w:szCs w:val="24"/>
                <w:u w:val="single"/>
              </w:rPr>
              <w:t>由泰兴石化回收并妥善保管，作为备用管材在厂内检修时进行利用</w:t>
            </w:r>
            <w:r>
              <w:rPr>
                <w:rFonts w:hint="eastAsia"/>
                <w:color w:val="auto"/>
                <w:u w:val="single"/>
                <w:lang w:eastAsia="zh-CN"/>
              </w:rPr>
              <w:t>；</w:t>
            </w:r>
            <w:r>
              <w:rPr>
                <w:rFonts w:hint="eastAsia"/>
                <w:color w:val="auto"/>
                <w:sz w:val="24"/>
                <w:u w:val="single"/>
                <w:lang w:val="en-US" w:eastAsia="zh-CN"/>
              </w:rPr>
              <w:t>其他废管、支架等一般固废</w:t>
            </w:r>
            <w:r>
              <w:rPr>
                <w:rFonts w:hint="eastAsia"/>
                <w:color w:val="auto"/>
                <w:sz w:val="24"/>
                <w:u w:val="single"/>
              </w:rPr>
              <w:t>按照材质不同进行废旧物资回收利用</w:t>
            </w:r>
            <w:r>
              <w:rPr>
                <w:rFonts w:hint="eastAsia"/>
                <w:color w:val="auto"/>
                <w:sz w:val="24"/>
                <w:u w:val="single"/>
                <w:lang w:val="en-US" w:eastAsia="zh-CN"/>
              </w:rPr>
              <w:t>或外售</w:t>
            </w:r>
            <w:r>
              <w:rPr>
                <w:rFonts w:hint="eastAsia"/>
                <w:color w:val="auto"/>
                <w:sz w:val="24"/>
                <w:u w:val="single"/>
              </w:rPr>
              <w:t>。</w:t>
            </w:r>
          </w:p>
          <w:p w14:paraId="6372694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lang w:val="en-US" w:eastAsia="zh-CN"/>
              </w:rPr>
            </w:pPr>
            <w:r>
              <w:rPr>
                <w:rFonts w:hint="eastAsia"/>
                <w:color w:val="auto"/>
                <w:sz w:val="24"/>
              </w:rPr>
              <w:t>（4）建筑垃圾：主要包括</w:t>
            </w:r>
            <w:bookmarkStart w:id="41" w:name="OLE_LINK34"/>
            <w:r>
              <w:rPr>
                <w:rFonts w:hint="eastAsia"/>
                <w:color w:val="auto"/>
                <w:sz w:val="24"/>
              </w:rPr>
              <w:t>废包装物</w:t>
            </w:r>
            <w:bookmarkEnd w:id="41"/>
            <w:r>
              <w:rPr>
                <w:rFonts w:hint="eastAsia"/>
                <w:color w:val="auto"/>
                <w:sz w:val="24"/>
              </w:rPr>
              <w:t>、</w:t>
            </w:r>
            <w:r>
              <w:rPr>
                <w:rFonts w:hint="eastAsia"/>
                <w:color w:val="auto"/>
                <w:sz w:val="24"/>
                <w:lang w:val="en-US" w:eastAsia="zh-CN"/>
              </w:rPr>
              <w:t>废支架和管道</w:t>
            </w:r>
            <w:r>
              <w:rPr>
                <w:rFonts w:hint="eastAsia"/>
                <w:color w:val="auto"/>
                <w:sz w:val="24"/>
              </w:rPr>
              <w:t>边角料</w:t>
            </w:r>
            <w:r>
              <w:rPr>
                <w:rFonts w:hint="eastAsia"/>
                <w:color w:val="auto"/>
                <w:sz w:val="24"/>
                <w:lang w:val="en-US" w:eastAsia="zh-CN"/>
              </w:rPr>
              <w:t>等</w:t>
            </w:r>
            <w:r>
              <w:rPr>
                <w:rFonts w:hint="eastAsia"/>
                <w:color w:val="auto"/>
                <w:sz w:val="24"/>
              </w:rPr>
              <w:t>。根据建设单位提供资料，项目施工规模较小，总长度约为198.5m，建筑垃圾产生量约为300kg。废包装物</w:t>
            </w:r>
            <w:r>
              <w:rPr>
                <w:rFonts w:hint="eastAsia"/>
                <w:color w:val="auto"/>
                <w:sz w:val="24"/>
                <w:lang w:eastAsia="zh-CN"/>
              </w:rPr>
              <w:t>、</w:t>
            </w:r>
            <w:r>
              <w:rPr>
                <w:rFonts w:hint="eastAsia"/>
                <w:color w:val="auto"/>
                <w:sz w:val="24"/>
                <w:lang w:val="en-US" w:eastAsia="zh-CN"/>
              </w:rPr>
              <w:t>废支架和管道</w:t>
            </w:r>
            <w:r>
              <w:rPr>
                <w:rFonts w:hint="eastAsia"/>
                <w:color w:val="auto"/>
                <w:sz w:val="24"/>
              </w:rPr>
              <w:t>边角料</w:t>
            </w:r>
            <w:r>
              <w:rPr>
                <w:rFonts w:hint="eastAsia"/>
                <w:color w:val="auto"/>
                <w:sz w:val="24"/>
                <w:lang w:val="en-US" w:eastAsia="zh-CN"/>
              </w:rPr>
              <w:t>有利于价值的部分进行回收利用，不能回收的部分按一般工业固体废物</w:t>
            </w:r>
            <w:r>
              <w:rPr>
                <w:rFonts w:ascii="Times New Roman" w:hAnsi="Times New Roman"/>
                <w:color w:val="auto"/>
                <w:sz w:val="24"/>
              </w:rPr>
              <w:t>送至当地主管部门</w:t>
            </w:r>
            <w:r>
              <w:rPr>
                <w:rFonts w:hint="eastAsia" w:ascii="Times New Roman" w:hAnsi="Times New Roman" w:eastAsia="宋体" w:cs="Times New Roman"/>
                <w:color w:val="auto"/>
                <w:kern w:val="2"/>
                <w:sz w:val="24"/>
                <w:szCs w:val="24"/>
                <w:u w:val="single"/>
                <w:lang w:val="en-US" w:eastAsia="zh-CN" w:bidi="ar-SA"/>
              </w:rPr>
              <w:t>指定的消纳场进行处置</w:t>
            </w:r>
            <w:r>
              <w:rPr>
                <w:rFonts w:hint="eastAsia"/>
                <w:color w:val="auto"/>
                <w:sz w:val="24"/>
                <w:lang w:val="en-US" w:eastAsia="zh-CN"/>
              </w:rPr>
              <w:t>。</w:t>
            </w:r>
          </w:p>
          <w:p w14:paraId="7295FAFC">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olor w:val="auto"/>
                <w:sz w:val="24"/>
                <w:u w:val="single"/>
                <w:lang w:eastAsia="zh-CN"/>
              </w:rPr>
            </w:pPr>
            <w:r>
              <w:rPr>
                <w:rFonts w:hint="eastAsia"/>
                <w:color w:val="auto"/>
                <w:sz w:val="24"/>
                <w:u w:val="single"/>
              </w:rPr>
              <w:t>（</w:t>
            </w:r>
            <w:r>
              <w:rPr>
                <w:rFonts w:hint="eastAsia"/>
                <w:color w:val="auto"/>
                <w:sz w:val="24"/>
                <w:u w:val="single"/>
                <w:lang w:val="en-US" w:eastAsia="zh-CN"/>
              </w:rPr>
              <w:t>5</w:t>
            </w:r>
            <w:r>
              <w:rPr>
                <w:rFonts w:hint="eastAsia"/>
                <w:color w:val="auto"/>
                <w:sz w:val="24"/>
                <w:u w:val="single"/>
              </w:rPr>
              <w:t>）废油漆桶、废油漆刷，属于危险废物</w:t>
            </w:r>
            <w:r>
              <w:rPr>
                <w:rFonts w:hint="eastAsia"/>
                <w:color w:val="auto"/>
                <w:sz w:val="24"/>
                <w:u w:val="single"/>
                <w:lang w:val="en-US" w:eastAsia="zh-CN"/>
              </w:rPr>
              <w:t>HW49</w:t>
            </w:r>
            <w:r>
              <w:rPr>
                <w:rFonts w:hint="eastAsia"/>
                <w:color w:val="auto"/>
                <w:u w:val="single"/>
                <w:lang w:val="en-US" w:eastAsia="zh-CN"/>
              </w:rPr>
              <w:t>（900-041-49）</w:t>
            </w:r>
            <w:r>
              <w:rPr>
                <w:rFonts w:hint="eastAsia"/>
                <w:color w:val="auto"/>
                <w:sz w:val="24"/>
                <w:u w:val="single"/>
                <w:lang w:val="en-US" w:eastAsia="zh-CN"/>
              </w:rPr>
              <w:t>，由施工单位收集后暂存泰兴石化的危废暂存间，再</w:t>
            </w:r>
            <w:r>
              <w:rPr>
                <w:rFonts w:hint="eastAsia"/>
                <w:color w:val="auto"/>
                <w:sz w:val="24"/>
                <w:u w:val="single"/>
              </w:rPr>
              <w:t>委托有资质单位处理</w:t>
            </w:r>
            <w:r>
              <w:rPr>
                <w:rFonts w:hint="eastAsia"/>
                <w:color w:val="auto"/>
                <w:sz w:val="24"/>
                <w:u w:val="single"/>
                <w:lang w:eastAsia="zh-CN"/>
              </w:rPr>
              <w:t>。</w:t>
            </w:r>
            <w:r>
              <w:rPr>
                <w:rFonts w:hint="eastAsia"/>
                <w:color w:val="auto"/>
                <w:sz w:val="24"/>
                <w:u w:val="single"/>
                <w:lang w:val="en-US" w:eastAsia="zh-CN"/>
              </w:rPr>
              <w:t>如果使用水性环保油漆，按</w:t>
            </w:r>
            <w:r>
              <w:rPr>
                <w:rFonts w:hint="eastAsia" w:ascii="Times New Roman" w:hAnsi="Times New Roman"/>
                <w:color w:val="auto"/>
                <w:sz w:val="24"/>
                <w:u w:val="single"/>
                <w:lang w:eastAsia="zh-CN"/>
              </w:rPr>
              <w:t>《国家危险废物名录</w:t>
            </w:r>
            <w:r>
              <w:rPr>
                <w:rFonts w:hint="eastAsia"/>
                <w:color w:val="auto"/>
                <w:sz w:val="24"/>
                <w:u w:val="single"/>
                <w:lang w:eastAsia="zh-CN"/>
              </w:rPr>
              <w:t>（</w:t>
            </w:r>
            <w:r>
              <w:rPr>
                <w:rFonts w:hint="eastAsia"/>
                <w:color w:val="auto"/>
                <w:sz w:val="24"/>
                <w:u w:val="single"/>
                <w:lang w:val="en-US" w:eastAsia="zh-CN"/>
              </w:rPr>
              <w:t>2025年版）</w:t>
            </w:r>
            <w:r>
              <w:rPr>
                <w:rFonts w:hint="eastAsia" w:ascii="Times New Roman" w:hAnsi="Times New Roman"/>
                <w:color w:val="auto"/>
                <w:sz w:val="24"/>
                <w:u w:val="single"/>
                <w:lang w:eastAsia="zh-CN"/>
              </w:rPr>
              <w:t>》中废物类别HW12染料、涂料废物，废物代码</w:t>
            </w:r>
            <w:r>
              <w:rPr>
                <w:rFonts w:hint="eastAsia"/>
                <w:color w:val="auto"/>
                <w:sz w:val="24"/>
                <w:u w:val="single"/>
                <w:lang w:val="en-US" w:eastAsia="zh-CN"/>
              </w:rPr>
              <w:t>900</w:t>
            </w:r>
            <w:r>
              <w:rPr>
                <w:rFonts w:hint="eastAsia" w:ascii="Times New Roman" w:hAnsi="Times New Roman"/>
                <w:color w:val="auto"/>
                <w:sz w:val="24"/>
                <w:u w:val="single"/>
                <w:lang w:eastAsia="zh-CN"/>
              </w:rPr>
              <w:t>-</w:t>
            </w:r>
            <w:r>
              <w:rPr>
                <w:rFonts w:hint="eastAsia"/>
                <w:color w:val="auto"/>
                <w:sz w:val="24"/>
                <w:u w:val="single"/>
                <w:lang w:val="en-US" w:eastAsia="zh-CN"/>
              </w:rPr>
              <w:t>251</w:t>
            </w:r>
            <w:r>
              <w:rPr>
                <w:rFonts w:hint="eastAsia" w:ascii="Times New Roman" w:hAnsi="Times New Roman"/>
                <w:color w:val="auto"/>
                <w:sz w:val="24"/>
                <w:u w:val="single"/>
                <w:lang w:eastAsia="zh-CN"/>
              </w:rPr>
              <w:t>-12 使用油漆（不包括水性漆）、有机溶剂进行阻挡层涂敷过程中产生的废物属危险废物，其中水性漆生产过程中产生的废物未列其中，其处理处置过程可以不按照危险废物管理，</w:t>
            </w:r>
            <w:r>
              <w:rPr>
                <w:rFonts w:hint="eastAsia"/>
                <w:color w:val="auto"/>
                <w:sz w:val="24"/>
                <w:u w:val="single"/>
                <w:lang w:val="en-US" w:eastAsia="zh-CN"/>
              </w:rPr>
              <w:t>则废油漆桶、废油漆刷为一般固废，</w:t>
            </w:r>
            <w:r>
              <w:rPr>
                <w:rFonts w:hint="eastAsia" w:ascii="Times New Roman" w:hAnsi="Times New Roman"/>
                <w:color w:val="auto"/>
                <w:sz w:val="24"/>
                <w:u w:val="single"/>
                <w:lang w:eastAsia="zh-CN"/>
              </w:rPr>
              <w:t>但环评要求暂存于危废暂存间，沾染水性漆的一般工业废物，应考虑以下方式处理：①与有处理资质的单位签订协议，送至有该II类工业废物处理资质的单位处理处置。②或仍按照危险废物HW49（900-041-49）交由有资质的单位处置。</w:t>
            </w:r>
          </w:p>
          <w:p w14:paraId="29EE05E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（6）沉淀池沉渣：沉淀池的沉渣主要成分为砂砾和泥土，属于一般固废，定期清掏自然脱水干化后与建筑垃圾一并清运至当地主管部门指定的消纳场进行处置</w:t>
            </w:r>
            <w:r>
              <w:rPr>
                <w:rFonts w:hint="eastAsia" w:cs="Times New Roman"/>
                <w:color w:val="auto"/>
                <w:kern w:val="2"/>
                <w:sz w:val="24"/>
                <w:szCs w:val="24"/>
                <w:u w:val="single"/>
                <w:lang w:val="en-US" w:eastAsia="zh-CN" w:bidi="ar-SA"/>
              </w:rPr>
              <w:t>。</w:t>
            </w:r>
          </w:p>
          <w:p w14:paraId="6518E945">
            <w:pPr>
              <w:keepNext w:val="0"/>
              <w:keepLines w:val="0"/>
              <w:pageBreakBefore w:val="0"/>
              <w:kinsoku/>
              <w:wordWrap/>
              <w:overflowPunct/>
              <w:autoSpaceDE/>
              <w:autoSpaceDN/>
              <w:bidi w:val="0"/>
              <w:spacing w:after="0" w:line="360" w:lineRule="auto"/>
              <w:ind w:firstLine="480" w:firstLineChars="200"/>
              <w:textAlignment w:val="auto"/>
              <w:rPr>
                <w:color w:val="auto"/>
                <w:sz w:val="24"/>
              </w:rPr>
            </w:pPr>
            <w:r>
              <w:rPr>
                <w:rFonts w:hint="eastAsia"/>
                <w:color w:val="auto"/>
                <w:sz w:val="24"/>
              </w:rPr>
              <w:t>综上，本项目采取以上综合措施治理后，施工期固废均可以得到妥善处置，施工固体废物不会对周围环境造成较大影响。</w:t>
            </w:r>
          </w:p>
          <w:p w14:paraId="3020B253">
            <w:pPr>
              <w:keepNext w:val="0"/>
              <w:keepLines w:val="0"/>
              <w:pageBreakBefore w:val="0"/>
              <w:kinsoku/>
              <w:wordWrap/>
              <w:overflowPunct/>
              <w:autoSpaceDE/>
              <w:autoSpaceDN/>
              <w:bidi w:val="0"/>
              <w:adjustRightInd w:val="0"/>
              <w:snapToGrid w:val="0"/>
              <w:spacing w:after="0" w:line="360" w:lineRule="auto"/>
              <w:ind w:firstLine="562" w:firstLineChars="200"/>
              <w:textAlignment w:val="auto"/>
              <w:outlineLvl w:val="2"/>
              <w:rPr>
                <w:b/>
                <w:bCs/>
                <w:color w:val="auto"/>
                <w:sz w:val="28"/>
                <w:szCs w:val="28"/>
              </w:rPr>
            </w:pPr>
            <w:r>
              <w:rPr>
                <w:b/>
                <w:bCs/>
                <w:color w:val="auto"/>
                <w:sz w:val="28"/>
                <w:szCs w:val="28"/>
              </w:rPr>
              <w:t>4.1.</w:t>
            </w:r>
            <w:r>
              <w:rPr>
                <w:rFonts w:hint="eastAsia"/>
                <w:b/>
                <w:bCs/>
                <w:color w:val="auto"/>
                <w:sz w:val="28"/>
                <w:szCs w:val="28"/>
              </w:rPr>
              <w:t>4</w:t>
            </w:r>
            <w:r>
              <w:rPr>
                <w:b/>
                <w:bCs/>
                <w:color w:val="auto"/>
                <w:sz w:val="28"/>
                <w:szCs w:val="28"/>
              </w:rPr>
              <w:t>施工期生态环境影响分析</w:t>
            </w:r>
          </w:p>
          <w:p w14:paraId="4A55545B">
            <w:pPr>
              <w:keepNext w:val="0"/>
              <w:keepLines w:val="0"/>
              <w:pageBreakBefore w:val="0"/>
              <w:kinsoku/>
              <w:wordWrap/>
              <w:overflowPunct/>
              <w:autoSpaceDE/>
              <w:autoSpaceDN/>
              <w:bidi w:val="0"/>
              <w:spacing w:after="0" w:line="360" w:lineRule="auto"/>
              <w:ind w:firstLine="480" w:firstLineChars="200"/>
              <w:textAlignment w:val="auto"/>
              <w:rPr>
                <w:color w:val="auto"/>
                <w:sz w:val="24"/>
                <w:szCs w:val="18"/>
              </w:rPr>
            </w:pPr>
            <w:r>
              <w:rPr>
                <w:color w:val="auto"/>
                <w:sz w:val="24"/>
                <w:szCs w:val="18"/>
              </w:rPr>
              <w:t>本项目占地不涉及珍稀濒危物种和敏感地区，不涉及国家及自治区级保护物种。施工期间填挖土石方将使场址原有的自然植被遭到破坏，地表裸露，从而使该地原有的生态结构发生一定变化。施工结束后，部分原有自然生态结构将为人工建筑所替代，因此项目建成后其对生态结构有一定的影响。</w:t>
            </w:r>
          </w:p>
          <w:p w14:paraId="1C74217C">
            <w:pPr>
              <w:pStyle w:val="14"/>
              <w:keepNext w:val="0"/>
              <w:keepLines w:val="0"/>
              <w:pageBreakBefore w:val="0"/>
              <w:kinsoku/>
              <w:wordWrap/>
              <w:overflowPunct/>
              <w:autoSpaceDE/>
              <w:autoSpaceDN/>
              <w:bidi w:val="0"/>
              <w:spacing w:after="0" w:line="360" w:lineRule="auto"/>
              <w:ind w:firstLine="482" w:firstLineChars="200"/>
              <w:textAlignment w:val="auto"/>
              <w:rPr>
                <w:b/>
                <w:color w:val="auto"/>
                <w:kern w:val="2"/>
                <w:sz w:val="24"/>
                <w:szCs w:val="18"/>
              </w:rPr>
            </w:pPr>
            <w:r>
              <w:rPr>
                <w:b/>
                <w:color w:val="auto"/>
                <w:kern w:val="2"/>
                <w:sz w:val="24"/>
                <w:szCs w:val="18"/>
              </w:rPr>
              <w:t>（1）</w:t>
            </w:r>
            <w:r>
              <w:rPr>
                <w:rFonts w:hint="eastAsia"/>
                <w:b/>
                <w:color w:val="auto"/>
                <w:kern w:val="2"/>
                <w:sz w:val="24"/>
                <w:szCs w:val="18"/>
              </w:rPr>
              <w:t>对土地利用的影响分析</w:t>
            </w:r>
          </w:p>
          <w:p w14:paraId="0CD30945">
            <w:pPr>
              <w:keepNext w:val="0"/>
              <w:keepLines w:val="0"/>
              <w:pageBreakBefore w:val="0"/>
              <w:tabs>
                <w:tab w:val="center" w:pos="4153"/>
                <w:tab w:val="right" w:pos="8306"/>
              </w:tabs>
              <w:kinsoku/>
              <w:wordWrap/>
              <w:overflowPunct/>
              <w:autoSpaceDE/>
              <w:autoSpaceDN/>
              <w:bidi w:val="0"/>
              <w:snapToGrid w:val="0"/>
              <w:spacing w:after="0" w:line="360" w:lineRule="auto"/>
              <w:ind w:firstLine="480" w:firstLineChars="200"/>
              <w:textAlignment w:val="auto"/>
              <w:rPr>
                <w:color w:val="auto"/>
                <w:sz w:val="24"/>
                <w:szCs w:val="18"/>
              </w:rPr>
            </w:pPr>
            <w:r>
              <w:rPr>
                <w:rFonts w:hint="eastAsia"/>
                <w:color w:val="auto"/>
                <w:sz w:val="24"/>
                <w:szCs w:val="18"/>
              </w:rPr>
              <w:t>本项目总占地面积694.75m</w:t>
            </w:r>
            <w:r>
              <w:rPr>
                <w:rFonts w:hint="eastAsia"/>
                <w:color w:val="auto"/>
                <w:sz w:val="24"/>
                <w:szCs w:val="18"/>
                <w:vertAlign w:val="superscript"/>
              </w:rPr>
              <w:t>2</w:t>
            </w:r>
            <w:r>
              <w:rPr>
                <w:rFonts w:hint="eastAsia"/>
                <w:color w:val="auto"/>
                <w:sz w:val="24"/>
                <w:szCs w:val="18"/>
              </w:rPr>
              <w:t>，本项目影响区域地面将变为不可渗透和不利于植物生长的管架地基，可能会对原有的生态系统功能和结构有影响。项目的管廊为位于地上的支架结构，建设管廊的基础承台仅需要占用少量的用地，目前该地块场地已平整，植被稀少。</w:t>
            </w:r>
          </w:p>
          <w:p w14:paraId="071E9608">
            <w:pPr>
              <w:keepNext w:val="0"/>
              <w:keepLines w:val="0"/>
              <w:pageBreakBefore w:val="0"/>
              <w:tabs>
                <w:tab w:val="center" w:pos="4153"/>
                <w:tab w:val="right" w:pos="8306"/>
              </w:tabs>
              <w:kinsoku/>
              <w:wordWrap/>
              <w:overflowPunct/>
              <w:autoSpaceDE/>
              <w:autoSpaceDN/>
              <w:bidi w:val="0"/>
              <w:snapToGrid w:val="0"/>
              <w:spacing w:after="0" w:line="360" w:lineRule="auto"/>
              <w:ind w:firstLine="480" w:firstLineChars="200"/>
              <w:textAlignment w:val="auto"/>
              <w:rPr>
                <w:color w:val="auto"/>
                <w:sz w:val="24"/>
                <w:szCs w:val="18"/>
              </w:rPr>
            </w:pPr>
            <w:r>
              <w:rPr>
                <w:rFonts w:hint="eastAsia"/>
                <w:color w:val="auto"/>
                <w:sz w:val="24"/>
                <w:szCs w:val="18"/>
              </w:rPr>
              <w:t>本项目应尽量少占地，尽量缩小施工范围，各种施工活动应严格控制在施工区域内，将临时占地面积控制在最低限度。对于施工过程中破坏的植被，要限定补偿措施，进行补偿。对于临时占地，竣工后要进行恢复地形原貌。在开挖地表土壤时，尽可能将表土单独堆放，采用密目网覆盖堆体，施工完毕，应尽快整理施工现场，将表土覆盖在原地表，以恢复植被。项目占地面积少，对区域土地利用格局的影响很小，不会对区域土地利用产生较大影响。</w:t>
            </w:r>
          </w:p>
          <w:p w14:paraId="36AC14E9">
            <w:pPr>
              <w:pStyle w:val="2"/>
              <w:keepNext w:val="0"/>
              <w:keepLines w:val="0"/>
              <w:pageBreakBefore w:val="0"/>
              <w:kinsoku/>
              <w:wordWrap/>
              <w:overflowPunct/>
              <w:autoSpaceDE/>
              <w:autoSpaceDN/>
              <w:bidi w:val="0"/>
              <w:spacing w:after="0" w:line="360" w:lineRule="auto"/>
              <w:textAlignment w:val="auto"/>
              <w:rPr>
                <w:rFonts w:ascii="Times New Roman" w:hAnsi="Times New Roman"/>
                <w:b/>
                <w:color w:val="auto"/>
                <w:sz w:val="24"/>
              </w:rPr>
            </w:pPr>
            <w:r>
              <w:rPr>
                <w:rFonts w:ascii="Times New Roman" w:hAnsi="Times New Roman"/>
                <w:b/>
                <w:color w:val="auto"/>
                <w:sz w:val="24"/>
              </w:rPr>
              <w:t>（2）对动物的影响分析</w:t>
            </w:r>
          </w:p>
          <w:p w14:paraId="63A4B1E8">
            <w:pPr>
              <w:pStyle w:val="2"/>
              <w:keepNext w:val="0"/>
              <w:keepLines w:val="0"/>
              <w:pageBreakBefore w:val="0"/>
              <w:kinsoku/>
              <w:wordWrap/>
              <w:overflowPunct/>
              <w:autoSpaceDE/>
              <w:autoSpaceDN/>
              <w:bidi w:val="0"/>
              <w:spacing w:after="0" w:line="360" w:lineRule="auto"/>
              <w:textAlignment w:val="auto"/>
              <w:rPr>
                <w:rFonts w:ascii="Times New Roman" w:hAnsi="Times New Roman"/>
                <w:color w:val="auto"/>
                <w:sz w:val="24"/>
              </w:rPr>
            </w:pPr>
            <w:r>
              <w:rPr>
                <w:rFonts w:ascii="Times New Roman" w:hAnsi="Times New Roman"/>
                <w:color w:val="auto"/>
                <w:sz w:val="24"/>
              </w:rPr>
              <w:t>项目所在区域人类活动频繁，</w:t>
            </w:r>
            <w:r>
              <w:rPr>
                <w:rFonts w:hint="eastAsia" w:ascii="Times New Roman" w:hAnsi="Times New Roman"/>
                <w:color w:val="auto"/>
                <w:sz w:val="24"/>
              </w:rPr>
              <w:t>施工区</w:t>
            </w:r>
            <w:r>
              <w:rPr>
                <w:rFonts w:ascii="Times New Roman" w:hAnsi="Times New Roman"/>
                <w:color w:val="auto"/>
                <w:sz w:val="24"/>
              </w:rPr>
              <w:t>内野生动物的种类及数量都不多，常见物种主要有小型哺乳动物、爬行类、昆虫</w:t>
            </w:r>
            <w:r>
              <w:rPr>
                <w:rFonts w:hint="eastAsia" w:ascii="Times New Roman" w:hAnsi="Times New Roman"/>
                <w:color w:val="auto"/>
                <w:sz w:val="24"/>
              </w:rPr>
              <w:t>等</w:t>
            </w:r>
            <w:r>
              <w:rPr>
                <w:rFonts w:ascii="Times New Roman" w:hAnsi="Times New Roman"/>
                <w:color w:val="auto"/>
                <w:sz w:val="24"/>
              </w:rPr>
              <w:t>。项目施工期间场地建设，将使原栖息地上的动物丧失栖息地和觅食地，为觅食和寻找适宜的栖息地而向四周迁移。但</w:t>
            </w:r>
            <w:r>
              <w:rPr>
                <w:rFonts w:hint="eastAsia" w:ascii="Times New Roman" w:hAnsi="Times New Roman"/>
                <w:color w:val="auto"/>
                <w:sz w:val="24"/>
              </w:rPr>
              <w:t>施工区</w:t>
            </w:r>
            <w:r>
              <w:rPr>
                <w:rFonts w:ascii="Times New Roman" w:hAnsi="Times New Roman"/>
                <w:color w:val="auto"/>
                <w:sz w:val="24"/>
              </w:rPr>
              <w:t>内动物都是些常见种类</w:t>
            </w:r>
            <w:r>
              <w:rPr>
                <w:rFonts w:hint="eastAsia" w:ascii="Times New Roman" w:hAnsi="Times New Roman"/>
                <w:color w:val="auto"/>
                <w:sz w:val="24"/>
              </w:rPr>
              <w:t>如鼠类、昆虫等</w:t>
            </w:r>
            <w:r>
              <w:rPr>
                <w:rFonts w:ascii="Times New Roman" w:hAnsi="Times New Roman"/>
                <w:color w:val="auto"/>
                <w:sz w:val="24"/>
              </w:rPr>
              <w:t>，</w:t>
            </w:r>
            <w:r>
              <w:rPr>
                <w:rFonts w:hint="eastAsia" w:ascii="Times New Roman" w:hAnsi="Times New Roman"/>
                <w:color w:val="auto"/>
                <w:sz w:val="24"/>
              </w:rPr>
              <w:t>具有很好的迁移能力，管道沿线具有一些相同的生境，评价范围内有许多动物的替代生境，动物比较容易在附近区域找到适宜的可替代生境，同时，本项目施工范围较小，工程建设对野生动物影响的范围不大且影响时间较短，随着施工结束，有部分动物迁回原来领地，因此，项目施工占地对陆生动物的影响较小</w:t>
            </w:r>
            <w:r>
              <w:rPr>
                <w:rFonts w:ascii="Times New Roman" w:hAnsi="Times New Roman"/>
                <w:color w:val="auto"/>
                <w:sz w:val="24"/>
              </w:rPr>
              <w:t>。</w:t>
            </w:r>
          </w:p>
          <w:p w14:paraId="67BF1737">
            <w:pPr>
              <w:pStyle w:val="2"/>
              <w:keepNext w:val="0"/>
              <w:keepLines w:val="0"/>
              <w:pageBreakBefore w:val="0"/>
              <w:kinsoku/>
              <w:wordWrap/>
              <w:overflowPunct/>
              <w:autoSpaceDE/>
              <w:autoSpaceDN/>
              <w:bidi w:val="0"/>
              <w:spacing w:after="0" w:line="360" w:lineRule="auto"/>
              <w:textAlignment w:val="auto"/>
              <w:rPr>
                <w:rFonts w:ascii="Times New Roman" w:hAnsi="Times New Roman"/>
                <w:b/>
                <w:color w:val="auto"/>
                <w:sz w:val="24"/>
              </w:rPr>
            </w:pPr>
            <w:r>
              <w:rPr>
                <w:rFonts w:ascii="Times New Roman" w:hAnsi="Times New Roman"/>
                <w:b/>
                <w:color w:val="auto"/>
                <w:sz w:val="24"/>
              </w:rPr>
              <w:t>（</w:t>
            </w:r>
            <w:r>
              <w:rPr>
                <w:rFonts w:hint="eastAsia" w:ascii="Times New Roman" w:hAnsi="Times New Roman"/>
                <w:b/>
                <w:color w:val="auto"/>
                <w:sz w:val="24"/>
              </w:rPr>
              <w:t>3</w:t>
            </w:r>
            <w:r>
              <w:rPr>
                <w:rFonts w:ascii="Times New Roman" w:hAnsi="Times New Roman"/>
                <w:b/>
                <w:color w:val="auto"/>
                <w:sz w:val="24"/>
              </w:rPr>
              <w:t>）对</w:t>
            </w:r>
            <w:r>
              <w:rPr>
                <w:rFonts w:hint="eastAsia" w:ascii="Times New Roman" w:hAnsi="Times New Roman"/>
                <w:b/>
                <w:color w:val="auto"/>
                <w:sz w:val="24"/>
              </w:rPr>
              <w:t>陆生植物</w:t>
            </w:r>
            <w:r>
              <w:rPr>
                <w:rFonts w:ascii="Times New Roman" w:hAnsi="Times New Roman"/>
                <w:b/>
                <w:color w:val="auto"/>
                <w:sz w:val="24"/>
              </w:rPr>
              <w:t>的影响分析</w:t>
            </w:r>
          </w:p>
          <w:p w14:paraId="0723FEB4">
            <w:pPr>
              <w:keepNext w:val="0"/>
              <w:keepLines w:val="0"/>
              <w:pageBreakBefore w:val="0"/>
              <w:kinsoku/>
              <w:wordWrap/>
              <w:overflowPunct/>
              <w:autoSpaceDE/>
              <w:autoSpaceDN/>
              <w:bidi w:val="0"/>
              <w:spacing w:after="0" w:line="360" w:lineRule="auto"/>
              <w:ind w:firstLine="504" w:firstLineChars="200"/>
              <w:textAlignment w:val="auto"/>
              <w:rPr>
                <w:color w:val="auto"/>
                <w:spacing w:val="6"/>
                <w:kern w:val="0"/>
                <w:sz w:val="24"/>
                <w:szCs w:val="20"/>
              </w:rPr>
            </w:pPr>
            <w:r>
              <w:rPr>
                <w:rFonts w:hint="eastAsia"/>
                <w:color w:val="auto"/>
                <w:spacing w:val="6"/>
                <w:kern w:val="0"/>
                <w:sz w:val="24"/>
                <w:szCs w:val="20"/>
              </w:rPr>
              <w:t>通过现场勘察、资料搜集和公众咨询，评价范围内未发现国家或省级重点保护野生植物，本工程沿线所经区域植被主要为低矮草本植物，植物物种多为当地常见种，在管道沿线分布十分广泛，工程建设不会造成本区域内植物物种的消失或植物群落的消失，工程施工对沿线陆生植物影响不大。</w:t>
            </w:r>
          </w:p>
          <w:p w14:paraId="4BDD065F">
            <w:pPr>
              <w:keepNext w:val="0"/>
              <w:keepLines w:val="0"/>
              <w:pageBreakBefore w:val="0"/>
              <w:tabs>
                <w:tab w:val="center" w:pos="4153"/>
                <w:tab w:val="right" w:pos="8306"/>
              </w:tabs>
              <w:kinsoku/>
              <w:wordWrap/>
              <w:overflowPunct/>
              <w:autoSpaceDE/>
              <w:autoSpaceDN/>
              <w:bidi w:val="0"/>
              <w:snapToGrid w:val="0"/>
              <w:spacing w:after="0" w:line="360" w:lineRule="auto"/>
              <w:ind w:firstLine="482" w:firstLineChars="200"/>
              <w:jc w:val="left"/>
              <w:textAlignment w:val="auto"/>
              <w:rPr>
                <w:b/>
                <w:color w:val="auto"/>
                <w:sz w:val="24"/>
                <w:szCs w:val="18"/>
              </w:rPr>
            </w:pPr>
            <w:r>
              <w:rPr>
                <w:b/>
                <w:color w:val="auto"/>
                <w:sz w:val="24"/>
                <w:szCs w:val="18"/>
              </w:rPr>
              <w:t>（3）水土流失的影响</w:t>
            </w:r>
          </w:p>
          <w:p w14:paraId="75061997">
            <w:pPr>
              <w:pStyle w:val="51"/>
              <w:keepNext w:val="0"/>
              <w:keepLines w:val="0"/>
              <w:pageBreakBefore w:val="0"/>
              <w:kinsoku/>
              <w:wordWrap/>
              <w:overflowPunct/>
              <w:autoSpaceDE/>
              <w:autoSpaceDN/>
              <w:bidi w:val="0"/>
              <w:spacing w:after="0" w:line="360" w:lineRule="auto"/>
              <w:ind w:firstLine="480"/>
              <w:textAlignment w:val="auto"/>
              <w:rPr>
                <w:color w:val="auto"/>
                <w:kern w:val="2"/>
                <w:szCs w:val="24"/>
                <w:lang w:eastAsia="zh-CN" w:bidi="ar-SA"/>
              </w:rPr>
            </w:pPr>
            <w:r>
              <w:rPr>
                <w:rFonts w:hint="eastAsia"/>
                <w:color w:val="auto"/>
                <w:kern w:val="2"/>
                <w:szCs w:val="24"/>
                <w:lang w:eastAsia="zh-CN" w:bidi="ar-SA"/>
              </w:rPr>
              <w:t>本项目建设占地主要为混凝土桩基及管架等，可能会引起局部水土流失等。通过建设单位提供的施工方案分析，本项目施工开挖土方量较小，开挖点较为分散，且营运期对生态环境将没有影响。项目建设过程中会采取相应水土保持措施，本评价认为该项目建设对生态环境影响较小。</w:t>
            </w:r>
          </w:p>
          <w:p w14:paraId="0BDA241B">
            <w:pPr>
              <w:pStyle w:val="51"/>
              <w:keepNext w:val="0"/>
              <w:keepLines w:val="0"/>
              <w:pageBreakBefore w:val="0"/>
              <w:kinsoku/>
              <w:wordWrap/>
              <w:overflowPunct/>
              <w:autoSpaceDE/>
              <w:autoSpaceDN/>
              <w:bidi w:val="0"/>
              <w:spacing w:after="0" w:line="360" w:lineRule="auto"/>
              <w:ind w:firstLine="480"/>
              <w:textAlignment w:val="auto"/>
              <w:rPr>
                <w:color w:val="auto"/>
                <w:kern w:val="2"/>
                <w:szCs w:val="24"/>
                <w:lang w:eastAsia="zh-CN" w:bidi="ar-SA"/>
              </w:rPr>
            </w:pPr>
            <w:r>
              <w:rPr>
                <w:rFonts w:hint="eastAsia"/>
                <w:color w:val="auto"/>
                <w:kern w:val="2"/>
                <w:szCs w:val="24"/>
                <w:lang w:eastAsia="zh-CN" w:bidi="ar-SA"/>
              </w:rPr>
              <w:t>本项目建设中产生的水土流失量主要是因项目建设造成原地貌水土保持功能降低甚至丧失，土地生产力下降，导致土壤侵蚀加剧而增加的水土流失量。</w:t>
            </w:r>
          </w:p>
          <w:p w14:paraId="1F81AA55">
            <w:pPr>
              <w:pStyle w:val="51"/>
              <w:keepNext w:val="0"/>
              <w:keepLines w:val="0"/>
              <w:pageBreakBefore w:val="0"/>
              <w:kinsoku/>
              <w:wordWrap/>
              <w:overflowPunct/>
              <w:autoSpaceDE/>
              <w:autoSpaceDN/>
              <w:bidi w:val="0"/>
              <w:spacing w:after="0" w:line="360" w:lineRule="auto"/>
              <w:ind w:firstLine="480"/>
              <w:textAlignment w:val="auto"/>
              <w:rPr>
                <w:rFonts w:hint="eastAsia"/>
                <w:color w:val="auto"/>
                <w:kern w:val="2"/>
                <w:szCs w:val="24"/>
                <w:lang w:eastAsia="zh-CN" w:bidi="ar-SA"/>
              </w:rPr>
            </w:pPr>
            <w:r>
              <w:rPr>
                <w:rFonts w:hint="eastAsia"/>
                <w:color w:val="auto"/>
                <w:kern w:val="2"/>
                <w:szCs w:val="24"/>
                <w:lang w:eastAsia="zh-CN" w:bidi="ar-SA"/>
              </w:rPr>
              <w:t>由于水土流失主要发生在施工期和施工区域，因此必须尽量缩短施工时间。加强施工管理，不允许有施工弃土随意堆放等。尽量避开降雨时节施工。应充分利用施工废渣和弃土，尽量做到取弃平衡。开挖产生的土方应选择适当的地方相对集中堆放，并修筑必要的挡土墙和拦渣及排水工程设施，防止泥渣下泄造成水土流失。回填后的余土采取密封容器如编织袋进行运输，以免在运输途中散落造成流失。施工材料集中堆放好，混凝土拌和场地设有挡土墙设施，施工临时用地在施工结束后，应结合主体工程建设进行绿化，恢复植被，并尽量恢复原貌。采取上述措施后，本项目水土流失对生态的影响较小。</w:t>
            </w:r>
          </w:p>
          <w:p w14:paraId="736996E2">
            <w:pPr>
              <w:pStyle w:val="51"/>
              <w:keepNext w:val="0"/>
              <w:keepLines w:val="0"/>
              <w:pageBreakBefore w:val="0"/>
              <w:kinsoku/>
              <w:wordWrap/>
              <w:overflowPunct/>
              <w:autoSpaceDE/>
              <w:autoSpaceDN/>
              <w:bidi w:val="0"/>
              <w:spacing w:after="0" w:line="360" w:lineRule="auto"/>
              <w:ind w:firstLine="480"/>
              <w:textAlignment w:val="auto"/>
              <w:rPr>
                <w:b/>
                <w:bCs/>
                <w:color w:val="auto"/>
                <w:sz w:val="28"/>
                <w:szCs w:val="28"/>
              </w:rPr>
            </w:pPr>
            <w:r>
              <w:rPr>
                <w:b/>
                <w:bCs/>
                <w:color w:val="auto"/>
                <w:sz w:val="28"/>
                <w:szCs w:val="28"/>
              </w:rPr>
              <w:t>4.1.</w:t>
            </w:r>
            <w:r>
              <w:rPr>
                <w:rFonts w:hint="eastAsia"/>
                <w:b/>
                <w:bCs/>
                <w:color w:val="auto"/>
                <w:sz w:val="28"/>
                <w:szCs w:val="28"/>
                <w:lang w:val="en-US" w:eastAsia="zh-CN"/>
              </w:rPr>
              <w:t>5</w:t>
            </w:r>
            <w:r>
              <w:rPr>
                <w:b/>
                <w:bCs/>
                <w:color w:val="auto"/>
                <w:sz w:val="28"/>
                <w:szCs w:val="28"/>
              </w:rPr>
              <w:t>施工期</w:t>
            </w:r>
            <w:r>
              <w:rPr>
                <w:rFonts w:hint="eastAsia"/>
                <w:b/>
                <w:bCs/>
                <w:color w:val="auto"/>
                <w:sz w:val="28"/>
                <w:szCs w:val="28"/>
                <w:lang w:val="en-US" w:eastAsia="zh-CN"/>
              </w:rPr>
              <w:t>环境风险</w:t>
            </w:r>
            <w:r>
              <w:rPr>
                <w:b/>
                <w:bCs/>
                <w:color w:val="auto"/>
                <w:sz w:val="28"/>
                <w:szCs w:val="28"/>
              </w:rPr>
              <w:t>分析</w:t>
            </w:r>
          </w:p>
          <w:p w14:paraId="560B3C5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color w:val="auto"/>
                <w:sz w:val="24"/>
                <w:u w:val="none"/>
                <w:lang w:val="en-US" w:eastAsia="zh-CN"/>
              </w:rPr>
            </w:pPr>
            <w:r>
              <w:rPr>
                <w:rFonts w:hint="eastAsia"/>
                <w:color w:val="auto"/>
                <w:sz w:val="24"/>
                <w:u w:val="none"/>
                <w:lang w:val="en-US" w:eastAsia="zh-CN"/>
              </w:rPr>
              <w:t>项目东面为广西钦州泰兴石油化工有限公司，</w:t>
            </w:r>
            <w:r>
              <w:rPr>
                <w:rFonts w:hint="eastAsia"/>
                <w:color w:val="auto"/>
                <w:sz w:val="24"/>
                <w:u w:val="none"/>
              </w:rPr>
              <w:t>西面为广西永盛石油化工有限公司油罐区</w:t>
            </w:r>
            <w:r>
              <w:rPr>
                <w:rFonts w:hint="eastAsia"/>
                <w:color w:val="auto"/>
                <w:sz w:val="24"/>
                <w:u w:val="none"/>
                <w:lang w:eastAsia="zh-CN"/>
              </w:rPr>
              <w:t>，</w:t>
            </w:r>
            <w:r>
              <w:rPr>
                <w:rFonts w:hint="eastAsia"/>
                <w:color w:val="auto"/>
                <w:sz w:val="24"/>
                <w:u w:val="none"/>
                <w:lang w:val="en-US" w:eastAsia="zh-CN"/>
              </w:rPr>
              <w:t>北面紧挨着园区公共管廊，主要输送介质为柴油、汽油、成品油，主要为易燃物质。另外施工区域、周边道路会有油罐车经过。</w:t>
            </w:r>
          </w:p>
          <w:p w14:paraId="125C330C">
            <w:pPr>
              <w:pStyle w:val="51"/>
              <w:keepNext w:val="0"/>
              <w:keepLines w:val="0"/>
              <w:pageBreakBefore w:val="0"/>
              <w:kinsoku/>
              <w:wordWrap/>
              <w:overflowPunct/>
              <w:autoSpaceDE/>
              <w:autoSpaceDN/>
              <w:bidi w:val="0"/>
              <w:spacing w:after="0" w:line="360" w:lineRule="auto"/>
              <w:ind w:firstLine="480"/>
              <w:textAlignment w:val="auto"/>
              <w:rPr>
                <w:b/>
                <w:bCs/>
                <w:color w:val="auto"/>
                <w:sz w:val="28"/>
                <w:szCs w:val="28"/>
              </w:rPr>
            </w:pPr>
            <w:r>
              <w:rPr>
                <w:rFonts w:hint="eastAsia"/>
                <w:color w:val="auto"/>
                <w:sz w:val="24"/>
                <w:u w:val="none"/>
                <w:lang w:val="en-US" w:eastAsia="zh-CN"/>
              </w:rPr>
              <w:t>施工工程中若因施工时操作不当，吊装施工可能发生与现有管道碰撞造成泄漏，而</w:t>
            </w:r>
            <w:bookmarkStart w:id="42" w:name="OLE_LINK35"/>
            <w:r>
              <w:rPr>
                <w:rFonts w:hint="eastAsia"/>
                <w:color w:val="auto"/>
                <w:sz w:val="24"/>
                <w:u w:val="none"/>
                <w:lang w:val="en-US" w:eastAsia="zh-CN"/>
              </w:rPr>
              <w:t>焊接、切割等施工</w:t>
            </w:r>
            <w:bookmarkEnd w:id="42"/>
            <w:r>
              <w:rPr>
                <w:rFonts w:hint="eastAsia"/>
                <w:color w:val="auto"/>
                <w:sz w:val="24"/>
                <w:u w:val="none"/>
                <w:lang w:val="en-US" w:eastAsia="zh-CN"/>
              </w:rPr>
              <w:t>可能会因高温引发附近现有管道燃爆。另外焊接、切割等施工</w:t>
            </w:r>
            <w:r>
              <w:rPr>
                <w:rFonts w:hint="eastAsia" w:ascii="Times New Roman" w:hAnsi="Times New Roman" w:cs="Times New Roman"/>
                <w:color w:val="auto"/>
                <w:sz w:val="24"/>
                <w:u w:val="none"/>
                <w:lang w:val="en-US" w:eastAsia="zh-CN"/>
              </w:rPr>
              <w:t>产生火花，可能引起周边油罐区和经过的运输油罐车火灾甚至爆炸事件，对</w:t>
            </w:r>
            <w:r>
              <w:rPr>
                <w:rFonts w:hint="eastAsia"/>
                <w:color w:val="auto"/>
                <w:sz w:val="24"/>
                <w:u w:val="none"/>
                <w:lang w:val="en-US" w:eastAsia="zh-CN"/>
              </w:rPr>
              <w:t>周围人群、大气环境造成不利影响。因此，项目施工期应加强施工管理，避免出现安全施工事故。</w:t>
            </w:r>
          </w:p>
          <w:p w14:paraId="3F83B72F">
            <w:pPr>
              <w:pStyle w:val="51"/>
              <w:keepNext w:val="0"/>
              <w:keepLines w:val="0"/>
              <w:pageBreakBefore w:val="0"/>
              <w:kinsoku/>
              <w:wordWrap/>
              <w:overflowPunct/>
              <w:autoSpaceDE/>
              <w:autoSpaceDN/>
              <w:bidi w:val="0"/>
              <w:spacing w:after="0" w:line="360" w:lineRule="auto"/>
              <w:ind w:firstLine="480"/>
              <w:textAlignment w:val="auto"/>
              <w:rPr>
                <w:rFonts w:hint="eastAsia" w:ascii="Times New Roman" w:hAnsi="Times New Roman" w:cs="Times New Roman"/>
                <w:color w:val="auto"/>
                <w:sz w:val="24"/>
                <w:u w:val="none"/>
                <w:lang w:val="en-US" w:eastAsia="zh-CN"/>
              </w:rPr>
            </w:pPr>
            <w:r>
              <w:rPr>
                <w:rFonts w:hint="eastAsia" w:ascii="Times New Roman" w:hAnsi="Times New Roman" w:cs="Times New Roman"/>
                <w:color w:val="auto"/>
                <w:sz w:val="24"/>
                <w:u w:val="none"/>
                <w:lang w:val="en-US" w:eastAsia="zh-CN"/>
              </w:rPr>
              <w:t>根据调查，项目施工区域与周边主要储罐区满足《石油库设计规范》（GB5007-2014）中“表5.1.3 设备、建筑物平面布置的防火间距”装置储罐组与明火设备的间距要求。因此，正常施工情况下，项目引发周边油罐区火灾事故的概率是很小的。为进一步，预防和防范施工引发火灾爆炸风险，建设单位应采取以下措施：</w:t>
            </w:r>
          </w:p>
          <w:p w14:paraId="4A85BDD3">
            <w:pPr>
              <w:pStyle w:val="51"/>
              <w:keepNext w:val="0"/>
              <w:keepLines w:val="0"/>
              <w:pageBreakBefore w:val="0"/>
              <w:kinsoku/>
              <w:wordWrap/>
              <w:overflowPunct/>
              <w:autoSpaceDE/>
              <w:autoSpaceDN/>
              <w:bidi w:val="0"/>
              <w:spacing w:after="0" w:line="360" w:lineRule="auto"/>
              <w:ind w:firstLine="480"/>
              <w:textAlignment w:val="auto"/>
              <w:rPr>
                <w:rFonts w:hint="eastAsia"/>
                <w:color w:val="auto"/>
                <w:sz w:val="24"/>
                <w:u w:val="none"/>
                <w:lang w:val="en-US" w:eastAsia="zh-CN"/>
              </w:rPr>
            </w:pPr>
            <w:r>
              <w:rPr>
                <w:rFonts w:hint="eastAsia"/>
                <w:color w:val="auto"/>
                <w:sz w:val="24"/>
                <w:u w:val="none"/>
                <w:lang w:val="en-US" w:eastAsia="zh-CN"/>
              </w:rPr>
              <w:t>项目施工前，项目管线的设计、施工、监理以及与工程建设有关的重要设备、材料等的采购，应择优选择有资质的单位。进入园区作业的施工单位，应经钦州石化产业园相关职能部门的安全审查并登记备案，施工人员应经过钦州石化产业园或管理单位的安全准入培训。施工单位应对动火、进入受限空间、盲板抽堵、高处、吊装、临时用电、动土、断路和射线等作业活动实施作业证备案管理制度，由作业单位按照《危险化学品企业特殊作业安全规范》（GB30871-2022）的要求办理作业申请审批，并由相关责任人签名确认。</w:t>
            </w:r>
          </w:p>
          <w:p w14:paraId="7BFEE6BB">
            <w:pPr>
              <w:pStyle w:val="51"/>
              <w:keepNext w:val="0"/>
              <w:keepLines w:val="0"/>
              <w:pageBreakBefore w:val="0"/>
              <w:kinsoku/>
              <w:wordWrap/>
              <w:overflowPunct/>
              <w:autoSpaceDE/>
              <w:autoSpaceDN/>
              <w:bidi w:val="0"/>
              <w:spacing w:after="0" w:line="360" w:lineRule="auto"/>
              <w:ind w:firstLine="480"/>
              <w:textAlignment w:val="auto"/>
              <w:rPr>
                <w:rFonts w:hint="eastAsia"/>
                <w:color w:val="auto"/>
                <w:sz w:val="24"/>
                <w:u w:val="none"/>
                <w:lang w:val="en-US" w:eastAsia="zh-CN"/>
              </w:rPr>
            </w:pPr>
            <w:bookmarkStart w:id="43" w:name="OLE_LINK38"/>
            <w:r>
              <w:rPr>
                <w:rFonts w:hint="eastAsia"/>
                <w:color w:val="auto"/>
                <w:sz w:val="24"/>
                <w:u w:val="none"/>
                <w:lang w:val="en-US" w:eastAsia="zh-CN"/>
              </w:rPr>
              <w:t>《危险化学品企业特殊作业安全规范》（GB30871-2022）</w:t>
            </w:r>
            <w:bookmarkEnd w:id="43"/>
            <w:r>
              <w:rPr>
                <w:rFonts w:hint="eastAsia"/>
                <w:color w:val="auto"/>
                <w:sz w:val="24"/>
                <w:u w:val="none"/>
                <w:lang w:val="en-US" w:eastAsia="zh-CN"/>
              </w:rPr>
              <w:t>对危险化学品企业动火作业、吊装作业、临时用电作业等提出相关施工要求，包括有：1、作业前，危险化学品企业应对参加作业的人员进行安全措施交底；2、动火作业应有专人监护，作业前应清除动火现场及周围的易燃物品，或采取其他有效安全防火措施，并配备消防器材，满足作业现场应急需求；3、拆除管线进行动火作业时，应先査明其内部介质危险特性、工艺条件及其走向，并根据所要拆除管线的情况制定安全防护措施。4、动火点周围或其下方如有可燃物、电缆桥架、孔洞、雨井、地沟、水封设施、污水井等，应检查分析并釆取清理或封盖等措施；对于动火点周围15m范围内有可能泄漏易燃、可燃物料的设备设施，应采取隔离措施；对于受热分解可产生易燃易爆、有毒有害物质的场所，应进行风险分析并采取清理或封盖等防护措施；5、使用气焊、气割动火作业时，乙炔瓶应直立放置，不应卧放使用；氧气瓶与乙炔瓶的间距不应小于5m，二者与动火点间距不应小于10m，并应采取防晒和防倾倒措施；乙炔瓶应安装防回火装置；6、作业完毕后应清理现场，确认无残留火种后方可离开；7、应按规定负荷进行吊装，吊具、索具应经计算选择使用，不应超负荷吊装；8、起吊前应进行试吊，试吊中检查全部机具、锚点受力情况，发现问题应立即将吊物放回地面，排除故障后重新试吊，确认正常后方可正式吊装；9、监护人员应确保吊装过程中警戒范围区内没有非作业人员或车辆经过；吊装过程中吊物及起重臂移动区域下方不应有任何人员经过或停留。施工单位在施工过程中，要严格遵守上述《危险化学品企业特殊作业安全规范》（GB30871-2022）的操作要求。</w:t>
            </w:r>
          </w:p>
          <w:p w14:paraId="67D97FBB">
            <w:pPr>
              <w:pStyle w:val="51"/>
              <w:keepNext w:val="0"/>
              <w:keepLines w:val="0"/>
              <w:pageBreakBefore w:val="0"/>
              <w:kinsoku/>
              <w:wordWrap/>
              <w:overflowPunct/>
              <w:autoSpaceDE/>
              <w:autoSpaceDN/>
              <w:bidi w:val="0"/>
              <w:spacing w:after="0" w:line="360" w:lineRule="auto"/>
              <w:ind w:firstLine="480"/>
              <w:textAlignment w:val="auto"/>
              <w:rPr>
                <w:rFonts w:hint="eastAsia"/>
                <w:color w:val="auto"/>
                <w:u w:val="none"/>
                <w:lang w:val="en-US" w:eastAsia="zh-CN"/>
              </w:rPr>
            </w:pPr>
            <w:r>
              <w:rPr>
                <w:rFonts w:hint="eastAsia"/>
                <w:color w:val="auto"/>
                <w:sz w:val="24"/>
                <w:u w:val="none"/>
                <w:lang w:val="en-US" w:eastAsia="zh-CN"/>
              </w:rPr>
              <w:t>根据</w:t>
            </w:r>
            <w:bookmarkStart w:id="44" w:name="OLE_LINK39"/>
            <w:r>
              <w:rPr>
                <w:rFonts w:hint="eastAsia"/>
                <w:color w:val="auto"/>
                <w:u w:val="none"/>
                <w:lang w:val="en-US" w:eastAsia="zh-CN"/>
              </w:rPr>
              <w:t>《石油化工建设工程施工安全技术标准》（GB/T50484-2019）</w:t>
            </w:r>
            <w:bookmarkEnd w:id="44"/>
            <w:r>
              <w:rPr>
                <w:rFonts w:hint="eastAsia"/>
                <w:color w:val="auto"/>
                <w:u w:val="none"/>
                <w:lang w:val="en-US" w:eastAsia="zh-CN"/>
              </w:rPr>
              <w:t>，对于焊接和切割</w:t>
            </w:r>
            <w:bookmarkStart w:id="45" w:name="OLE_LINK37"/>
            <w:r>
              <w:rPr>
                <w:rFonts w:hint="eastAsia"/>
                <w:color w:val="auto"/>
                <w:u w:val="none"/>
                <w:lang w:val="en-US" w:eastAsia="zh-CN"/>
              </w:rPr>
              <w:t>等动火作业</w:t>
            </w:r>
            <w:bookmarkEnd w:id="45"/>
            <w:r>
              <w:rPr>
                <w:rFonts w:hint="eastAsia"/>
                <w:color w:val="auto"/>
                <w:u w:val="none"/>
                <w:lang w:val="en-US" w:eastAsia="zh-CN"/>
              </w:rPr>
              <w:t>点“周围10m内不得存放易燃易爆物品，否则采取隔离措施；施工区域与正在运行的生产装置距离不符合安全要求时应设置防火隔离或采取局部防火措施”，本项目在现有管道10m外设置集中切割区和焊接区，将钢架和管道在切割区和焊接区加工好后，再进行吊装。项目优先采用安全性更好的氩弧焊工艺，尽量避免在现有管道10m范围内进行</w:t>
            </w:r>
            <w:bookmarkStart w:id="46" w:name="OLE_LINK36"/>
            <w:r>
              <w:rPr>
                <w:rFonts w:hint="eastAsia"/>
                <w:color w:val="auto"/>
                <w:u w:val="none"/>
                <w:lang w:val="en-US" w:eastAsia="zh-CN"/>
              </w:rPr>
              <w:t>焊接和切割等易产生火花的作业</w:t>
            </w:r>
            <w:bookmarkEnd w:id="46"/>
            <w:r>
              <w:rPr>
                <w:rFonts w:hint="eastAsia"/>
                <w:color w:val="auto"/>
                <w:u w:val="none"/>
                <w:lang w:val="en-US" w:eastAsia="zh-CN"/>
              </w:rPr>
              <w:t>。因工艺需要不得不</w:t>
            </w:r>
            <w:r>
              <w:rPr>
                <w:rFonts w:hint="eastAsia"/>
                <w:color w:val="auto"/>
                <w:u w:val="none"/>
              </w:rPr>
              <w:t>在临近现有管线进行切割、焊接作业时，</w:t>
            </w:r>
            <w:r>
              <w:rPr>
                <w:rFonts w:hint="eastAsia"/>
                <w:color w:val="auto"/>
                <w:u w:val="none"/>
                <w:lang w:val="en-US" w:eastAsia="zh-CN"/>
              </w:rPr>
              <w:t>将在</w:t>
            </w:r>
            <w:r>
              <w:rPr>
                <w:rFonts w:hint="eastAsia"/>
                <w:color w:val="auto"/>
                <w:u w:val="none"/>
              </w:rPr>
              <w:t>附近管线铺设防火石棉布</w:t>
            </w:r>
            <w:r>
              <w:rPr>
                <w:rFonts w:hint="eastAsia"/>
                <w:color w:val="auto"/>
                <w:u w:val="none"/>
                <w:lang w:val="en-US" w:eastAsia="zh-CN"/>
              </w:rPr>
              <w:t>进行防火隔离，满足《石油化工建设工程施工安全技术标准》（GB/T50484-2019）的要求。《石油化工建设工程施工安全技术标准》（GB/T50484-2019）未对吊装作业提出具体的安全距离要求，结合该技术标准为避免吊装作业对现有管道造成破坏建设单位应采取以下措施：</w:t>
            </w:r>
            <w:r>
              <w:rPr>
                <w:rFonts w:hint="eastAsia"/>
                <w:color w:val="auto"/>
                <w:u w:val="none"/>
                <w:lang w:val="en-US" w:eastAsia="zh-CN"/>
              </w:rPr>
              <w:fldChar w:fldCharType="begin"/>
            </w:r>
            <w:r>
              <w:rPr>
                <w:rFonts w:hint="eastAsia"/>
                <w:color w:val="auto"/>
                <w:u w:val="none"/>
                <w:lang w:val="en-US" w:eastAsia="zh-CN"/>
              </w:rPr>
              <w:instrText xml:space="preserve"> = 1 \* GB3 \* MERGEFORMAT </w:instrText>
            </w:r>
            <w:r>
              <w:rPr>
                <w:rFonts w:hint="eastAsia"/>
                <w:color w:val="auto"/>
                <w:u w:val="none"/>
                <w:lang w:val="en-US" w:eastAsia="zh-CN"/>
              </w:rPr>
              <w:fldChar w:fldCharType="separate"/>
            </w:r>
            <w:r>
              <w:rPr>
                <w:color w:val="auto"/>
                <w:u w:val="none"/>
              </w:rPr>
              <w:t>①</w:t>
            </w:r>
            <w:r>
              <w:rPr>
                <w:rFonts w:hint="eastAsia"/>
                <w:color w:val="auto"/>
                <w:u w:val="none"/>
                <w:lang w:val="en-US" w:eastAsia="zh-CN"/>
              </w:rPr>
              <w:fldChar w:fldCharType="end"/>
            </w:r>
            <w:r>
              <w:rPr>
                <w:rFonts w:hint="eastAsia"/>
                <w:color w:val="auto"/>
                <w:u w:val="none"/>
                <w:lang w:val="en-US" w:eastAsia="zh-CN"/>
              </w:rPr>
              <w:t>起重机、吊臂应与现有管廊保持不小于5m的安全距离；</w:t>
            </w:r>
            <w:r>
              <w:rPr>
                <w:rFonts w:hint="eastAsia"/>
                <w:color w:val="auto"/>
                <w:u w:val="none"/>
                <w:lang w:val="en-US" w:eastAsia="zh-CN"/>
              </w:rPr>
              <w:fldChar w:fldCharType="begin"/>
            </w:r>
            <w:r>
              <w:rPr>
                <w:rFonts w:hint="eastAsia"/>
                <w:color w:val="auto"/>
                <w:u w:val="none"/>
                <w:lang w:val="en-US" w:eastAsia="zh-CN"/>
              </w:rPr>
              <w:instrText xml:space="preserve"> = 2 \* GB3 \* MERGEFORMAT </w:instrText>
            </w:r>
            <w:r>
              <w:rPr>
                <w:rFonts w:hint="eastAsia"/>
                <w:color w:val="auto"/>
                <w:u w:val="none"/>
                <w:lang w:val="en-US" w:eastAsia="zh-CN"/>
              </w:rPr>
              <w:fldChar w:fldCharType="separate"/>
            </w:r>
            <w:r>
              <w:rPr>
                <w:color w:val="auto"/>
                <w:u w:val="none"/>
              </w:rPr>
              <w:t>②</w:t>
            </w:r>
            <w:r>
              <w:rPr>
                <w:rFonts w:hint="eastAsia"/>
                <w:color w:val="auto"/>
                <w:u w:val="none"/>
                <w:lang w:val="en-US" w:eastAsia="zh-CN"/>
              </w:rPr>
              <w:fldChar w:fldCharType="end"/>
            </w:r>
            <w:r>
              <w:rPr>
                <w:rFonts w:hint="eastAsia"/>
                <w:color w:val="auto"/>
                <w:u w:val="none"/>
                <w:lang w:val="en-US" w:eastAsia="zh-CN"/>
              </w:rPr>
              <w:t>起重机支腿必须完全伸出并垫稳，定位销需插好；</w:t>
            </w:r>
            <w:r>
              <w:rPr>
                <w:rFonts w:hint="eastAsia"/>
                <w:color w:val="auto"/>
                <w:u w:val="none"/>
                <w:lang w:val="en-US" w:eastAsia="zh-CN"/>
              </w:rPr>
              <w:fldChar w:fldCharType="begin"/>
            </w:r>
            <w:r>
              <w:rPr>
                <w:rFonts w:hint="eastAsia"/>
                <w:color w:val="auto"/>
                <w:u w:val="none"/>
                <w:lang w:val="en-US" w:eastAsia="zh-CN"/>
              </w:rPr>
              <w:instrText xml:space="preserve"> = 3 \* GB3 \* MERGEFORMAT </w:instrText>
            </w:r>
            <w:r>
              <w:rPr>
                <w:rFonts w:hint="eastAsia"/>
                <w:color w:val="auto"/>
                <w:u w:val="none"/>
                <w:lang w:val="en-US" w:eastAsia="zh-CN"/>
              </w:rPr>
              <w:fldChar w:fldCharType="separate"/>
            </w:r>
            <w:r>
              <w:rPr>
                <w:color w:val="auto"/>
                <w:u w:val="none"/>
              </w:rPr>
              <w:t>③</w:t>
            </w:r>
            <w:r>
              <w:rPr>
                <w:rFonts w:hint="eastAsia"/>
                <w:color w:val="auto"/>
                <w:u w:val="none"/>
                <w:lang w:val="en-US" w:eastAsia="zh-CN"/>
              </w:rPr>
              <w:fldChar w:fldCharType="end"/>
            </w:r>
            <w:r>
              <w:rPr>
                <w:rFonts w:hint="eastAsia"/>
                <w:color w:val="auto"/>
                <w:u w:val="none"/>
                <w:lang w:val="en-US" w:eastAsia="zh-CN"/>
              </w:rPr>
              <w:t>现有管廊设置明显的警示标志，以便吊装操作人员确认安全距离；</w:t>
            </w:r>
            <w:r>
              <w:rPr>
                <w:rFonts w:hint="eastAsia"/>
                <w:color w:val="auto"/>
                <w:u w:val="none"/>
                <w:lang w:val="en-US" w:eastAsia="zh-CN"/>
              </w:rPr>
              <w:fldChar w:fldCharType="begin"/>
            </w:r>
            <w:r>
              <w:rPr>
                <w:rFonts w:hint="eastAsia"/>
                <w:color w:val="auto"/>
                <w:u w:val="none"/>
                <w:lang w:val="en-US" w:eastAsia="zh-CN"/>
              </w:rPr>
              <w:instrText xml:space="preserve"> = 4 \* GB3 \* MERGEFORMAT </w:instrText>
            </w:r>
            <w:r>
              <w:rPr>
                <w:rFonts w:hint="eastAsia"/>
                <w:color w:val="auto"/>
                <w:u w:val="none"/>
                <w:lang w:val="en-US" w:eastAsia="zh-CN"/>
              </w:rPr>
              <w:fldChar w:fldCharType="separate"/>
            </w:r>
            <w:r>
              <w:rPr>
                <w:color w:val="auto"/>
                <w:u w:val="none"/>
              </w:rPr>
              <w:t>④</w:t>
            </w:r>
            <w:r>
              <w:rPr>
                <w:rFonts w:hint="eastAsia"/>
                <w:color w:val="auto"/>
                <w:u w:val="none"/>
                <w:lang w:val="en-US" w:eastAsia="zh-CN"/>
              </w:rPr>
              <w:fldChar w:fldCharType="end"/>
            </w:r>
            <w:r>
              <w:rPr>
                <w:rFonts w:hint="eastAsia"/>
                <w:color w:val="auto"/>
                <w:u w:val="none"/>
                <w:lang w:val="en-US" w:eastAsia="zh-CN"/>
              </w:rPr>
              <w:t>应采用木板或缓冲垫等作为物理屏障对现有管道进行保护；</w:t>
            </w:r>
            <w:r>
              <w:rPr>
                <w:rFonts w:hint="eastAsia"/>
                <w:color w:val="auto"/>
                <w:u w:val="none"/>
                <w:lang w:val="en-US" w:eastAsia="zh-CN"/>
              </w:rPr>
              <w:fldChar w:fldCharType="begin"/>
            </w:r>
            <w:r>
              <w:rPr>
                <w:rFonts w:hint="eastAsia"/>
                <w:color w:val="auto"/>
                <w:u w:val="none"/>
                <w:lang w:val="en-US" w:eastAsia="zh-CN"/>
              </w:rPr>
              <w:instrText xml:space="preserve"> = 5 \* GB3 \* MERGEFORMAT </w:instrText>
            </w:r>
            <w:r>
              <w:rPr>
                <w:rFonts w:hint="eastAsia"/>
                <w:color w:val="auto"/>
                <w:u w:val="none"/>
                <w:lang w:val="en-US" w:eastAsia="zh-CN"/>
              </w:rPr>
              <w:fldChar w:fldCharType="separate"/>
            </w:r>
            <w:r>
              <w:rPr>
                <w:color w:val="auto"/>
                <w:u w:val="none"/>
              </w:rPr>
              <w:t>⑤</w:t>
            </w:r>
            <w:r>
              <w:rPr>
                <w:rFonts w:hint="eastAsia"/>
                <w:color w:val="auto"/>
                <w:u w:val="none"/>
                <w:lang w:val="en-US" w:eastAsia="zh-CN"/>
              </w:rPr>
              <w:fldChar w:fldCharType="end"/>
            </w:r>
            <w:r>
              <w:rPr>
                <w:rFonts w:hint="eastAsia"/>
                <w:color w:val="auto"/>
                <w:u w:val="none"/>
                <w:lang w:val="en-US" w:eastAsia="zh-CN"/>
              </w:rPr>
              <w:t>应提前与管道运营单位进行联络和沟通，在吊装作业期间不进行成品油输送工作；</w:t>
            </w:r>
            <w:r>
              <w:rPr>
                <w:rFonts w:hint="eastAsia"/>
                <w:color w:val="auto"/>
                <w:u w:val="none"/>
                <w:lang w:val="en-US" w:eastAsia="zh-CN"/>
              </w:rPr>
              <w:fldChar w:fldCharType="begin"/>
            </w:r>
            <w:r>
              <w:rPr>
                <w:rFonts w:hint="eastAsia"/>
                <w:color w:val="auto"/>
                <w:u w:val="none"/>
                <w:lang w:val="en-US" w:eastAsia="zh-CN"/>
              </w:rPr>
              <w:instrText xml:space="preserve"> = 6 \* GB3 \* MERGEFORMAT </w:instrText>
            </w:r>
            <w:r>
              <w:rPr>
                <w:rFonts w:hint="eastAsia"/>
                <w:color w:val="auto"/>
                <w:u w:val="none"/>
                <w:lang w:val="en-US" w:eastAsia="zh-CN"/>
              </w:rPr>
              <w:fldChar w:fldCharType="separate"/>
            </w:r>
            <w:r>
              <w:rPr>
                <w:color w:val="auto"/>
                <w:u w:val="none"/>
              </w:rPr>
              <w:t>⑥</w:t>
            </w:r>
            <w:r>
              <w:rPr>
                <w:rFonts w:hint="eastAsia"/>
                <w:color w:val="auto"/>
                <w:u w:val="none"/>
                <w:lang w:val="en-US" w:eastAsia="zh-CN"/>
              </w:rPr>
              <w:fldChar w:fldCharType="end"/>
            </w:r>
            <w:r>
              <w:rPr>
                <w:rFonts w:hint="eastAsia"/>
                <w:color w:val="auto"/>
                <w:u w:val="none"/>
                <w:lang w:val="en-US" w:eastAsia="zh-CN"/>
              </w:rPr>
              <w:t>吊装现场有专人进行观察和指挥；</w:t>
            </w:r>
            <w:r>
              <w:rPr>
                <w:rFonts w:hint="eastAsia"/>
                <w:color w:val="auto"/>
                <w:u w:val="none"/>
                <w:lang w:val="en-US" w:eastAsia="zh-CN"/>
              </w:rPr>
              <w:fldChar w:fldCharType="begin"/>
            </w:r>
            <w:r>
              <w:rPr>
                <w:rFonts w:hint="eastAsia"/>
                <w:color w:val="auto"/>
                <w:u w:val="none"/>
                <w:lang w:val="en-US" w:eastAsia="zh-CN"/>
              </w:rPr>
              <w:instrText xml:space="preserve"> = 7 \* GB3 \* MERGEFORMAT </w:instrText>
            </w:r>
            <w:r>
              <w:rPr>
                <w:rFonts w:hint="eastAsia"/>
                <w:color w:val="auto"/>
                <w:u w:val="none"/>
                <w:lang w:val="en-US" w:eastAsia="zh-CN"/>
              </w:rPr>
              <w:fldChar w:fldCharType="separate"/>
            </w:r>
            <w:r>
              <w:rPr>
                <w:color w:val="auto"/>
                <w:u w:val="none"/>
              </w:rPr>
              <w:t>⑦</w:t>
            </w:r>
            <w:r>
              <w:rPr>
                <w:rFonts w:hint="eastAsia"/>
                <w:color w:val="auto"/>
                <w:u w:val="none"/>
                <w:lang w:val="en-US" w:eastAsia="zh-CN"/>
              </w:rPr>
              <w:fldChar w:fldCharType="end"/>
            </w:r>
            <w:r>
              <w:rPr>
                <w:rFonts w:hint="eastAsia"/>
                <w:color w:val="auto"/>
                <w:u w:val="none"/>
                <w:lang w:val="en-US" w:eastAsia="zh-CN"/>
              </w:rPr>
              <w:t>吊装作业前应掌握气象信息，当遇到大雨、沙尘暴和六级及以上风力（风速≥10.8m/s）时不得开展吊装作业。</w:t>
            </w:r>
          </w:p>
          <w:p w14:paraId="3F74EDED">
            <w:pPr>
              <w:pStyle w:val="51"/>
              <w:keepNext w:val="0"/>
              <w:keepLines w:val="0"/>
              <w:pageBreakBefore w:val="0"/>
              <w:kinsoku/>
              <w:wordWrap/>
              <w:overflowPunct/>
              <w:autoSpaceDE/>
              <w:autoSpaceDN/>
              <w:bidi w:val="0"/>
              <w:spacing w:after="0" w:line="360" w:lineRule="auto"/>
              <w:ind w:firstLine="480"/>
              <w:textAlignment w:val="auto"/>
              <w:rPr>
                <w:rFonts w:hint="default"/>
                <w:color w:val="auto"/>
                <w:sz w:val="24"/>
                <w:u w:val="none"/>
                <w:lang w:val="en-US" w:eastAsia="zh-CN"/>
              </w:rPr>
            </w:pPr>
            <w:r>
              <w:rPr>
                <w:rFonts w:hint="eastAsia"/>
                <w:color w:val="auto"/>
                <w:u w:val="none"/>
                <w:lang w:val="en-US" w:eastAsia="zh-CN"/>
              </w:rPr>
              <w:t>加强施工现场管理，设置专人指挥交通</w:t>
            </w:r>
            <w:r>
              <w:rPr>
                <w:rFonts w:hint="eastAsia"/>
                <w:color w:val="auto"/>
                <w:sz w:val="24"/>
                <w:u w:val="none"/>
                <w:lang w:val="en-US" w:eastAsia="zh-CN"/>
              </w:rPr>
              <w:t>在吊装、焊接、切割作业禁止所有与施工无关的车辆在施工区通行。</w:t>
            </w:r>
          </w:p>
          <w:p w14:paraId="330CE7E7">
            <w:pPr>
              <w:pStyle w:val="51"/>
              <w:keepNext w:val="0"/>
              <w:keepLines w:val="0"/>
              <w:pageBreakBefore w:val="0"/>
              <w:kinsoku/>
              <w:wordWrap/>
              <w:overflowPunct/>
              <w:autoSpaceDE/>
              <w:autoSpaceDN/>
              <w:bidi w:val="0"/>
              <w:spacing w:after="0" w:line="360" w:lineRule="auto"/>
              <w:ind w:firstLine="480"/>
              <w:textAlignment w:val="auto"/>
              <w:rPr>
                <w:rFonts w:hint="eastAsia"/>
                <w:color w:val="auto"/>
                <w:sz w:val="24"/>
                <w:u w:val="none"/>
                <w:lang w:val="en-US" w:eastAsia="zh-CN"/>
              </w:rPr>
            </w:pPr>
            <w:r>
              <w:rPr>
                <w:rFonts w:hint="eastAsia"/>
                <w:color w:val="auto"/>
                <w:sz w:val="24"/>
                <w:u w:val="none"/>
                <w:lang w:val="en-US" w:eastAsia="zh-CN"/>
              </w:rPr>
              <w:t>建设单位在施工期在加强管理，采取相应措施预防事故发生，施工期发生事故的概率较小，对环境影响较小。</w:t>
            </w:r>
          </w:p>
          <w:p w14:paraId="3858E541">
            <w:pPr>
              <w:pStyle w:val="51"/>
              <w:keepNext w:val="0"/>
              <w:keepLines w:val="0"/>
              <w:pageBreakBefore w:val="0"/>
              <w:kinsoku/>
              <w:wordWrap/>
              <w:overflowPunct/>
              <w:autoSpaceDE/>
              <w:autoSpaceDN/>
              <w:bidi w:val="0"/>
              <w:spacing w:after="0" w:line="360" w:lineRule="auto"/>
              <w:ind w:firstLine="480"/>
              <w:textAlignment w:val="auto"/>
              <w:rPr>
                <w:rFonts w:hint="default"/>
                <w:color w:val="auto"/>
                <w:sz w:val="24"/>
                <w:u w:val="single"/>
                <w:lang w:val="en-US" w:eastAsia="zh-CN"/>
              </w:rPr>
            </w:pPr>
          </w:p>
        </w:tc>
      </w:tr>
      <w:tr w14:paraId="2DDF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746" w:type="dxa"/>
            <w:tcMar>
              <w:left w:w="28" w:type="dxa"/>
              <w:right w:w="28" w:type="dxa"/>
            </w:tcMar>
            <w:vAlign w:val="center"/>
          </w:tcPr>
          <w:p w14:paraId="14459E02">
            <w:pPr>
              <w:adjustRightInd w:val="0"/>
              <w:snapToGrid w:val="0"/>
              <w:jc w:val="center"/>
              <w:rPr>
                <w:bCs/>
                <w:color w:val="auto"/>
                <w:szCs w:val="21"/>
              </w:rPr>
            </w:pPr>
            <w:r>
              <w:rPr>
                <w:b/>
                <w:bCs/>
                <w:color w:val="auto"/>
                <w:sz w:val="24"/>
                <w:szCs w:val="21"/>
              </w:rPr>
              <w:t>运营期生态环境影响分析</w:t>
            </w:r>
          </w:p>
        </w:tc>
        <w:tc>
          <w:tcPr>
            <w:tcW w:w="8165" w:type="dxa"/>
            <w:vAlign w:val="center"/>
          </w:tcPr>
          <w:p w14:paraId="62C7EC40">
            <w:pPr>
              <w:keepNext w:val="0"/>
              <w:keepLines w:val="0"/>
              <w:pageBreakBefore w:val="0"/>
              <w:kinsoku/>
              <w:wordWrap/>
              <w:overflowPunct/>
              <w:autoSpaceDE/>
              <w:autoSpaceDN/>
              <w:bidi w:val="0"/>
              <w:adjustRightInd w:val="0"/>
              <w:snapToGrid w:val="0"/>
              <w:spacing w:after="0" w:line="360" w:lineRule="auto"/>
              <w:ind w:firstLine="562" w:firstLineChars="200"/>
              <w:textAlignment w:val="auto"/>
              <w:outlineLvl w:val="2"/>
              <w:rPr>
                <w:b/>
                <w:bCs/>
                <w:color w:val="auto"/>
                <w:kern w:val="0"/>
                <w:sz w:val="28"/>
                <w:szCs w:val="30"/>
              </w:rPr>
            </w:pPr>
            <w:r>
              <w:rPr>
                <w:b/>
                <w:bCs/>
                <w:color w:val="auto"/>
                <w:kern w:val="0"/>
                <w:sz w:val="28"/>
                <w:szCs w:val="30"/>
              </w:rPr>
              <w:t>4.2营运期生态环境影响分析</w:t>
            </w:r>
          </w:p>
          <w:p w14:paraId="0560F16B">
            <w:pPr>
              <w:keepNext w:val="0"/>
              <w:keepLines w:val="0"/>
              <w:pageBreakBefore w:val="0"/>
              <w:kinsoku/>
              <w:wordWrap/>
              <w:overflowPunct/>
              <w:autoSpaceDE/>
              <w:autoSpaceDN/>
              <w:bidi w:val="0"/>
              <w:spacing w:after="0" w:line="360" w:lineRule="auto"/>
              <w:ind w:firstLine="482" w:firstLineChars="200"/>
              <w:textAlignment w:val="auto"/>
              <w:rPr>
                <w:b/>
                <w:color w:val="auto"/>
                <w:sz w:val="24"/>
                <w:szCs w:val="28"/>
              </w:rPr>
            </w:pPr>
            <w:r>
              <w:rPr>
                <w:b/>
                <w:color w:val="auto"/>
                <w:sz w:val="24"/>
                <w:szCs w:val="28"/>
              </w:rPr>
              <w:t>4.2.</w:t>
            </w:r>
            <w:r>
              <w:rPr>
                <w:rFonts w:hint="eastAsia"/>
                <w:b/>
                <w:color w:val="auto"/>
                <w:sz w:val="24"/>
                <w:szCs w:val="28"/>
              </w:rPr>
              <w:t>1</w:t>
            </w:r>
            <w:r>
              <w:rPr>
                <w:b/>
                <w:color w:val="auto"/>
                <w:sz w:val="24"/>
                <w:szCs w:val="28"/>
              </w:rPr>
              <w:t>运营期大气环境影响分析</w:t>
            </w:r>
          </w:p>
          <w:p w14:paraId="1506D84E">
            <w:pPr>
              <w:keepNext w:val="0"/>
              <w:keepLines w:val="0"/>
              <w:pageBreakBefore w:val="0"/>
              <w:kinsoku/>
              <w:wordWrap/>
              <w:overflowPunct/>
              <w:autoSpaceDE/>
              <w:autoSpaceDN/>
              <w:bidi w:val="0"/>
              <w:adjustRightInd w:val="0"/>
              <w:snapToGrid w:val="0"/>
              <w:spacing w:after="0" w:line="360" w:lineRule="auto"/>
              <w:ind w:firstLine="480" w:firstLineChars="200"/>
              <w:textAlignment w:val="auto"/>
              <w:rPr>
                <w:color w:val="auto"/>
                <w:kern w:val="0"/>
                <w:sz w:val="24"/>
                <w:szCs w:val="22"/>
                <w:lang w:bidi="en-US"/>
              </w:rPr>
            </w:pPr>
            <w:r>
              <w:rPr>
                <w:rFonts w:hint="eastAsia"/>
                <w:color w:val="auto"/>
                <w:kern w:val="0"/>
                <w:sz w:val="24"/>
                <w:szCs w:val="22"/>
                <w:lang w:bidi="en-US"/>
              </w:rPr>
              <w:t>本项目为管道工程，输送</w:t>
            </w:r>
            <w:r>
              <w:rPr>
                <w:rFonts w:hint="eastAsia"/>
                <w:color w:val="auto"/>
                <w:kern w:val="0"/>
                <w:sz w:val="24"/>
                <w:szCs w:val="22"/>
                <w:lang w:val="en-US" w:eastAsia="zh-CN" w:bidi="en-US"/>
              </w:rPr>
              <w:t>管道</w:t>
            </w:r>
            <w:r>
              <w:rPr>
                <w:rFonts w:hint="eastAsia"/>
                <w:color w:val="auto"/>
                <w:kern w:val="0"/>
                <w:sz w:val="24"/>
                <w:szCs w:val="22"/>
                <w:lang w:bidi="en-US"/>
              </w:rPr>
              <w:t>营运期全线采用密闭输送工艺，所以在营运期正常工况下，</w:t>
            </w:r>
            <w:r>
              <w:rPr>
                <w:rFonts w:hint="eastAsia"/>
                <w:color w:val="auto"/>
                <w:kern w:val="0"/>
                <w:sz w:val="24"/>
                <w:szCs w:val="22"/>
                <w:lang w:val="en-US" w:eastAsia="zh-CN" w:bidi="en-US"/>
              </w:rPr>
              <w:t>管道</w:t>
            </w:r>
            <w:r>
              <w:rPr>
                <w:rFonts w:hint="eastAsia"/>
                <w:color w:val="auto"/>
                <w:kern w:val="0"/>
                <w:sz w:val="24"/>
                <w:szCs w:val="22"/>
                <w:lang w:bidi="en-US"/>
              </w:rPr>
              <w:t>无废气产生。因此本项目正常运营过程中无废气污染物排放，不会对周边大气环境产生影响。</w:t>
            </w:r>
          </w:p>
          <w:p w14:paraId="4A3A65D5">
            <w:pPr>
              <w:keepNext w:val="0"/>
              <w:keepLines w:val="0"/>
              <w:pageBreakBefore w:val="0"/>
              <w:kinsoku/>
              <w:wordWrap/>
              <w:overflowPunct/>
              <w:autoSpaceDE/>
              <w:autoSpaceDN/>
              <w:bidi w:val="0"/>
              <w:adjustRightInd w:val="0"/>
              <w:snapToGrid w:val="0"/>
              <w:spacing w:after="0" w:line="360" w:lineRule="auto"/>
              <w:ind w:firstLine="562" w:firstLineChars="200"/>
              <w:textAlignment w:val="auto"/>
              <w:rPr>
                <w:b/>
                <w:color w:val="auto"/>
                <w:sz w:val="28"/>
                <w:szCs w:val="28"/>
              </w:rPr>
            </w:pPr>
            <w:r>
              <w:rPr>
                <w:b/>
                <w:color w:val="auto"/>
                <w:sz w:val="28"/>
                <w:szCs w:val="28"/>
              </w:rPr>
              <w:t>4.2.</w:t>
            </w:r>
            <w:r>
              <w:rPr>
                <w:rFonts w:hint="eastAsia"/>
                <w:b/>
                <w:color w:val="auto"/>
                <w:sz w:val="28"/>
                <w:szCs w:val="28"/>
              </w:rPr>
              <w:t>2</w:t>
            </w:r>
            <w:r>
              <w:rPr>
                <w:b/>
                <w:color w:val="auto"/>
                <w:sz w:val="28"/>
                <w:szCs w:val="28"/>
              </w:rPr>
              <w:t>运营期废水影响分析及保护措施</w:t>
            </w:r>
          </w:p>
          <w:p w14:paraId="567AB5CF">
            <w:pPr>
              <w:pStyle w:val="2"/>
              <w:keepNext w:val="0"/>
              <w:keepLines w:val="0"/>
              <w:pageBreakBefore w:val="0"/>
              <w:kinsoku/>
              <w:wordWrap/>
              <w:overflowPunct/>
              <w:autoSpaceDE/>
              <w:autoSpaceDN/>
              <w:bidi w:val="0"/>
              <w:spacing w:after="0" w:line="360" w:lineRule="auto"/>
              <w:ind w:firstLine="504" w:firstLineChars="200"/>
              <w:textAlignment w:val="auto"/>
              <w:rPr>
                <w:rFonts w:ascii="Times New Roman" w:hAnsi="Times New Roman"/>
                <w:color w:val="auto"/>
                <w:sz w:val="24"/>
                <w:szCs w:val="24"/>
              </w:rPr>
            </w:pPr>
            <w:r>
              <w:rPr>
                <w:rFonts w:hint="eastAsia" w:ascii="Times New Roman" w:hAnsi="Times New Roman"/>
                <w:color w:val="auto"/>
                <w:sz w:val="24"/>
                <w:szCs w:val="24"/>
              </w:rPr>
              <w:t>（1）清洗废水</w:t>
            </w:r>
          </w:p>
          <w:p w14:paraId="0EB575DF">
            <w:pPr>
              <w:pStyle w:val="2"/>
              <w:keepNext w:val="0"/>
              <w:keepLines w:val="0"/>
              <w:pageBreakBefore w:val="0"/>
              <w:kinsoku/>
              <w:wordWrap/>
              <w:overflowPunct/>
              <w:autoSpaceDE/>
              <w:autoSpaceDN/>
              <w:bidi w:val="0"/>
              <w:spacing w:after="0" w:line="360" w:lineRule="auto"/>
              <w:ind w:firstLine="504" w:firstLineChars="200"/>
              <w:textAlignment w:val="auto"/>
              <w:rPr>
                <w:rFonts w:ascii="Times New Roman" w:hAnsi="Times New Roman"/>
                <w:color w:val="auto"/>
                <w:sz w:val="24"/>
                <w:szCs w:val="24"/>
              </w:rPr>
            </w:pPr>
            <w:r>
              <w:rPr>
                <w:rFonts w:hint="eastAsia" w:ascii="Times New Roman" w:hAnsi="Times New Roman"/>
                <w:color w:val="auto"/>
                <w:sz w:val="24"/>
                <w:szCs w:val="24"/>
              </w:rPr>
              <w:t>本项目管廊管线为专管专用，运营过程中不进行清洗作业，故无清洗废水产生。</w:t>
            </w:r>
          </w:p>
          <w:p w14:paraId="61C800FA">
            <w:pPr>
              <w:pStyle w:val="2"/>
              <w:keepNext w:val="0"/>
              <w:keepLines w:val="0"/>
              <w:pageBreakBefore w:val="0"/>
              <w:kinsoku/>
              <w:wordWrap/>
              <w:overflowPunct/>
              <w:autoSpaceDE/>
              <w:autoSpaceDN/>
              <w:bidi w:val="0"/>
              <w:spacing w:after="0" w:line="360" w:lineRule="auto"/>
              <w:ind w:firstLine="504" w:firstLineChars="200"/>
              <w:textAlignment w:val="auto"/>
              <w:rPr>
                <w:rFonts w:ascii="Times New Roman" w:hAnsi="Times New Roman"/>
                <w:color w:val="auto"/>
                <w:sz w:val="24"/>
                <w:szCs w:val="24"/>
              </w:rPr>
            </w:pPr>
            <w:r>
              <w:rPr>
                <w:rFonts w:hint="eastAsia" w:ascii="Times New Roman" w:hAnsi="Times New Roman"/>
                <w:color w:val="auto"/>
                <w:sz w:val="24"/>
                <w:szCs w:val="24"/>
              </w:rPr>
              <w:t>（2）生活污水</w:t>
            </w:r>
          </w:p>
          <w:p w14:paraId="2EFCBC16">
            <w:pPr>
              <w:pStyle w:val="2"/>
              <w:keepNext w:val="0"/>
              <w:keepLines w:val="0"/>
              <w:pageBreakBefore w:val="0"/>
              <w:kinsoku/>
              <w:wordWrap/>
              <w:overflowPunct/>
              <w:autoSpaceDE/>
              <w:autoSpaceDN/>
              <w:bidi w:val="0"/>
              <w:spacing w:after="0" w:line="360" w:lineRule="auto"/>
              <w:ind w:firstLine="504" w:firstLineChars="200"/>
              <w:textAlignment w:val="auto"/>
              <w:rPr>
                <w:rFonts w:ascii="Times New Roman" w:hAnsi="Times New Roman"/>
                <w:color w:val="auto"/>
                <w:sz w:val="24"/>
                <w:szCs w:val="24"/>
              </w:rPr>
            </w:pPr>
            <w:r>
              <w:rPr>
                <w:rFonts w:hint="eastAsia" w:ascii="Times New Roman" w:hAnsi="Times New Roman"/>
                <w:color w:val="auto"/>
                <w:sz w:val="24"/>
                <w:szCs w:val="24"/>
              </w:rPr>
              <w:t>本项目不</w:t>
            </w:r>
            <w:r>
              <w:rPr>
                <w:rFonts w:hint="eastAsia" w:ascii="Times New Roman" w:hAnsi="Times New Roman"/>
                <w:color w:val="auto"/>
                <w:sz w:val="24"/>
                <w:szCs w:val="24"/>
                <w:lang w:val="en-US" w:eastAsia="zh-CN"/>
              </w:rPr>
              <w:t>设置</w:t>
            </w:r>
            <w:r>
              <w:rPr>
                <w:rFonts w:hint="eastAsia" w:ascii="Times New Roman" w:hAnsi="Times New Roman"/>
                <w:color w:val="auto"/>
                <w:sz w:val="24"/>
                <w:szCs w:val="24"/>
              </w:rPr>
              <w:t>劳动</w:t>
            </w:r>
            <w:r>
              <w:rPr>
                <w:rFonts w:hint="eastAsia" w:ascii="Times New Roman" w:hAnsi="Times New Roman"/>
                <w:color w:val="auto"/>
                <w:sz w:val="24"/>
                <w:szCs w:val="24"/>
                <w:lang w:val="en-US" w:eastAsia="zh-CN"/>
              </w:rPr>
              <w:t>人</w:t>
            </w:r>
            <w:r>
              <w:rPr>
                <w:rFonts w:hint="eastAsia" w:ascii="Times New Roman" w:hAnsi="Times New Roman"/>
                <w:color w:val="auto"/>
                <w:sz w:val="24"/>
                <w:szCs w:val="24"/>
              </w:rPr>
              <w:t>员，依托泰兴石化现有人员，不涉及站场的建设，无生活污水产生。</w:t>
            </w:r>
          </w:p>
          <w:p w14:paraId="6116463A">
            <w:pPr>
              <w:pStyle w:val="2"/>
              <w:keepNext w:val="0"/>
              <w:keepLines w:val="0"/>
              <w:pageBreakBefore w:val="0"/>
              <w:kinsoku/>
              <w:wordWrap/>
              <w:overflowPunct/>
              <w:autoSpaceDE/>
              <w:autoSpaceDN/>
              <w:bidi w:val="0"/>
              <w:spacing w:after="0" w:line="360" w:lineRule="auto"/>
              <w:ind w:firstLine="504" w:firstLineChars="200"/>
              <w:textAlignment w:val="auto"/>
              <w:rPr>
                <w:rFonts w:hint="eastAsia" w:ascii="Times New Roman" w:hAnsi="Times New Roman" w:eastAsia="宋体"/>
                <w:color w:val="auto"/>
                <w:sz w:val="24"/>
                <w:szCs w:val="24"/>
                <w:lang w:eastAsia="zh-CN"/>
              </w:rPr>
            </w:pPr>
            <w:r>
              <w:rPr>
                <w:rFonts w:hint="eastAsia" w:ascii="Times New Roman" w:hAnsi="Times New Roman"/>
                <w:color w:val="auto"/>
                <w:sz w:val="24"/>
                <w:szCs w:val="24"/>
              </w:rPr>
              <w:t>因此，本项目正常运营过程中无水污染物排放，不会对周边水体产生影响</w:t>
            </w:r>
            <w:r>
              <w:rPr>
                <w:rFonts w:hint="eastAsia" w:ascii="Times New Roman" w:hAnsi="Times New Roman"/>
                <w:color w:val="auto"/>
                <w:sz w:val="24"/>
                <w:szCs w:val="24"/>
                <w:lang w:eastAsia="zh-CN"/>
              </w:rPr>
              <w:t>。</w:t>
            </w:r>
          </w:p>
          <w:p w14:paraId="29124C3E">
            <w:pPr>
              <w:keepNext w:val="0"/>
              <w:keepLines w:val="0"/>
              <w:pageBreakBefore w:val="0"/>
              <w:kinsoku/>
              <w:wordWrap/>
              <w:overflowPunct/>
              <w:autoSpaceDE/>
              <w:autoSpaceDN/>
              <w:bidi w:val="0"/>
              <w:adjustRightInd w:val="0"/>
              <w:snapToGrid w:val="0"/>
              <w:spacing w:after="0" w:line="360" w:lineRule="auto"/>
              <w:ind w:firstLine="562" w:firstLineChars="200"/>
              <w:textAlignment w:val="auto"/>
              <w:rPr>
                <w:b/>
                <w:color w:val="auto"/>
                <w:sz w:val="28"/>
                <w:szCs w:val="28"/>
              </w:rPr>
            </w:pPr>
            <w:r>
              <w:rPr>
                <w:b/>
                <w:color w:val="auto"/>
                <w:sz w:val="28"/>
                <w:szCs w:val="28"/>
              </w:rPr>
              <w:t>4.2.</w:t>
            </w:r>
            <w:r>
              <w:rPr>
                <w:rFonts w:hint="eastAsia"/>
                <w:b/>
                <w:color w:val="auto"/>
                <w:sz w:val="28"/>
                <w:szCs w:val="28"/>
              </w:rPr>
              <w:t>3</w:t>
            </w:r>
            <w:r>
              <w:rPr>
                <w:b/>
                <w:color w:val="auto"/>
                <w:sz w:val="28"/>
                <w:szCs w:val="28"/>
              </w:rPr>
              <w:t>运营期噪声影响分析</w:t>
            </w:r>
          </w:p>
          <w:p w14:paraId="0C170D40">
            <w:pPr>
              <w:pStyle w:val="10"/>
              <w:keepNext w:val="0"/>
              <w:keepLines w:val="0"/>
              <w:pageBreakBefore w:val="0"/>
              <w:kinsoku/>
              <w:wordWrap/>
              <w:overflowPunct/>
              <w:autoSpaceDE/>
              <w:autoSpaceDN/>
              <w:bidi w:val="0"/>
              <w:spacing w:after="0" w:line="360" w:lineRule="auto"/>
              <w:ind w:firstLine="480" w:firstLineChars="200"/>
              <w:textAlignment w:val="auto"/>
              <w:rPr>
                <w:color w:val="auto"/>
              </w:rPr>
            </w:pPr>
            <w:r>
              <w:rPr>
                <w:rFonts w:hint="eastAsia"/>
                <w:color w:val="auto"/>
              </w:rPr>
              <w:t>本项目输送管道为密闭输送，管廊沿线不设置输送泵，无噪声源，不会对沿线周边声环境产生影响。</w:t>
            </w:r>
          </w:p>
          <w:p w14:paraId="772F2943">
            <w:pPr>
              <w:pStyle w:val="51"/>
              <w:keepNext w:val="0"/>
              <w:keepLines w:val="0"/>
              <w:pageBreakBefore w:val="0"/>
              <w:kinsoku/>
              <w:wordWrap/>
              <w:overflowPunct/>
              <w:autoSpaceDE/>
              <w:autoSpaceDN/>
              <w:bidi w:val="0"/>
              <w:spacing w:after="0" w:line="360" w:lineRule="auto"/>
              <w:ind w:firstLine="562"/>
              <w:textAlignment w:val="auto"/>
              <w:rPr>
                <w:b/>
                <w:color w:val="auto"/>
                <w:sz w:val="28"/>
                <w:lang w:eastAsia="zh-CN"/>
              </w:rPr>
            </w:pPr>
            <w:r>
              <w:rPr>
                <w:b/>
                <w:color w:val="auto"/>
                <w:sz w:val="28"/>
                <w:lang w:eastAsia="zh-CN"/>
              </w:rPr>
              <w:t>4.2.</w:t>
            </w:r>
            <w:r>
              <w:rPr>
                <w:rFonts w:hint="eastAsia"/>
                <w:b/>
                <w:color w:val="auto"/>
                <w:sz w:val="28"/>
                <w:lang w:eastAsia="zh-CN"/>
              </w:rPr>
              <w:t>4</w:t>
            </w:r>
            <w:r>
              <w:rPr>
                <w:b/>
                <w:color w:val="auto"/>
                <w:sz w:val="28"/>
                <w:lang w:eastAsia="zh-CN"/>
              </w:rPr>
              <w:t>营运期固体废物影响分析</w:t>
            </w:r>
          </w:p>
          <w:p w14:paraId="25AED971">
            <w:pPr>
              <w:keepNext w:val="0"/>
              <w:keepLines w:val="0"/>
              <w:pageBreakBefore w:val="0"/>
              <w:widowControl/>
              <w:kinsoku/>
              <w:wordWrap/>
              <w:overflowPunct/>
              <w:autoSpaceDE/>
              <w:autoSpaceDN/>
              <w:bidi w:val="0"/>
              <w:adjustRightInd w:val="0"/>
              <w:snapToGrid w:val="0"/>
              <w:spacing w:after="0" w:line="360" w:lineRule="auto"/>
              <w:ind w:firstLine="480" w:firstLineChars="200"/>
              <w:textAlignment w:val="auto"/>
              <w:rPr>
                <w:color w:val="auto"/>
                <w:sz w:val="24"/>
                <w:szCs w:val="22"/>
              </w:rPr>
            </w:pPr>
            <w:r>
              <w:rPr>
                <w:rFonts w:hint="eastAsia"/>
                <w:color w:val="auto"/>
                <w:sz w:val="24"/>
                <w:szCs w:val="22"/>
              </w:rPr>
              <w:t>本项目不设置工作人员，无生活垃圾产生，在正常运行过程中无固体废物产生及排放，定期清管</w:t>
            </w:r>
            <w:r>
              <w:rPr>
                <w:rFonts w:hint="eastAsia"/>
                <w:color w:val="auto"/>
                <w:sz w:val="24"/>
                <w:szCs w:val="22"/>
                <w:lang w:val="en-US" w:eastAsia="zh-CN"/>
              </w:rPr>
              <w:t>会</w:t>
            </w:r>
            <w:r>
              <w:rPr>
                <w:rFonts w:hint="eastAsia"/>
                <w:color w:val="auto"/>
                <w:sz w:val="24"/>
                <w:szCs w:val="22"/>
              </w:rPr>
              <w:t>产生管内污物和积液，</w:t>
            </w:r>
            <w:r>
              <w:rPr>
                <w:rFonts w:hint="eastAsia"/>
                <w:color w:val="auto"/>
                <w:sz w:val="24"/>
                <w:szCs w:val="22"/>
                <w:lang w:val="en-US" w:eastAsia="zh-CN"/>
              </w:rPr>
              <w:t>属于危险废物HW49（900-042-49），</w:t>
            </w:r>
            <w:r>
              <w:rPr>
                <w:rFonts w:hint="eastAsia"/>
                <w:color w:val="auto"/>
                <w:sz w:val="24"/>
                <w:szCs w:val="22"/>
              </w:rPr>
              <w:t>暂存于泰兴石化</w:t>
            </w:r>
            <w:r>
              <w:rPr>
                <w:rFonts w:hint="eastAsia"/>
                <w:color w:val="auto"/>
                <w:sz w:val="24"/>
                <w:szCs w:val="22"/>
                <w:lang w:val="en-US" w:eastAsia="zh-CN"/>
              </w:rPr>
              <w:t>危废暂存间</w:t>
            </w:r>
            <w:r>
              <w:rPr>
                <w:rFonts w:hint="eastAsia"/>
                <w:color w:val="auto"/>
                <w:sz w:val="24"/>
                <w:szCs w:val="22"/>
              </w:rPr>
              <w:t>，委托相关</w:t>
            </w:r>
            <w:r>
              <w:rPr>
                <w:rFonts w:hint="eastAsia"/>
                <w:color w:val="auto"/>
                <w:sz w:val="24"/>
                <w:szCs w:val="22"/>
                <w:lang w:val="en-US" w:eastAsia="zh-CN"/>
              </w:rPr>
              <w:t>有资质</w:t>
            </w:r>
            <w:r>
              <w:rPr>
                <w:rFonts w:hint="eastAsia"/>
                <w:color w:val="auto"/>
                <w:sz w:val="24"/>
                <w:szCs w:val="22"/>
              </w:rPr>
              <w:t>单位处理。因此本项目固体废物不会对周边环境产生影响。</w:t>
            </w:r>
          </w:p>
          <w:p w14:paraId="21C557A8">
            <w:pPr>
              <w:keepNext w:val="0"/>
              <w:keepLines w:val="0"/>
              <w:pageBreakBefore w:val="0"/>
              <w:kinsoku/>
              <w:wordWrap/>
              <w:overflowPunct/>
              <w:autoSpaceDE/>
              <w:autoSpaceDN/>
              <w:bidi w:val="0"/>
              <w:spacing w:after="0" w:line="360" w:lineRule="auto"/>
              <w:ind w:firstLine="562" w:firstLineChars="200"/>
              <w:textAlignment w:val="auto"/>
              <w:rPr>
                <w:b/>
                <w:color w:val="auto"/>
                <w:sz w:val="28"/>
              </w:rPr>
            </w:pPr>
            <w:r>
              <w:rPr>
                <w:b/>
                <w:color w:val="auto"/>
                <w:sz w:val="28"/>
              </w:rPr>
              <w:t>4.2.</w:t>
            </w:r>
            <w:r>
              <w:rPr>
                <w:rFonts w:hint="eastAsia"/>
                <w:b/>
                <w:color w:val="auto"/>
                <w:sz w:val="28"/>
              </w:rPr>
              <w:t>5</w:t>
            </w:r>
            <w:r>
              <w:rPr>
                <w:b/>
                <w:color w:val="auto"/>
                <w:sz w:val="28"/>
              </w:rPr>
              <w:t>运营期环境风险分析</w:t>
            </w:r>
          </w:p>
          <w:p w14:paraId="505862A4">
            <w:pPr>
              <w:pStyle w:val="51"/>
              <w:keepNext w:val="0"/>
              <w:keepLines w:val="0"/>
              <w:pageBreakBefore w:val="0"/>
              <w:kinsoku/>
              <w:wordWrap/>
              <w:overflowPunct/>
              <w:autoSpaceDE/>
              <w:autoSpaceDN/>
              <w:bidi w:val="0"/>
              <w:spacing w:after="0" w:line="360" w:lineRule="auto"/>
              <w:ind w:firstLine="480"/>
              <w:textAlignment w:val="auto"/>
              <w:rPr>
                <w:rFonts w:hint="eastAsia"/>
                <w:bCs/>
                <w:color w:val="auto"/>
                <w:lang w:eastAsia="zh-CN"/>
              </w:rPr>
            </w:pPr>
            <w:r>
              <w:rPr>
                <w:rFonts w:hint="eastAsia"/>
                <w:bCs/>
                <w:color w:val="auto"/>
                <w:lang w:eastAsia="zh-CN"/>
              </w:rPr>
              <w:t>本项目涉及的主要危险物质为火炬气、</w:t>
            </w:r>
            <w:bookmarkStart w:id="47" w:name="OLE_LINK40"/>
            <w:r>
              <w:rPr>
                <w:rFonts w:hint="eastAsia"/>
                <w:bCs/>
                <w:color w:val="auto"/>
                <w:lang w:eastAsia="zh-CN"/>
              </w:rPr>
              <w:t>燃料气和</w:t>
            </w:r>
            <w:bookmarkEnd w:id="47"/>
            <w:r>
              <w:rPr>
                <w:rFonts w:hint="eastAsia"/>
                <w:bCs/>
                <w:color w:val="auto"/>
                <w:lang w:eastAsia="zh-CN"/>
              </w:rPr>
              <w:t>凝缩油（属烃类冷凝液），危险单元为危险物质输送管线，主要事故类型为物质泄漏及火灾爆炸伴生污染事故。</w:t>
            </w:r>
          </w:p>
          <w:p w14:paraId="39F5395B">
            <w:pPr>
              <w:pStyle w:val="51"/>
              <w:keepNext w:val="0"/>
              <w:keepLines w:val="0"/>
              <w:pageBreakBefore w:val="0"/>
              <w:kinsoku/>
              <w:wordWrap/>
              <w:overflowPunct/>
              <w:autoSpaceDE/>
              <w:autoSpaceDN/>
              <w:bidi w:val="0"/>
              <w:spacing w:after="0" w:line="360" w:lineRule="auto"/>
              <w:ind w:firstLine="480"/>
              <w:textAlignment w:val="auto"/>
              <w:rPr>
                <w:rFonts w:hint="eastAsia"/>
                <w:bCs/>
                <w:color w:val="auto"/>
                <w:lang w:eastAsia="zh-CN"/>
              </w:rPr>
            </w:pPr>
            <w:r>
              <w:rPr>
                <w:rFonts w:hint="eastAsia"/>
                <w:bCs/>
                <w:color w:val="auto"/>
                <w:lang w:eastAsia="zh-CN"/>
              </w:rPr>
              <w:t>本项目环境敏感程度的分级均为环境低敏感区，项目防止危险物质进入环境及进入环境后的措施包括日常加强管线管理，制定相关应急预案、加强与有关部门应急联动等。</w:t>
            </w:r>
          </w:p>
          <w:p w14:paraId="74D0A73C">
            <w:pPr>
              <w:pStyle w:val="51"/>
              <w:keepNext w:val="0"/>
              <w:keepLines w:val="0"/>
              <w:pageBreakBefore w:val="0"/>
              <w:kinsoku/>
              <w:wordWrap/>
              <w:overflowPunct/>
              <w:autoSpaceDE/>
              <w:autoSpaceDN/>
              <w:bidi w:val="0"/>
              <w:spacing w:after="0" w:line="360" w:lineRule="auto"/>
              <w:ind w:firstLine="480"/>
              <w:textAlignment w:val="auto"/>
              <w:rPr>
                <w:bCs/>
                <w:color w:val="auto"/>
                <w:lang w:eastAsia="zh-CN"/>
              </w:rPr>
            </w:pPr>
            <w:r>
              <w:rPr>
                <w:rFonts w:hint="eastAsia"/>
                <w:bCs/>
                <w:color w:val="auto"/>
                <w:lang w:eastAsia="zh-CN"/>
              </w:rPr>
              <w:t>本项目通过落实环境风险防范措施后，尽管环境风险事件的可能性依然存在，但是通过有效地管理，严格地监控，以及严密的应急预案，本项目环境风险可防控。具体内容见环境风险专项评价。</w:t>
            </w:r>
          </w:p>
          <w:p w14:paraId="02E1C8DD">
            <w:pPr>
              <w:pStyle w:val="51"/>
              <w:pageBreakBefore w:val="0"/>
              <w:kinsoku/>
              <w:wordWrap/>
              <w:overflowPunct/>
              <w:autoSpaceDE/>
              <w:autoSpaceDN/>
              <w:bidi w:val="0"/>
              <w:spacing w:line="360" w:lineRule="auto"/>
              <w:ind w:firstLine="480"/>
              <w:textAlignment w:val="auto"/>
              <w:rPr>
                <w:color w:val="auto"/>
                <w:lang w:eastAsia="zh-CN"/>
              </w:rPr>
            </w:pPr>
          </w:p>
        </w:tc>
      </w:tr>
      <w:tr w14:paraId="15E8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3" w:hRule="atLeast"/>
          <w:jc w:val="center"/>
        </w:trPr>
        <w:tc>
          <w:tcPr>
            <w:tcW w:w="746" w:type="dxa"/>
            <w:tcMar>
              <w:left w:w="28" w:type="dxa"/>
              <w:right w:w="28" w:type="dxa"/>
            </w:tcMar>
            <w:vAlign w:val="center"/>
          </w:tcPr>
          <w:p w14:paraId="6D64954A">
            <w:pPr>
              <w:adjustRightInd w:val="0"/>
              <w:snapToGrid w:val="0"/>
              <w:jc w:val="center"/>
              <w:rPr>
                <w:b/>
                <w:bCs/>
                <w:color w:val="auto"/>
                <w:sz w:val="24"/>
                <w:szCs w:val="21"/>
              </w:rPr>
            </w:pPr>
            <w:r>
              <w:rPr>
                <w:b/>
                <w:bCs/>
                <w:color w:val="auto"/>
                <w:sz w:val="24"/>
                <w:szCs w:val="21"/>
              </w:rPr>
              <w:t>选址选线环境合理性分析</w:t>
            </w:r>
          </w:p>
        </w:tc>
        <w:tc>
          <w:tcPr>
            <w:tcW w:w="8165" w:type="dxa"/>
          </w:tcPr>
          <w:p w14:paraId="7FFE91AB">
            <w:pPr>
              <w:keepNext w:val="0"/>
              <w:keepLines w:val="0"/>
              <w:pageBreakBefore w:val="0"/>
              <w:widowControl w:val="0"/>
              <w:kinsoku/>
              <w:wordWrap/>
              <w:overflowPunct/>
              <w:topLinePunct w:val="0"/>
              <w:autoSpaceDE/>
              <w:autoSpaceDN/>
              <w:bidi w:val="0"/>
              <w:spacing w:after="0" w:line="360" w:lineRule="auto"/>
              <w:ind w:firstLine="562" w:firstLineChars="200"/>
              <w:textAlignment w:val="auto"/>
              <w:rPr>
                <w:b/>
                <w:color w:val="auto"/>
                <w:sz w:val="28"/>
              </w:rPr>
            </w:pPr>
            <w:r>
              <w:rPr>
                <w:b/>
                <w:color w:val="auto"/>
                <w:sz w:val="28"/>
              </w:rPr>
              <w:t>4.3选址合理性分析</w:t>
            </w:r>
          </w:p>
          <w:p w14:paraId="4DE8AF5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outlineLvl w:val="2"/>
              <w:rPr>
                <w:color w:val="auto"/>
                <w:kern w:val="0"/>
                <w:sz w:val="24"/>
              </w:rPr>
            </w:pPr>
            <w:r>
              <w:rPr>
                <w:rFonts w:hint="eastAsia"/>
                <w:color w:val="auto"/>
                <w:kern w:val="0"/>
                <w:sz w:val="24"/>
              </w:rPr>
              <w:t>（1）本项目选址位于钦州石化产业园内，已获得中国（广西）自由贸易试验区钦州港片区行政审批局同意项目在广西钦州泰兴石油化工有限公司西面空地建设，土地无任何纠纷；</w:t>
            </w:r>
          </w:p>
          <w:p w14:paraId="0FFD023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outlineLvl w:val="2"/>
              <w:rPr>
                <w:color w:val="auto"/>
                <w:kern w:val="0"/>
                <w:sz w:val="24"/>
              </w:rPr>
            </w:pPr>
            <w:r>
              <w:rPr>
                <w:rFonts w:hint="eastAsia"/>
                <w:color w:val="auto"/>
                <w:kern w:val="0"/>
                <w:sz w:val="24"/>
              </w:rPr>
              <w:t>（2）本项目所在区域地势平稳、开阔，利于减轻本项目施工期对周边环境产生的影响；</w:t>
            </w:r>
          </w:p>
          <w:p w14:paraId="7D3E89C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outlineLvl w:val="2"/>
              <w:rPr>
                <w:color w:val="auto"/>
                <w:kern w:val="0"/>
                <w:sz w:val="24"/>
              </w:rPr>
            </w:pPr>
            <w:r>
              <w:rPr>
                <w:rFonts w:hint="eastAsia"/>
                <w:color w:val="auto"/>
                <w:kern w:val="0"/>
                <w:sz w:val="24"/>
              </w:rPr>
              <w:t>（3）项目周边无重点保护目标，无水源保护区；</w:t>
            </w:r>
          </w:p>
          <w:p w14:paraId="2663A8B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outlineLvl w:val="2"/>
              <w:rPr>
                <w:b/>
                <w:bCs/>
                <w:color w:val="auto"/>
                <w:kern w:val="0"/>
                <w:sz w:val="28"/>
                <w:szCs w:val="30"/>
              </w:rPr>
            </w:pPr>
            <w:r>
              <w:rPr>
                <w:rFonts w:hint="eastAsia"/>
                <w:color w:val="auto"/>
                <w:kern w:val="0"/>
                <w:sz w:val="24"/>
              </w:rPr>
              <w:t>（4）本项目沿规划建设的三纵路建设管道，保持了周边地块的完整性，最大化发挥土地整体利用效益，有利于减少对周边环境的影响。</w:t>
            </w:r>
          </w:p>
        </w:tc>
      </w:tr>
    </w:tbl>
    <w:p w14:paraId="34D86502">
      <w:pPr>
        <w:adjustRightInd w:val="0"/>
        <w:snapToGrid w:val="0"/>
        <w:rPr>
          <w:b/>
          <w:color w:val="auto"/>
          <w:kern w:val="0"/>
          <w:sz w:val="28"/>
          <w:szCs w:val="28"/>
        </w:rPr>
        <w:sectPr>
          <w:pgSz w:w="11907" w:h="16840"/>
          <w:pgMar w:top="1418" w:right="1418" w:bottom="1418" w:left="1418" w:header="851" w:footer="850" w:gutter="0"/>
          <w:cols w:space="0" w:num="1"/>
          <w:docGrid w:linePitch="312" w:charSpace="0"/>
        </w:sectPr>
      </w:pPr>
    </w:p>
    <w:p w14:paraId="446AE3A6">
      <w:pPr>
        <w:pStyle w:val="17"/>
        <w:spacing w:before="0" w:beforeAutospacing="0" w:after="0" w:afterAutospacing="0" w:line="360" w:lineRule="auto"/>
        <w:jc w:val="center"/>
        <w:outlineLvl w:val="0"/>
        <w:rPr>
          <w:rFonts w:ascii="Times New Roman" w:hAnsi="Times New Roman"/>
          <w:b/>
          <w:snapToGrid w:val="0"/>
          <w:color w:val="auto"/>
          <w:sz w:val="30"/>
          <w:szCs w:val="30"/>
        </w:rPr>
      </w:pPr>
      <w:bookmarkStart w:id="48" w:name="_Toc152336005"/>
      <w:r>
        <w:rPr>
          <w:rFonts w:ascii="Times New Roman" w:hAnsi="Times New Roman"/>
          <w:b/>
          <w:snapToGrid w:val="0"/>
          <w:color w:val="auto"/>
          <w:sz w:val="30"/>
          <w:szCs w:val="30"/>
        </w:rPr>
        <w:t>五、主要生态环境保护措施</w:t>
      </w:r>
      <w:bookmarkEnd w:id="48"/>
    </w:p>
    <w:tbl>
      <w:tblPr>
        <w:tblStyle w:val="22"/>
        <w:tblpPr w:leftFromText="180" w:rightFromText="180" w:vertAnchor="text" w:tblpY="1"/>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8378"/>
      </w:tblGrid>
      <w:tr w14:paraId="5596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908" w:type="dxa"/>
            <w:vAlign w:val="center"/>
          </w:tcPr>
          <w:p w14:paraId="047E619A">
            <w:pPr>
              <w:pStyle w:val="17"/>
              <w:adjustRightInd w:val="0"/>
              <w:snapToGrid w:val="0"/>
              <w:spacing w:before="0" w:after="0"/>
              <w:jc w:val="center"/>
              <w:rPr>
                <w:rFonts w:ascii="Times New Roman" w:hAnsi="Times New Roman"/>
                <w:b/>
                <w:color w:val="auto"/>
                <w:szCs w:val="21"/>
              </w:rPr>
            </w:pPr>
            <w:r>
              <w:rPr>
                <w:rFonts w:ascii="Times New Roman" w:hAnsi="Times New Roman"/>
                <w:b/>
                <w:color w:val="auto"/>
                <w:szCs w:val="21"/>
              </w:rPr>
              <w:t>施工期生态环境保护措施</w:t>
            </w:r>
          </w:p>
        </w:tc>
        <w:tc>
          <w:tcPr>
            <w:tcW w:w="8378" w:type="dxa"/>
          </w:tcPr>
          <w:p w14:paraId="03342B0F">
            <w:pPr>
              <w:pStyle w:val="51"/>
              <w:keepNext w:val="0"/>
              <w:keepLines w:val="0"/>
              <w:pageBreakBefore w:val="0"/>
              <w:kinsoku/>
              <w:wordWrap/>
              <w:overflowPunct/>
              <w:autoSpaceDE/>
              <w:autoSpaceDN/>
              <w:bidi w:val="0"/>
              <w:adjustRightInd/>
              <w:snapToGrid/>
              <w:spacing w:after="0" w:line="360" w:lineRule="auto"/>
              <w:ind w:firstLine="562"/>
              <w:textAlignment w:val="auto"/>
              <w:rPr>
                <w:b/>
                <w:color w:val="auto"/>
                <w:sz w:val="28"/>
                <w:lang w:eastAsia="zh-CN"/>
              </w:rPr>
            </w:pPr>
            <w:r>
              <w:rPr>
                <w:b/>
                <w:color w:val="auto"/>
                <w:sz w:val="28"/>
                <w:lang w:eastAsia="zh-CN"/>
              </w:rPr>
              <w:t>5.1施工期生态环境保护措施</w:t>
            </w:r>
          </w:p>
          <w:p w14:paraId="72B3B944">
            <w:pPr>
              <w:pStyle w:val="51"/>
              <w:keepNext w:val="0"/>
              <w:keepLines w:val="0"/>
              <w:pageBreakBefore w:val="0"/>
              <w:kinsoku/>
              <w:wordWrap/>
              <w:overflowPunct/>
              <w:autoSpaceDE/>
              <w:autoSpaceDN/>
              <w:bidi w:val="0"/>
              <w:adjustRightInd/>
              <w:snapToGrid/>
              <w:spacing w:after="0" w:line="360" w:lineRule="auto"/>
              <w:ind w:firstLine="482"/>
              <w:textAlignment w:val="auto"/>
              <w:rPr>
                <w:b/>
                <w:color w:val="auto"/>
                <w:lang w:eastAsia="zh-CN"/>
              </w:rPr>
            </w:pPr>
            <w:r>
              <w:rPr>
                <w:b/>
                <w:color w:val="auto"/>
                <w:lang w:eastAsia="zh-CN"/>
              </w:rPr>
              <w:t>5.1.1施工期废气污染防治措施</w:t>
            </w:r>
          </w:p>
          <w:p w14:paraId="306B4241">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为减少施工期间大气环境的污染，应做到如下几点：</w:t>
            </w:r>
          </w:p>
          <w:p w14:paraId="2781B874">
            <w:pPr>
              <w:pStyle w:val="2"/>
              <w:keepNext w:val="0"/>
              <w:keepLines w:val="0"/>
              <w:pageBreakBefore w:val="0"/>
              <w:widowControl/>
              <w:kinsoku/>
              <w:wordWrap/>
              <w:overflowPunct/>
              <w:topLinePunct/>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eastAsia="宋体" w:cs="Times New Roman"/>
                <w:color w:val="auto"/>
                <w:spacing w:val="0"/>
                <w:kern w:val="2"/>
                <w:sz w:val="24"/>
                <w:szCs w:val="24"/>
                <w:lang w:val="en-US" w:eastAsia="zh-CN" w:bidi="ar-SA"/>
              </w:rPr>
              <w:t>（1）旧</w:t>
            </w:r>
            <w:r>
              <w:rPr>
                <w:rFonts w:hint="eastAsia" w:ascii="Times New Roman" w:hAnsi="Times New Roman" w:cs="Times New Roman"/>
                <w:color w:val="auto"/>
                <w:spacing w:val="0"/>
                <w:kern w:val="2"/>
                <w:sz w:val="24"/>
                <w:szCs w:val="24"/>
                <w:lang w:val="en-US" w:eastAsia="zh-CN" w:bidi="ar-SA"/>
              </w:rPr>
              <w:t>火炬气</w:t>
            </w:r>
            <w:r>
              <w:rPr>
                <w:rFonts w:hint="eastAsia" w:ascii="Times New Roman" w:hAnsi="Times New Roman" w:eastAsia="宋体" w:cs="Times New Roman"/>
                <w:color w:val="auto"/>
                <w:spacing w:val="0"/>
                <w:kern w:val="2"/>
                <w:sz w:val="24"/>
                <w:szCs w:val="24"/>
                <w:lang w:val="en-US" w:eastAsia="zh-CN" w:bidi="ar-SA"/>
              </w:rPr>
              <w:t>管</w:t>
            </w:r>
            <w:r>
              <w:rPr>
                <w:rFonts w:hint="eastAsia" w:ascii="Times New Roman" w:hAnsi="Times New Roman" w:cs="Times New Roman"/>
                <w:color w:val="auto"/>
                <w:spacing w:val="0"/>
                <w:kern w:val="2"/>
                <w:sz w:val="24"/>
                <w:szCs w:val="24"/>
                <w:lang w:val="en-US" w:eastAsia="zh-CN" w:bidi="ar-SA"/>
              </w:rPr>
              <w:t>和旧燃气管的</w:t>
            </w:r>
            <w:bookmarkStart w:id="49" w:name="OLE_LINK41"/>
            <w:r>
              <w:rPr>
                <w:rFonts w:hint="eastAsia" w:ascii="Times New Roman" w:hAnsi="Times New Roman" w:eastAsia="宋体" w:cs="Times New Roman"/>
                <w:color w:val="auto"/>
                <w:spacing w:val="0"/>
                <w:kern w:val="2"/>
                <w:sz w:val="24"/>
                <w:szCs w:val="24"/>
                <w:lang w:val="en-US" w:eastAsia="zh-CN" w:bidi="ar-SA"/>
              </w:rPr>
              <w:t>吹扫废气</w:t>
            </w:r>
            <w:bookmarkEnd w:id="49"/>
            <w:r>
              <w:rPr>
                <w:rFonts w:hint="eastAsia" w:ascii="Times New Roman" w:hAnsi="Times New Roman" w:eastAsia="宋体" w:cs="Times New Roman"/>
                <w:color w:val="auto"/>
                <w:spacing w:val="0"/>
                <w:kern w:val="2"/>
                <w:sz w:val="24"/>
                <w:szCs w:val="24"/>
                <w:lang w:val="en-US" w:eastAsia="zh-CN" w:bidi="ar-SA"/>
              </w:rPr>
              <w:t>由泰兴石化端吹入火炬</w:t>
            </w:r>
            <w:r>
              <w:rPr>
                <w:rFonts w:hint="eastAsia" w:ascii="Times New Roman" w:hAnsi="Times New Roman" w:cs="Times New Roman"/>
                <w:color w:val="auto"/>
                <w:spacing w:val="0"/>
                <w:kern w:val="2"/>
                <w:sz w:val="24"/>
                <w:szCs w:val="24"/>
                <w:lang w:val="en-US" w:eastAsia="zh-CN" w:bidi="ar-SA"/>
              </w:rPr>
              <w:t>端</w:t>
            </w:r>
            <w:r>
              <w:rPr>
                <w:rFonts w:hint="eastAsia" w:ascii="Times New Roman" w:hAnsi="Times New Roman" w:eastAsia="宋体" w:cs="Times New Roman"/>
                <w:color w:val="auto"/>
                <w:spacing w:val="0"/>
                <w:kern w:val="2"/>
                <w:sz w:val="24"/>
                <w:szCs w:val="24"/>
                <w:lang w:val="en-US" w:eastAsia="zh-CN" w:bidi="ar-SA"/>
              </w:rPr>
              <w:t>，</w:t>
            </w:r>
            <w:r>
              <w:rPr>
                <w:rFonts w:hint="eastAsia" w:ascii="Times New Roman" w:hAnsi="Times New Roman" w:cs="Times New Roman"/>
                <w:color w:val="auto"/>
                <w:spacing w:val="0"/>
                <w:kern w:val="2"/>
                <w:sz w:val="24"/>
                <w:szCs w:val="24"/>
                <w:lang w:val="en-US" w:eastAsia="zh-CN" w:bidi="ar-SA"/>
              </w:rPr>
              <w:t>进行</w:t>
            </w:r>
            <w:bookmarkStart w:id="50" w:name="OLE_LINK42"/>
            <w:r>
              <w:rPr>
                <w:rFonts w:hint="eastAsia" w:ascii="Times New Roman" w:hAnsi="Times New Roman" w:eastAsia="宋体" w:cs="Times New Roman"/>
                <w:color w:val="auto"/>
                <w:spacing w:val="0"/>
                <w:kern w:val="2"/>
                <w:sz w:val="24"/>
                <w:szCs w:val="24"/>
                <w:lang w:val="en-US" w:eastAsia="zh-CN" w:bidi="ar-SA"/>
              </w:rPr>
              <w:t>焚烧处理</w:t>
            </w:r>
            <w:bookmarkEnd w:id="50"/>
            <w:r>
              <w:rPr>
                <w:rFonts w:hint="eastAsia" w:ascii="Times New Roman" w:hAnsi="Times New Roman" w:cs="Times New Roman"/>
                <w:color w:val="auto"/>
                <w:spacing w:val="0"/>
                <w:kern w:val="2"/>
                <w:sz w:val="24"/>
                <w:szCs w:val="24"/>
                <w:lang w:val="en-US" w:eastAsia="zh-CN" w:bidi="ar-SA"/>
              </w:rPr>
              <w:t>；</w:t>
            </w:r>
          </w:p>
          <w:p w14:paraId="3EB9E073">
            <w:pPr>
              <w:keepNext w:val="0"/>
              <w:keepLines w:val="0"/>
              <w:pageBreakBefore w:val="0"/>
              <w:kinsoku/>
              <w:wordWrap/>
              <w:overflowPunct/>
              <w:autoSpaceDE/>
              <w:autoSpaceDN/>
              <w:bidi w:val="0"/>
              <w:adjustRightInd/>
              <w:snapToGrid/>
              <w:spacing w:after="0" w:line="360" w:lineRule="auto"/>
              <w:ind w:firstLine="480" w:firstLineChars="200"/>
              <w:textAlignment w:val="auto"/>
              <w:rPr>
                <w:rFonts w:hint="eastAsia" w:eastAsia="宋体"/>
                <w:color w:val="auto"/>
                <w:sz w:val="24"/>
                <w:lang w:eastAsia="zh-CN"/>
              </w:rPr>
            </w:pPr>
            <w:r>
              <w:rPr>
                <w:color w:val="auto"/>
                <w:sz w:val="24"/>
              </w:rPr>
              <w:t>（</w:t>
            </w:r>
            <w:r>
              <w:rPr>
                <w:rFonts w:hint="eastAsia"/>
                <w:color w:val="auto"/>
                <w:sz w:val="24"/>
                <w:lang w:val="en-US" w:eastAsia="zh-CN"/>
              </w:rPr>
              <w:t>2</w:t>
            </w:r>
            <w:r>
              <w:rPr>
                <w:color w:val="auto"/>
                <w:sz w:val="24"/>
              </w:rPr>
              <w:t>）</w:t>
            </w:r>
            <w:r>
              <w:rPr>
                <w:rFonts w:hint="eastAsia"/>
                <w:color w:val="auto"/>
                <w:sz w:val="24"/>
              </w:rPr>
              <w:t>开挖过程中，应洒水使作业面保持一定的湿度；对施工场地内松散、干涸的表土，也应经常洒水防止粉尘飞扬；回填土方时，在表层土质干燥时也需适当洒水</w:t>
            </w:r>
            <w:r>
              <w:rPr>
                <w:rFonts w:hint="eastAsia"/>
                <w:color w:val="auto"/>
                <w:sz w:val="24"/>
                <w:lang w:eastAsia="zh-CN"/>
              </w:rPr>
              <w:t>；</w:t>
            </w:r>
          </w:p>
          <w:p w14:paraId="641A3244">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w:t>
            </w:r>
            <w:r>
              <w:rPr>
                <w:rFonts w:hint="eastAsia"/>
                <w:color w:val="auto"/>
                <w:sz w:val="24"/>
                <w:lang w:val="en-US" w:eastAsia="zh-CN"/>
              </w:rPr>
              <w:t>3</w:t>
            </w:r>
            <w:r>
              <w:rPr>
                <w:color w:val="auto"/>
                <w:sz w:val="24"/>
              </w:rPr>
              <w:t>）使用达到相关移动源环保要求的内燃机施工机械，使用符合国家标准的燃料油，并通过加强保养和维护，确保内燃机燃油尾气达标排放；</w:t>
            </w:r>
          </w:p>
          <w:p w14:paraId="472F49BA">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w:t>
            </w:r>
            <w:r>
              <w:rPr>
                <w:rFonts w:hint="eastAsia"/>
                <w:color w:val="auto"/>
                <w:sz w:val="24"/>
                <w:lang w:val="en-US" w:eastAsia="zh-CN"/>
              </w:rPr>
              <w:t>4</w:t>
            </w:r>
            <w:r>
              <w:rPr>
                <w:color w:val="auto"/>
                <w:sz w:val="24"/>
              </w:rPr>
              <w:t>）施工过程中受大气污染影响最严重的应为施工人员，应采取防护措施，如施工人员</w:t>
            </w:r>
            <w:r>
              <w:rPr>
                <w:rFonts w:hint="eastAsia"/>
                <w:color w:val="auto"/>
                <w:sz w:val="24"/>
                <w:lang w:eastAsia="zh-CN"/>
              </w:rPr>
              <w:t>佩戴</w:t>
            </w:r>
            <w:r>
              <w:rPr>
                <w:color w:val="auto"/>
                <w:sz w:val="24"/>
              </w:rPr>
              <w:t>防尘口罩等；</w:t>
            </w:r>
          </w:p>
          <w:p w14:paraId="05FF3353">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w:t>
            </w:r>
            <w:r>
              <w:rPr>
                <w:rFonts w:hint="eastAsia"/>
                <w:color w:val="auto"/>
                <w:sz w:val="24"/>
                <w:lang w:val="en-US" w:eastAsia="zh-CN"/>
              </w:rPr>
              <w:t>5</w:t>
            </w:r>
            <w:r>
              <w:rPr>
                <w:color w:val="auto"/>
                <w:sz w:val="24"/>
              </w:rPr>
              <w:t>）施工场地、施工道路的扬尘通过洒水降尘。洒水频率以控制场区和道路无扬尘为原则，具体根据天气情况和车流量确定，一般情况下为每2～3个小时一次，天气干燥的季节，缩短至每小时一次。据有关实验表明，在施工场地每天洒水抑尘4～5次，其扬尘造成的TSP污染范围可缩小至20～50m；</w:t>
            </w:r>
          </w:p>
          <w:p w14:paraId="2F04BAB1">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w:t>
            </w:r>
            <w:r>
              <w:rPr>
                <w:rFonts w:hint="eastAsia"/>
                <w:color w:val="auto"/>
                <w:sz w:val="24"/>
                <w:lang w:val="en-US" w:eastAsia="zh-CN"/>
              </w:rPr>
              <w:t>6</w:t>
            </w:r>
            <w:r>
              <w:rPr>
                <w:color w:val="auto"/>
                <w:sz w:val="24"/>
              </w:rPr>
              <w:t>）清扫运输车轮，并控制汽车行驶车速，降低交通扬尘对区域环境空气质量的影响。</w:t>
            </w:r>
          </w:p>
          <w:p w14:paraId="172AF295">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w:t>
            </w:r>
            <w:r>
              <w:rPr>
                <w:rFonts w:hint="eastAsia"/>
                <w:color w:val="auto"/>
                <w:sz w:val="24"/>
                <w:lang w:val="en-US" w:eastAsia="zh-CN"/>
              </w:rPr>
              <w:t>7</w:t>
            </w:r>
            <w:r>
              <w:rPr>
                <w:color w:val="auto"/>
                <w:sz w:val="24"/>
              </w:rPr>
              <w:t>）项目相关车辆经过</w:t>
            </w:r>
            <w:r>
              <w:rPr>
                <w:rFonts w:hint="eastAsia"/>
                <w:color w:val="auto"/>
                <w:sz w:val="24"/>
              </w:rPr>
              <w:t>园区</w:t>
            </w:r>
            <w:r>
              <w:rPr>
                <w:color w:val="auto"/>
                <w:sz w:val="24"/>
              </w:rPr>
              <w:t>周边居民集聚区等敏感区域时应禁止鸣笛并减速慢行，将造成的影响减小到最低。</w:t>
            </w:r>
          </w:p>
          <w:p w14:paraId="1FE5A694">
            <w:pPr>
              <w:pStyle w:val="10"/>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rPr>
            </w:pPr>
            <w:r>
              <w:rPr>
                <w:color w:val="auto"/>
              </w:rPr>
              <w:t>（</w:t>
            </w:r>
            <w:r>
              <w:rPr>
                <w:rFonts w:hint="eastAsia"/>
                <w:color w:val="auto"/>
                <w:lang w:val="en-US" w:eastAsia="zh-CN"/>
              </w:rPr>
              <w:t>8</w:t>
            </w:r>
            <w:r>
              <w:rPr>
                <w:color w:val="auto"/>
              </w:rPr>
              <w:t>）</w:t>
            </w:r>
            <w:r>
              <w:rPr>
                <w:rFonts w:hint="eastAsia"/>
                <w:color w:val="auto"/>
              </w:rPr>
              <w:t>提高焊接技术，改进焊接工艺，减少电焊烟尘污染。在通风扩散条件良好时进行电焊施工。</w:t>
            </w:r>
          </w:p>
          <w:p w14:paraId="494EC43F">
            <w:pPr>
              <w:pStyle w:val="51"/>
              <w:keepNext w:val="0"/>
              <w:keepLines w:val="0"/>
              <w:pageBreakBefore w:val="0"/>
              <w:kinsoku/>
              <w:wordWrap/>
              <w:overflowPunct/>
              <w:autoSpaceDE/>
              <w:autoSpaceDN/>
              <w:bidi w:val="0"/>
              <w:adjustRightInd/>
              <w:snapToGrid/>
              <w:spacing w:after="0" w:line="360" w:lineRule="auto"/>
              <w:ind w:firstLine="482"/>
              <w:textAlignment w:val="auto"/>
              <w:rPr>
                <w:b/>
                <w:color w:val="auto"/>
                <w:lang w:eastAsia="zh-CN"/>
              </w:rPr>
            </w:pPr>
            <w:r>
              <w:rPr>
                <w:b/>
                <w:color w:val="auto"/>
                <w:lang w:eastAsia="zh-CN"/>
              </w:rPr>
              <w:t>5.1.2施工期水污染防治措施</w:t>
            </w:r>
          </w:p>
          <w:p w14:paraId="397E1CE6">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ascii="Times New Roman" w:hAnsi="Times New Roman"/>
                <w:color w:val="auto"/>
                <w:sz w:val="24"/>
                <w:szCs w:val="24"/>
              </w:rPr>
            </w:pPr>
            <w:r>
              <w:rPr>
                <w:rFonts w:ascii="Times New Roman" w:hAnsi="Times New Roman"/>
                <w:color w:val="auto"/>
                <w:sz w:val="24"/>
                <w:szCs w:val="24"/>
              </w:rPr>
              <w:t>施工期废水主要为施工废水。所采取的防治措施如下：</w:t>
            </w:r>
          </w:p>
          <w:p w14:paraId="7C65AA4D">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ascii="Times New Roman" w:hAnsi="Times New Roman"/>
                <w:color w:val="auto"/>
                <w:sz w:val="24"/>
                <w:szCs w:val="24"/>
              </w:rPr>
            </w:pPr>
            <w:r>
              <w:rPr>
                <w:rFonts w:ascii="Times New Roman" w:hAnsi="Times New Roman"/>
                <w:color w:val="auto"/>
                <w:sz w:val="24"/>
                <w:szCs w:val="24"/>
              </w:rPr>
              <w:t>（1）施工废水</w:t>
            </w:r>
            <w:r>
              <w:rPr>
                <w:rFonts w:hint="eastAsia" w:ascii="Times New Roman" w:hAnsi="Times New Roman"/>
                <w:color w:val="auto"/>
                <w:sz w:val="24"/>
                <w:szCs w:val="24"/>
                <w:lang w:val="en-US" w:eastAsia="zh-CN"/>
              </w:rPr>
              <w:t>主要为</w:t>
            </w:r>
            <w:r>
              <w:rPr>
                <w:rFonts w:hint="eastAsia"/>
                <w:color w:val="auto"/>
                <w:kern w:val="0"/>
                <w:sz w:val="24"/>
                <w:szCs w:val="20"/>
              </w:rPr>
              <w:t>运输车辆进出场地进行的轮胎清洗废水</w:t>
            </w:r>
            <w:r>
              <w:rPr>
                <w:rFonts w:hint="eastAsia"/>
                <w:color w:val="auto"/>
                <w:kern w:val="0"/>
                <w:sz w:val="24"/>
                <w:szCs w:val="20"/>
                <w:lang w:val="en-US" w:eastAsia="zh-CN"/>
              </w:rPr>
              <w:t>和</w:t>
            </w:r>
            <w:r>
              <w:rPr>
                <w:rFonts w:hint="eastAsia"/>
                <w:color w:val="auto"/>
                <w:kern w:val="0"/>
                <w:sz w:val="24"/>
                <w:szCs w:val="20"/>
              </w:rPr>
              <w:t>场地汇流雨水，废水中主要污染物为SS</w:t>
            </w:r>
            <w:r>
              <w:rPr>
                <w:rFonts w:ascii="Times New Roman" w:hAnsi="Times New Roman"/>
                <w:color w:val="auto"/>
                <w:sz w:val="24"/>
                <w:szCs w:val="24"/>
              </w:rPr>
              <w:t>，</w:t>
            </w:r>
            <w:r>
              <w:rPr>
                <w:rFonts w:hint="eastAsia"/>
                <w:color w:val="auto"/>
                <w:kern w:val="0"/>
                <w:sz w:val="24"/>
                <w:szCs w:val="20"/>
              </w:rPr>
              <w:t>施工单位在场地内设置沉淀池，对轮胎清洗废水和场地汇流进行沉淀处理，并在进水口设置拦截网，拦截大的块状物及泥沙后回用作洗车、降尘等用水，不外排</w:t>
            </w:r>
            <w:r>
              <w:rPr>
                <w:rFonts w:ascii="Times New Roman" w:hAnsi="Times New Roman"/>
                <w:color w:val="auto"/>
                <w:sz w:val="24"/>
                <w:szCs w:val="24"/>
              </w:rPr>
              <w:t>；</w:t>
            </w:r>
          </w:p>
          <w:p w14:paraId="76877F09">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ascii="Times New Roman" w:hAnsi="Times New Roman"/>
                <w:color w:val="auto"/>
                <w:sz w:val="24"/>
                <w:szCs w:val="24"/>
              </w:rPr>
            </w:pPr>
            <w:r>
              <w:rPr>
                <w:rFonts w:ascii="Times New Roman" w:hAnsi="Times New Roman"/>
                <w:color w:val="auto"/>
                <w:sz w:val="24"/>
                <w:szCs w:val="24"/>
              </w:rPr>
              <w:t>（2）建设期应合理安排施工作业期，基础开挖、场地平整应避开雨季，减少雨水对地表的冲刷，</w:t>
            </w:r>
            <w:r>
              <w:rPr>
                <w:rFonts w:hint="eastAsia" w:ascii="Times New Roman" w:hAnsi="Times New Roman"/>
                <w:color w:val="auto"/>
                <w:sz w:val="24"/>
                <w:szCs w:val="24"/>
                <w:lang w:val="en-US" w:eastAsia="zh-CN"/>
              </w:rPr>
              <w:t>雨水汇入沉淀池</w:t>
            </w:r>
            <w:r>
              <w:rPr>
                <w:rFonts w:ascii="Times New Roman" w:hAnsi="Times New Roman"/>
                <w:color w:val="auto"/>
                <w:sz w:val="24"/>
                <w:szCs w:val="24"/>
              </w:rPr>
              <w:t>，减少对周边环境的影响；</w:t>
            </w:r>
          </w:p>
          <w:p w14:paraId="386EA8E8">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ascii="Times New Roman" w:hAnsi="Times New Roman"/>
                <w:color w:val="auto"/>
                <w:sz w:val="24"/>
                <w:szCs w:val="24"/>
              </w:rPr>
            </w:pPr>
            <w:r>
              <w:rPr>
                <w:rFonts w:ascii="Times New Roman" w:hAnsi="Times New Roman"/>
                <w:color w:val="auto"/>
                <w:sz w:val="24"/>
                <w:szCs w:val="24"/>
              </w:rPr>
              <w:t>（3）</w:t>
            </w:r>
            <w:r>
              <w:rPr>
                <w:rFonts w:hint="eastAsia"/>
                <w:color w:val="auto"/>
                <w:kern w:val="0"/>
                <w:sz w:val="24"/>
                <w:szCs w:val="20"/>
                <w:lang w:val="en-US" w:eastAsia="zh-CN"/>
              </w:rPr>
              <w:t>新管</w:t>
            </w:r>
            <w:r>
              <w:rPr>
                <w:rFonts w:hint="eastAsia" w:ascii="Times New Roman" w:hAnsi="Times New Roman"/>
                <w:color w:val="auto"/>
                <w:sz w:val="24"/>
                <w:szCs w:val="24"/>
              </w:rPr>
              <w:t>试压废水含有铁锈和泥砂，本项目采用整体试压，试压废水产生量较小，</w:t>
            </w:r>
            <w:r>
              <w:rPr>
                <w:rFonts w:hint="eastAsia" w:ascii="Times New Roman" w:hAnsi="Times New Roman"/>
                <w:color w:val="auto"/>
                <w:sz w:val="24"/>
              </w:rPr>
              <w:t>收集沉淀后用于洒水降尘，</w:t>
            </w:r>
            <w:r>
              <w:rPr>
                <w:rFonts w:hint="eastAsia" w:ascii="Times New Roman" w:hAnsi="Times New Roman"/>
                <w:color w:val="auto"/>
                <w:sz w:val="24"/>
                <w:lang w:val="en-US" w:eastAsia="zh-CN"/>
              </w:rPr>
              <w:t>多余部分通过罐车运至泰兴石化污水收集系统处理</w:t>
            </w:r>
            <w:r>
              <w:rPr>
                <w:rFonts w:ascii="Times New Roman" w:hAnsi="Times New Roman"/>
                <w:color w:val="auto"/>
                <w:sz w:val="24"/>
                <w:szCs w:val="24"/>
              </w:rPr>
              <w:t>。</w:t>
            </w:r>
          </w:p>
          <w:p w14:paraId="59F57C72">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rPr>
            </w:pPr>
            <w:r>
              <w:rPr>
                <w:color w:val="auto"/>
                <w:sz w:val="24"/>
              </w:rPr>
              <w:t>（</w:t>
            </w:r>
            <w:r>
              <w:rPr>
                <w:rFonts w:hint="eastAsia"/>
                <w:color w:val="auto"/>
                <w:sz w:val="24"/>
                <w:lang w:val="en-US" w:eastAsia="zh-CN"/>
              </w:rPr>
              <w:t>5</w:t>
            </w:r>
            <w:r>
              <w:rPr>
                <w:color w:val="auto"/>
                <w:sz w:val="24"/>
              </w:rPr>
              <w:t>）</w:t>
            </w:r>
            <w:r>
              <w:rPr>
                <w:rFonts w:hint="eastAsia"/>
                <w:color w:val="auto"/>
                <w:sz w:val="24"/>
              </w:rPr>
              <w:t>项目不设施工营地，</w:t>
            </w:r>
            <w:r>
              <w:rPr>
                <w:rFonts w:hint="eastAsia"/>
                <w:color w:val="auto"/>
                <w:spacing w:val="6"/>
                <w:kern w:val="0"/>
                <w:sz w:val="24"/>
                <w:szCs w:val="28"/>
                <w:lang w:val="en-US" w:eastAsia="zh-CN"/>
              </w:rPr>
              <w:t>工期施工人员生活污水</w:t>
            </w:r>
            <w:r>
              <w:rPr>
                <w:rFonts w:hint="eastAsia"/>
                <w:color w:val="auto"/>
                <w:spacing w:val="6"/>
                <w:kern w:val="0"/>
                <w:sz w:val="24"/>
                <w:szCs w:val="28"/>
              </w:rPr>
              <w:t>依托泰兴</w:t>
            </w:r>
            <w:r>
              <w:rPr>
                <w:rFonts w:hint="eastAsia"/>
                <w:color w:val="auto"/>
                <w:spacing w:val="6"/>
                <w:kern w:val="0"/>
                <w:sz w:val="24"/>
                <w:szCs w:val="28"/>
                <w:lang w:val="en-US" w:eastAsia="zh-CN"/>
              </w:rPr>
              <w:t>石化</w:t>
            </w:r>
            <w:r>
              <w:rPr>
                <w:rFonts w:hint="eastAsia"/>
                <w:color w:val="auto"/>
                <w:spacing w:val="6"/>
                <w:kern w:val="0"/>
                <w:sz w:val="24"/>
                <w:szCs w:val="28"/>
              </w:rPr>
              <w:t>生活污水处理</w:t>
            </w:r>
            <w:r>
              <w:rPr>
                <w:rFonts w:hint="eastAsia"/>
                <w:color w:val="auto"/>
                <w:spacing w:val="6"/>
                <w:kern w:val="0"/>
                <w:sz w:val="24"/>
                <w:szCs w:val="28"/>
                <w:lang w:val="en-US" w:eastAsia="zh-CN"/>
              </w:rPr>
              <w:t>设施</w:t>
            </w:r>
            <w:r>
              <w:rPr>
                <w:rFonts w:hint="eastAsia"/>
                <w:color w:val="auto"/>
                <w:spacing w:val="6"/>
                <w:kern w:val="0"/>
                <w:sz w:val="24"/>
                <w:szCs w:val="28"/>
                <w:lang w:eastAsia="zh-CN"/>
              </w:rPr>
              <w:t>，生活污水经化粪池处理后进入市政污水管网，送到胜科污水处理站处理，最后排入钦州湾。</w:t>
            </w:r>
          </w:p>
          <w:p w14:paraId="27DD643B">
            <w:pPr>
              <w:pStyle w:val="51"/>
              <w:keepNext w:val="0"/>
              <w:keepLines w:val="0"/>
              <w:pageBreakBefore w:val="0"/>
              <w:kinsoku/>
              <w:wordWrap/>
              <w:overflowPunct/>
              <w:autoSpaceDE/>
              <w:autoSpaceDN/>
              <w:bidi w:val="0"/>
              <w:adjustRightInd/>
              <w:snapToGrid/>
              <w:spacing w:after="0" w:line="360" w:lineRule="auto"/>
              <w:ind w:firstLine="482"/>
              <w:textAlignment w:val="auto"/>
              <w:rPr>
                <w:b/>
                <w:color w:val="auto"/>
                <w:lang w:eastAsia="zh-CN"/>
              </w:rPr>
            </w:pPr>
            <w:r>
              <w:rPr>
                <w:b/>
                <w:color w:val="auto"/>
                <w:lang w:eastAsia="zh-CN"/>
              </w:rPr>
              <w:t>5.1.3施工期噪声防治措施</w:t>
            </w:r>
          </w:p>
          <w:p w14:paraId="65551C54">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rFonts w:hint="eastAsia"/>
                <w:color w:val="auto"/>
                <w:sz w:val="24"/>
              </w:rPr>
              <w:t>通过采用低噪声机械设备、合理安排施工时间和采取隔声等措施，施工噪声基本可满足《建筑施工场界环境噪声排放标准》（GB12523-2011）的要求。</w:t>
            </w:r>
          </w:p>
          <w:p w14:paraId="6C226ACB">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（1）禁止在中午（12：00-14：00）和夜间（22：00-6：00）施工，如因施工工艺等特殊原因需要施工时，需向环保部门申报，经同意和提前公示后方可施工。避免在同一时间集中使用大量</w:t>
            </w:r>
            <w:r>
              <w:rPr>
                <w:rFonts w:hint="eastAsia"/>
                <w:color w:val="auto"/>
                <w:sz w:val="24"/>
              </w:rPr>
              <w:t>高噪声</w:t>
            </w:r>
            <w:r>
              <w:rPr>
                <w:color w:val="auto"/>
                <w:sz w:val="24"/>
              </w:rPr>
              <w:t>的动力机械设备。在施工过程中，尽量减少同时运行动力机械设备的数量。</w:t>
            </w:r>
          </w:p>
          <w:p w14:paraId="29CF5D9E">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（2）对本项目的施工设备进行合理布局，应尽量缩短其施工时间。</w:t>
            </w:r>
          </w:p>
          <w:p w14:paraId="761788D1">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3）选择低噪声的机械设备。闲置的机械设备等应该及时予以关闭；一切动力机械设备都应该经常检修，特别是那些会因为部件松动而产生噪声的机械，以及那些降噪部件容易损坏而导致强噪声产生的机械设备。</w:t>
            </w:r>
          </w:p>
          <w:p w14:paraId="5F4F40C3">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（4）对施工车辆造成的噪声影响要加强管理，减速慢行，居民区禁止鸣笛。对作业工人必须采取保护措施，如防噪声耳塞、耳罩或防噪声头盔等</w:t>
            </w:r>
          </w:p>
          <w:p w14:paraId="53FD9050">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sz w:val="24"/>
              </w:rPr>
            </w:pPr>
            <w:r>
              <w:rPr>
                <w:color w:val="auto"/>
                <w:sz w:val="24"/>
              </w:rPr>
              <w:t>（5）施工现场合理布局：将施工现场的固定噪声源相对集中，置于远离敏感受纳体的位置，并充分利用地形，特别是重型运载车辆的运行线，应尽量避开噪声敏感区，尽量减少交通堵塞和待车行驶；</w:t>
            </w:r>
          </w:p>
          <w:p w14:paraId="6AB9D777">
            <w:pPr>
              <w:keepNext w:val="0"/>
              <w:keepLines w:val="0"/>
              <w:pageBreakBefore w:val="0"/>
              <w:kinsoku/>
              <w:wordWrap/>
              <w:overflowPunct/>
              <w:autoSpaceDE/>
              <w:autoSpaceDN/>
              <w:bidi w:val="0"/>
              <w:adjustRightInd/>
              <w:snapToGrid/>
              <w:spacing w:after="0" w:line="360" w:lineRule="auto"/>
              <w:ind w:firstLine="480" w:firstLineChars="200"/>
              <w:textAlignment w:val="auto"/>
              <w:rPr>
                <w:color w:val="auto"/>
              </w:rPr>
            </w:pPr>
            <w:r>
              <w:rPr>
                <w:color w:val="auto"/>
                <w:sz w:val="24"/>
              </w:rPr>
              <w:t>项目经采用上述措施后，施工过程噪声将得到大大降低，且随着施工活动的结束，施工期噪声将消失，其带来的环境不利影响也将随之消除。</w:t>
            </w:r>
          </w:p>
          <w:p w14:paraId="103897E8">
            <w:pPr>
              <w:pStyle w:val="51"/>
              <w:keepNext w:val="0"/>
              <w:keepLines w:val="0"/>
              <w:pageBreakBefore w:val="0"/>
              <w:kinsoku/>
              <w:wordWrap/>
              <w:overflowPunct/>
              <w:autoSpaceDE/>
              <w:autoSpaceDN/>
              <w:bidi w:val="0"/>
              <w:adjustRightInd/>
              <w:snapToGrid/>
              <w:spacing w:after="0" w:line="360" w:lineRule="auto"/>
              <w:ind w:firstLine="482"/>
              <w:textAlignment w:val="auto"/>
              <w:rPr>
                <w:b/>
                <w:color w:val="auto"/>
                <w:lang w:eastAsia="zh-CN"/>
              </w:rPr>
            </w:pPr>
            <w:r>
              <w:rPr>
                <w:b/>
                <w:color w:val="auto"/>
                <w:lang w:eastAsia="zh-CN"/>
              </w:rPr>
              <w:t>5.1.4施工期固体废物处置措施</w:t>
            </w:r>
          </w:p>
          <w:p w14:paraId="3D08C28E">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1</w:t>
            </w:r>
            <w:r>
              <w:rPr>
                <w:rFonts w:ascii="Times New Roman" w:hAnsi="Times New Roman"/>
                <w:color w:val="auto"/>
                <w:sz w:val="24"/>
              </w:rPr>
              <w:t>）施工期间需要产生各种建筑垃圾分类后回收利用，对无利用价值的废物应送至当地主管部门</w:t>
            </w:r>
            <w:r>
              <w:rPr>
                <w:rFonts w:hint="eastAsia" w:ascii="Times New Roman" w:hAnsi="Times New Roman"/>
                <w:color w:val="auto"/>
                <w:sz w:val="24"/>
              </w:rPr>
              <w:t>指定的消纳场进行处置</w:t>
            </w:r>
            <w:r>
              <w:rPr>
                <w:rFonts w:ascii="Times New Roman" w:hAnsi="Times New Roman"/>
                <w:color w:val="auto"/>
                <w:sz w:val="24"/>
              </w:rPr>
              <w:t>。</w:t>
            </w:r>
          </w:p>
          <w:p w14:paraId="2BFE27DA">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2</w:t>
            </w:r>
            <w:r>
              <w:rPr>
                <w:rFonts w:ascii="Times New Roman" w:hAnsi="Times New Roman"/>
                <w:color w:val="auto"/>
                <w:sz w:val="24"/>
              </w:rPr>
              <w:t>）施工期产生的生活垃圾统一袋装后收集放置于垃圾桶中，交当地环卫部门统一清运处置。</w:t>
            </w:r>
          </w:p>
          <w:p w14:paraId="65991DA3">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olor w:val="auto"/>
                <w:sz w:val="24"/>
                <w:u w:val="single"/>
                <w:lang w:eastAsia="zh-CN"/>
              </w:rPr>
            </w:pPr>
            <w:r>
              <w:rPr>
                <w:rFonts w:ascii="Times New Roman" w:hAnsi="Times New Roman"/>
                <w:color w:val="auto"/>
                <w:sz w:val="24"/>
              </w:rPr>
              <w:t>（</w:t>
            </w:r>
            <w:r>
              <w:rPr>
                <w:rFonts w:hint="eastAsia"/>
                <w:color w:val="auto"/>
                <w:sz w:val="24"/>
                <w:lang w:val="en-US" w:eastAsia="zh-CN"/>
              </w:rPr>
              <w:t>3</w:t>
            </w:r>
            <w:r>
              <w:rPr>
                <w:rFonts w:ascii="Times New Roman" w:hAnsi="Times New Roman"/>
                <w:color w:val="auto"/>
                <w:sz w:val="24"/>
              </w:rPr>
              <w:t>）</w:t>
            </w:r>
            <w:r>
              <w:rPr>
                <w:rFonts w:hint="eastAsia"/>
                <w:color w:val="auto"/>
                <w:sz w:val="24"/>
                <w:lang w:val="en-US" w:eastAsia="zh-CN"/>
              </w:rPr>
              <w:t>拆除的</w:t>
            </w:r>
            <w:r>
              <w:rPr>
                <w:rFonts w:hint="eastAsia" w:ascii="Times New Roman" w:hAnsi="Times New Roman"/>
                <w:color w:val="auto"/>
                <w:sz w:val="24"/>
              </w:rPr>
              <w:t>废旧管廊支架和管道</w:t>
            </w:r>
            <w:r>
              <w:rPr>
                <w:rFonts w:hint="eastAsia"/>
                <w:color w:val="auto"/>
                <w:sz w:val="24"/>
                <w:lang w:val="en-US" w:eastAsia="zh-CN"/>
              </w:rPr>
              <w:t>由建设单位</w:t>
            </w:r>
            <w:r>
              <w:rPr>
                <w:rFonts w:hint="eastAsia"/>
                <w:color w:val="auto"/>
                <w:sz w:val="24"/>
              </w:rPr>
              <w:t>按照材质不同进行废旧物资回收利用</w:t>
            </w:r>
            <w:r>
              <w:rPr>
                <w:rFonts w:hint="eastAsia"/>
                <w:color w:val="auto"/>
                <w:sz w:val="24"/>
                <w:lang w:val="en-US" w:eastAsia="zh-CN"/>
              </w:rPr>
              <w:t>或外售</w:t>
            </w:r>
            <w:r>
              <w:rPr>
                <w:rFonts w:ascii="Times New Roman" w:hAnsi="Times New Roman"/>
                <w:color w:val="auto"/>
                <w:sz w:val="24"/>
              </w:rPr>
              <w:t>。</w:t>
            </w:r>
            <w:r>
              <w:rPr>
                <w:rFonts w:hint="eastAsia"/>
                <w:color w:val="auto"/>
                <w:sz w:val="24"/>
                <w:u w:val="single"/>
                <w:lang w:eastAsia="zh-CN"/>
              </w:rPr>
              <w:t>凝缩油（属烃类冷凝液）</w:t>
            </w:r>
            <w:r>
              <w:rPr>
                <w:rFonts w:hint="eastAsia"/>
                <w:color w:val="auto"/>
                <w:sz w:val="24"/>
                <w:u w:val="single"/>
              </w:rPr>
              <w:t>废旧管道属于危险废物</w:t>
            </w:r>
            <w:r>
              <w:rPr>
                <w:rFonts w:hint="eastAsia"/>
                <w:color w:val="auto"/>
                <w:sz w:val="24"/>
                <w:u w:val="single"/>
                <w:lang w:val="en-US" w:eastAsia="zh-CN"/>
              </w:rPr>
              <w:t>HW49（900-041-49），</w:t>
            </w:r>
            <w:r>
              <w:rPr>
                <w:rFonts w:hint="eastAsia"/>
                <w:color w:val="auto"/>
                <w:sz w:val="24"/>
                <w:szCs w:val="24"/>
                <w:u w:val="single"/>
              </w:rPr>
              <w:t>由泰兴石化回收并妥善保管，作为备用管材在厂内检修时进行利用</w:t>
            </w:r>
            <w:r>
              <w:rPr>
                <w:rFonts w:hint="eastAsia"/>
                <w:color w:val="auto"/>
                <w:sz w:val="24"/>
                <w:szCs w:val="24"/>
                <w:u w:val="single"/>
                <w:lang w:eastAsia="zh-CN"/>
              </w:rPr>
              <w:t>；其他</w:t>
            </w:r>
            <w:r>
              <w:rPr>
                <w:rFonts w:hint="eastAsia" w:ascii="Times New Roman" w:hAnsi="Times New Roman"/>
                <w:color w:val="auto"/>
                <w:sz w:val="24"/>
                <w:u w:val="single"/>
              </w:rPr>
              <w:t>废旧管廊支架和管道</w:t>
            </w:r>
            <w:r>
              <w:rPr>
                <w:rFonts w:hint="eastAsia"/>
                <w:color w:val="auto"/>
                <w:sz w:val="24"/>
                <w:szCs w:val="24"/>
                <w:u w:val="single"/>
                <w:lang w:eastAsia="zh-CN"/>
              </w:rPr>
              <w:t>一般固废按照材质不同进行废旧物资回收利用或外售。废油漆桶、废油漆刷，属于危险废物HW49</w:t>
            </w:r>
            <w:r>
              <w:rPr>
                <w:rFonts w:hint="eastAsia"/>
                <w:color w:val="auto"/>
                <w:sz w:val="24"/>
                <w:u w:val="single"/>
                <w:lang w:val="en-US" w:eastAsia="zh-CN"/>
              </w:rPr>
              <w:t>（900-041-49）</w:t>
            </w:r>
            <w:r>
              <w:rPr>
                <w:rFonts w:hint="eastAsia"/>
                <w:color w:val="auto"/>
                <w:sz w:val="24"/>
                <w:szCs w:val="24"/>
                <w:u w:val="single"/>
                <w:lang w:eastAsia="zh-CN"/>
              </w:rPr>
              <w:t>，</w:t>
            </w:r>
            <w:r>
              <w:rPr>
                <w:rFonts w:hint="eastAsia"/>
                <w:color w:val="auto"/>
                <w:sz w:val="24"/>
                <w:u w:val="single"/>
                <w:lang w:val="en-US" w:eastAsia="zh-CN"/>
              </w:rPr>
              <w:t>由施工单位收集后暂存泰兴石化的危废暂存间，再</w:t>
            </w:r>
            <w:r>
              <w:rPr>
                <w:rFonts w:hint="eastAsia"/>
                <w:color w:val="auto"/>
                <w:sz w:val="24"/>
                <w:u w:val="single"/>
              </w:rPr>
              <w:t>委托有资质单位处理</w:t>
            </w:r>
            <w:r>
              <w:rPr>
                <w:rFonts w:hint="eastAsia"/>
                <w:color w:val="auto"/>
                <w:sz w:val="24"/>
                <w:szCs w:val="24"/>
                <w:highlight w:val="none"/>
                <w:u w:val="single"/>
                <w:lang w:eastAsia="zh-CN"/>
              </w:rPr>
              <w:t>，</w:t>
            </w:r>
            <w:r>
              <w:rPr>
                <w:rFonts w:hint="eastAsia"/>
                <w:color w:val="auto"/>
                <w:sz w:val="24"/>
                <w:u w:val="single"/>
                <w:lang w:val="en-US" w:eastAsia="zh-CN"/>
              </w:rPr>
              <w:t>如果使用水性环保油漆，按</w:t>
            </w:r>
            <w:r>
              <w:rPr>
                <w:rFonts w:hint="eastAsia" w:ascii="Times New Roman" w:hAnsi="Times New Roman"/>
                <w:color w:val="auto"/>
                <w:sz w:val="24"/>
                <w:u w:val="single"/>
                <w:lang w:eastAsia="zh-CN"/>
              </w:rPr>
              <w:t>《国家危险废物名录</w:t>
            </w:r>
            <w:r>
              <w:rPr>
                <w:rFonts w:hint="eastAsia"/>
                <w:color w:val="auto"/>
                <w:sz w:val="24"/>
                <w:u w:val="single"/>
                <w:lang w:eastAsia="zh-CN"/>
              </w:rPr>
              <w:t>（</w:t>
            </w:r>
            <w:r>
              <w:rPr>
                <w:rFonts w:hint="eastAsia"/>
                <w:color w:val="auto"/>
                <w:sz w:val="24"/>
                <w:u w:val="single"/>
                <w:lang w:val="en-US" w:eastAsia="zh-CN"/>
              </w:rPr>
              <w:t>2025年版）</w:t>
            </w:r>
            <w:r>
              <w:rPr>
                <w:rFonts w:hint="eastAsia" w:ascii="Times New Roman" w:hAnsi="Times New Roman"/>
                <w:color w:val="auto"/>
                <w:sz w:val="24"/>
                <w:u w:val="single"/>
                <w:lang w:eastAsia="zh-CN"/>
              </w:rPr>
              <w:t>》中废物类别HW12染料、涂料废物，废物代码</w:t>
            </w:r>
            <w:r>
              <w:rPr>
                <w:rFonts w:hint="eastAsia"/>
                <w:color w:val="auto"/>
                <w:sz w:val="24"/>
                <w:u w:val="single"/>
                <w:lang w:val="en-US" w:eastAsia="zh-CN"/>
              </w:rPr>
              <w:t>900</w:t>
            </w:r>
            <w:r>
              <w:rPr>
                <w:rFonts w:hint="eastAsia" w:ascii="Times New Roman" w:hAnsi="Times New Roman"/>
                <w:color w:val="auto"/>
                <w:sz w:val="24"/>
                <w:u w:val="single"/>
                <w:lang w:eastAsia="zh-CN"/>
              </w:rPr>
              <w:t>-</w:t>
            </w:r>
            <w:r>
              <w:rPr>
                <w:rFonts w:hint="eastAsia"/>
                <w:color w:val="auto"/>
                <w:sz w:val="24"/>
                <w:u w:val="single"/>
                <w:lang w:val="en-US" w:eastAsia="zh-CN"/>
              </w:rPr>
              <w:t>251</w:t>
            </w:r>
            <w:r>
              <w:rPr>
                <w:rFonts w:hint="eastAsia" w:ascii="Times New Roman" w:hAnsi="Times New Roman"/>
                <w:color w:val="auto"/>
                <w:sz w:val="24"/>
                <w:u w:val="single"/>
                <w:lang w:eastAsia="zh-CN"/>
              </w:rPr>
              <w:t>-12 使用油漆（不包括水性漆）、有机溶剂进行阻挡层涂敷过程中产生的废物属危险废物，其中水性漆生产过程中产生的废物未列其中，其处理处置过程可以不按照危险废物管理，</w:t>
            </w:r>
            <w:r>
              <w:rPr>
                <w:rFonts w:hint="eastAsia"/>
                <w:color w:val="auto"/>
                <w:sz w:val="24"/>
                <w:u w:val="single"/>
                <w:lang w:val="en-US" w:eastAsia="zh-CN"/>
              </w:rPr>
              <w:t>则废油漆桶、废油漆刷为一般固废，</w:t>
            </w:r>
            <w:r>
              <w:rPr>
                <w:rFonts w:hint="eastAsia" w:ascii="Times New Roman" w:hAnsi="Times New Roman"/>
                <w:color w:val="auto"/>
                <w:sz w:val="24"/>
                <w:u w:val="single"/>
                <w:lang w:eastAsia="zh-CN"/>
              </w:rPr>
              <w:t>但环评要求暂存于危废暂存间，沾染水性漆的一般工业废物，应考虑以下方式处理：①与有处理资质的单位签订协议，送至有该II类工业废物处理资质的单位处理处置。②或仍按照危险废物HW49（900-041-49）交由有资质的单位处置。</w:t>
            </w:r>
          </w:p>
          <w:p w14:paraId="767C0D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ascii="Times New Roman" w:hAnsi="Times New Roman"/>
                <w:color w:val="auto"/>
                <w:sz w:val="24"/>
              </w:rPr>
              <w:t>（</w:t>
            </w:r>
            <w:r>
              <w:rPr>
                <w:rFonts w:hint="eastAsia"/>
                <w:color w:val="auto"/>
                <w:sz w:val="24"/>
                <w:lang w:val="en-US" w:eastAsia="zh-CN"/>
              </w:rPr>
              <w:t>4</w:t>
            </w:r>
            <w:r>
              <w:rPr>
                <w:rFonts w:ascii="Times New Roman" w:hAnsi="Times New Roman"/>
                <w:color w:val="auto"/>
                <w:sz w:val="24"/>
              </w:rPr>
              <w:t>）</w:t>
            </w:r>
            <w:r>
              <w:rPr>
                <w:rFonts w:hint="eastAsia" w:ascii="Times New Roman" w:hAnsi="Times New Roman" w:eastAsia="宋体" w:cs="Times New Roman"/>
                <w:color w:val="auto"/>
                <w:kern w:val="2"/>
                <w:sz w:val="24"/>
                <w:szCs w:val="24"/>
                <w:u w:val="single"/>
                <w:lang w:val="en-US" w:eastAsia="zh-CN" w:bidi="ar-SA"/>
              </w:rPr>
              <w:t>沉淀池的沉渣主要成分为砂砾和泥土，属于一般固废，定期清掏自然脱水干化后与建筑垃圾一并清运至当地主管部门指定的消纳场进行处置</w:t>
            </w:r>
            <w:r>
              <w:rPr>
                <w:rFonts w:hint="eastAsia" w:cs="Times New Roman"/>
                <w:color w:val="auto"/>
                <w:kern w:val="2"/>
                <w:sz w:val="24"/>
                <w:szCs w:val="24"/>
                <w:u w:val="single"/>
                <w:lang w:val="en-US" w:eastAsia="zh-CN" w:bidi="ar-SA"/>
              </w:rPr>
              <w:t>。</w:t>
            </w:r>
          </w:p>
          <w:p w14:paraId="32FEC6DC">
            <w:pPr>
              <w:pStyle w:val="51"/>
              <w:keepNext w:val="0"/>
              <w:keepLines w:val="0"/>
              <w:pageBreakBefore w:val="0"/>
              <w:kinsoku/>
              <w:wordWrap/>
              <w:overflowPunct/>
              <w:autoSpaceDE/>
              <w:autoSpaceDN/>
              <w:bidi w:val="0"/>
              <w:adjustRightInd/>
              <w:snapToGrid/>
              <w:spacing w:after="0" w:line="360" w:lineRule="auto"/>
              <w:ind w:firstLine="482"/>
              <w:textAlignment w:val="auto"/>
              <w:rPr>
                <w:b/>
                <w:color w:val="auto"/>
                <w:lang w:eastAsia="zh-CN"/>
              </w:rPr>
            </w:pPr>
            <w:r>
              <w:rPr>
                <w:b/>
                <w:color w:val="auto"/>
                <w:lang w:eastAsia="zh-CN"/>
              </w:rPr>
              <w:t>5.1.5施工期采取的生态保护措施</w:t>
            </w:r>
          </w:p>
          <w:p w14:paraId="1EC0CE40">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hint="eastAsia" w:ascii="Times New Roman" w:hAnsi="Times New Roman" w:eastAsia="宋体"/>
                <w:color w:val="auto"/>
                <w:sz w:val="24"/>
                <w:szCs w:val="24"/>
                <w:lang w:eastAsia="zh-CN"/>
              </w:rPr>
            </w:pPr>
            <w:r>
              <w:rPr>
                <w:rFonts w:ascii="Times New Roman" w:hAnsi="Times New Roman"/>
                <w:color w:val="auto"/>
                <w:sz w:val="24"/>
                <w:szCs w:val="24"/>
              </w:rPr>
              <w:t>（1）施工材料堆场设置防雨遮雨设施，同时尽量避免在暴雨季节进行开挖工作，防止发生水土流失</w:t>
            </w:r>
            <w:r>
              <w:rPr>
                <w:rFonts w:hint="eastAsia" w:ascii="Times New Roman" w:hAnsi="Times New Roman"/>
                <w:color w:val="auto"/>
                <w:sz w:val="24"/>
                <w:szCs w:val="24"/>
                <w:lang w:eastAsia="zh-CN"/>
              </w:rPr>
              <w:t>。</w:t>
            </w:r>
          </w:p>
          <w:p w14:paraId="712815A3">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hint="eastAsia" w:ascii="Times New Roman" w:hAnsi="Times New Roman" w:eastAsia="宋体"/>
                <w:color w:val="auto"/>
                <w:sz w:val="24"/>
                <w:szCs w:val="24"/>
                <w:lang w:eastAsia="zh-CN"/>
              </w:rPr>
            </w:pPr>
            <w:r>
              <w:rPr>
                <w:rFonts w:ascii="Times New Roman" w:hAnsi="Times New Roman"/>
                <w:color w:val="auto"/>
                <w:sz w:val="24"/>
                <w:szCs w:val="24"/>
              </w:rPr>
              <w:t>（2）在暴雨期，还应采取应急措施，尽量周边开挖截排水沟，防止雨水大面积冲刷和</w:t>
            </w:r>
            <w:r>
              <w:rPr>
                <w:rFonts w:hint="eastAsia" w:ascii="Times New Roman" w:hAnsi="Times New Roman"/>
                <w:color w:val="auto"/>
                <w:sz w:val="24"/>
                <w:szCs w:val="24"/>
                <w:lang w:eastAsia="zh-CN"/>
              </w:rPr>
              <w:t>坍塌。</w:t>
            </w:r>
          </w:p>
          <w:p w14:paraId="6ECB0C14">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hint="eastAsia" w:ascii="Times New Roman" w:hAnsi="Times New Roman" w:eastAsia="宋体"/>
                <w:color w:val="auto"/>
                <w:sz w:val="24"/>
                <w:szCs w:val="24"/>
                <w:lang w:eastAsia="zh-CN"/>
              </w:rPr>
            </w:pPr>
            <w:r>
              <w:rPr>
                <w:rFonts w:ascii="Times New Roman" w:hAnsi="Times New Roman"/>
                <w:color w:val="auto"/>
                <w:sz w:val="24"/>
                <w:szCs w:val="24"/>
              </w:rPr>
              <w:t>（</w:t>
            </w:r>
            <w:r>
              <w:rPr>
                <w:rFonts w:hint="eastAsia" w:ascii="Times New Roman" w:hAnsi="Times New Roman"/>
                <w:color w:val="auto"/>
                <w:sz w:val="24"/>
                <w:szCs w:val="24"/>
                <w:lang w:val="en-US" w:eastAsia="zh-CN"/>
              </w:rPr>
              <w:t>3</w:t>
            </w:r>
            <w:r>
              <w:rPr>
                <w:rFonts w:ascii="Times New Roman" w:hAnsi="Times New Roman"/>
                <w:color w:val="auto"/>
                <w:sz w:val="24"/>
                <w:szCs w:val="24"/>
              </w:rPr>
              <w:t>）施工用地合理规划，减少不必要的占地</w:t>
            </w:r>
            <w:r>
              <w:rPr>
                <w:rFonts w:hint="eastAsia" w:ascii="Times New Roman" w:hAnsi="Times New Roman"/>
                <w:color w:val="auto"/>
                <w:sz w:val="24"/>
                <w:szCs w:val="24"/>
                <w:lang w:eastAsia="zh-CN"/>
              </w:rPr>
              <w:t>。</w:t>
            </w:r>
          </w:p>
          <w:p w14:paraId="40B66D89">
            <w:pPr>
              <w:pStyle w:val="2"/>
              <w:keepNext w:val="0"/>
              <w:keepLines w:val="0"/>
              <w:pageBreakBefore w:val="0"/>
              <w:kinsoku/>
              <w:wordWrap/>
              <w:overflowPunct/>
              <w:autoSpaceDE/>
              <w:autoSpaceDN/>
              <w:bidi w:val="0"/>
              <w:adjustRightInd/>
              <w:snapToGrid/>
              <w:spacing w:after="0" w:line="360" w:lineRule="auto"/>
              <w:ind w:firstLine="504" w:firstLineChars="200"/>
              <w:textAlignment w:val="auto"/>
              <w:rPr>
                <w:rFonts w:ascii="Times New Roman" w:hAnsi="Times New Roman"/>
                <w:color w:val="auto"/>
                <w:sz w:val="24"/>
                <w:szCs w:val="24"/>
              </w:rPr>
            </w:pPr>
            <w:r>
              <w:rPr>
                <w:rFonts w:ascii="Times New Roman" w:hAnsi="Times New Roman"/>
                <w:color w:val="auto"/>
                <w:sz w:val="24"/>
                <w:szCs w:val="24"/>
              </w:rPr>
              <w:t>（</w:t>
            </w:r>
            <w:r>
              <w:rPr>
                <w:rFonts w:hint="eastAsia" w:ascii="Times New Roman" w:hAnsi="Times New Roman"/>
                <w:color w:val="auto"/>
                <w:sz w:val="24"/>
                <w:szCs w:val="24"/>
                <w:lang w:val="en-US" w:eastAsia="zh-CN"/>
              </w:rPr>
              <w:t>4</w:t>
            </w:r>
            <w:r>
              <w:rPr>
                <w:rFonts w:ascii="Times New Roman" w:hAnsi="Times New Roman"/>
                <w:color w:val="auto"/>
                <w:sz w:val="24"/>
                <w:szCs w:val="24"/>
              </w:rPr>
              <w:t>）切实做好各种防尘措施，</w:t>
            </w:r>
            <w:r>
              <w:rPr>
                <w:rFonts w:hint="eastAsia" w:ascii="Times New Roman" w:hAnsi="Times New Roman"/>
                <w:color w:val="auto"/>
                <w:sz w:val="24"/>
                <w:szCs w:val="24"/>
                <w:lang w:eastAsia="zh-CN"/>
              </w:rPr>
              <w:t>减少</w:t>
            </w:r>
            <w:r>
              <w:rPr>
                <w:rFonts w:ascii="Times New Roman" w:hAnsi="Times New Roman"/>
                <w:color w:val="auto"/>
                <w:sz w:val="24"/>
                <w:szCs w:val="24"/>
              </w:rPr>
              <w:t>落在</w:t>
            </w:r>
            <w:r>
              <w:rPr>
                <w:rFonts w:hint="eastAsia" w:ascii="Times New Roman" w:hAnsi="Times New Roman"/>
                <w:color w:val="auto"/>
                <w:sz w:val="24"/>
                <w:szCs w:val="24"/>
              </w:rPr>
              <w:t>周边</w:t>
            </w:r>
            <w:r>
              <w:rPr>
                <w:rFonts w:ascii="Times New Roman" w:hAnsi="Times New Roman"/>
                <w:color w:val="auto"/>
                <w:sz w:val="24"/>
                <w:szCs w:val="24"/>
              </w:rPr>
              <w:t>植物叶面的扬尘量，影响其光合作用。</w:t>
            </w:r>
          </w:p>
          <w:p w14:paraId="2C0311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eastAsia="宋体"/>
                <w:color w:val="auto"/>
                <w:sz w:val="24"/>
                <w:lang w:eastAsia="zh-CN"/>
              </w:rPr>
            </w:pPr>
            <w:r>
              <w:rPr>
                <w:color w:val="auto"/>
                <w:sz w:val="24"/>
              </w:rPr>
              <w:t>（</w:t>
            </w:r>
            <w:r>
              <w:rPr>
                <w:rFonts w:hint="eastAsia"/>
                <w:color w:val="auto"/>
                <w:sz w:val="24"/>
                <w:lang w:val="en-US" w:eastAsia="zh-CN"/>
              </w:rPr>
              <w:t>5</w:t>
            </w:r>
            <w:r>
              <w:rPr>
                <w:color w:val="auto"/>
                <w:sz w:val="24"/>
              </w:rPr>
              <w:t>）工程施工中要做好土石方平衡工作，开挖的土方应尽量作为施工场地平整回填之用。如果有弃土，</w:t>
            </w:r>
            <w:r>
              <w:rPr>
                <w:rFonts w:hint="eastAsia"/>
                <w:color w:val="auto"/>
                <w:sz w:val="24"/>
              </w:rPr>
              <w:t>应按要求运输至当地部门指定的消纳场</w:t>
            </w:r>
            <w:r>
              <w:rPr>
                <w:color w:val="auto"/>
                <w:sz w:val="24"/>
              </w:rPr>
              <w:t>。</w:t>
            </w:r>
            <w:r>
              <w:rPr>
                <w:rFonts w:hint="eastAsia"/>
                <w:color w:val="auto"/>
                <w:sz w:val="24"/>
              </w:rPr>
              <w:t>施工前应科学规划和统筹施工工序，缩短施工工期</w:t>
            </w:r>
            <w:r>
              <w:rPr>
                <w:color w:val="auto"/>
                <w:sz w:val="24"/>
              </w:rPr>
              <w:t>。开挖裸露面要有防治措施，尽量缩短暴露时间，减少水土流失</w:t>
            </w:r>
            <w:r>
              <w:rPr>
                <w:rFonts w:hint="eastAsia"/>
                <w:color w:val="auto"/>
                <w:sz w:val="24"/>
                <w:lang w:eastAsia="zh-CN"/>
              </w:rPr>
              <w:t>。</w:t>
            </w:r>
          </w:p>
          <w:p w14:paraId="0E2E504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Times New Roman" w:hAnsi="Times New Roman" w:eastAsia="宋体" w:cs="Times New Roman"/>
                <w:b/>
                <w:color w:val="auto"/>
                <w:kern w:val="0"/>
                <w:sz w:val="24"/>
                <w:szCs w:val="22"/>
                <w:u w:val="single"/>
                <w:lang w:val="en-US" w:eastAsia="zh-CN" w:bidi="en-US"/>
              </w:rPr>
            </w:pPr>
            <w:r>
              <w:rPr>
                <w:rFonts w:ascii="Times New Roman" w:hAnsi="Times New Roman" w:eastAsia="宋体" w:cs="Times New Roman"/>
                <w:b/>
                <w:color w:val="auto"/>
                <w:kern w:val="0"/>
                <w:sz w:val="24"/>
                <w:szCs w:val="22"/>
                <w:u w:val="single"/>
                <w:lang w:val="en-US" w:eastAsia="zh-CN" w:bidi="en-US"/>
              </w:rPr>
              <w:t>5.1.5施工期采取的</w:t>
            </w:r>
            <w:r>
              <w:rPr>
                <w:rFonts w:hint="eastAsia" w:ascii="Times New Roman" w:hAnsi="Times New Roman" w:eastAsia="宋体" w:cs="Times New Roman"/>
                <w:b/>
                <w:color w:val="auto"/>
                <w:kern w:val="0"/>
                <w:sz w:val="24"/>
                <w:szCs w:val="22"/>
                <w:u w:val="single"/>
                <w:lang w:val="en-US" w:eastAsia="zh-CN" w:bidi="en-US"/>
              </w:rPr>
              <w:t>环境风险</w:t>
            </w:r>
            <w:r>
              <w:rPr>
                <w:rFonts w:ascii="Times New Roman" w:hAnsi="Times New Roman" w:eastAsia="宋体" w:cs="Times New Roman"/>
                <w:b/>
                <w:color w:val="auto"/>
                <w:kern w:val="0"/>
                <w:sz w:val="24"/>
                <w:szCs w:val="22"/>
                <w:u w:val="single"/>
                <w:lang w:val="en-US" w:eastAsia="zh-CN" w:bidi="en-US"/>
              </w:rPr>
              <w:t>保护措施</w:t>
            </w:r>
          </w:p>
          <w:p w14:paraId="79D653A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color w:val="auto"/>
                <w:sz w:val="24"/>
                <w:u w:val="single"/>
                <w:lang w:val="en-US" w:eastAsia="zh-CN"/>
              </w:rPr>
            </w:pPr>
            <w:r>
              <w:rPr>
                <w:rFonts w:hint="eastAsia"/>
                <w:color w:val="auto"/>
                <w:sz w:val="24"/>
                <w:u w:val="single"/>
                <w:lang w:val="en-US" w:eastAsia="zh-CN"/>
              </w:rPr>
              <w:t>施工期环境保护措施如下：</w:t>
            </w:r>
          </w:p>
          <w:p w14:paraId="180180E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ascii="Times New Roman" w:hAnsi="Times New Roman"/>
                <w:color w:val="auto"/>
                <w:sz w:val="24"/>
                <w:szCs w:val="24"/>
                <w:u w:val="single"/>
              </w:rPr>
              <w:t>（1）</w:t>
            </w:r>
            <w:r>
              <w:rPr>
                <w:rFonts w:hint="eastAsia"/>
                <w:color w:val="auto"/>
                <w:sz w:val="24"/>
                <w:u w:val="single"/>
                <w:lang w:val="en-US" w:eastAsia="zh-CN"/>
              </w:rPr>
              <w:t>项目管线的设计、施工、监理以及与工程建设有关的重要设备、材料等的采购，应择优选择有资质的单位；</w:t>
            </w:r>
          </w:p>
          <w:p w14:paraId="3152C49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ascii="Times New Roman" w:hAnsi="Times New Roman"/>
                <w:color w:val="auto"/>
                <w:sz w:val="24"/>
                <w:szCs w:val="24"/>
                <w:u w:val="single"/>
              </w:rPr>
              <w:t>（2）</w:t>
            </w:r>
            <w:r>
              <w:rPr>
                <w:rFonts w:hint="eastAsia"/>
                <w:color w:val="auto"/>
                <w:sz w:val="24"/>
                <w:u w:val="single"/>
                <w:lang w:val="en-US" w:eastAsia="zh-CN"/>
              </w:rPr>
              <w:t>项目施工前应向当地的建设行政主管部门办理许可手续，如涉及压力管道，还应到当地的特种设备监管部门报备，并在管理单位进行备案后，方可施工；</w:t>
            </w:r>
          </w:p>
          <w:p w14:paraId="2DA4392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ascii="Times New Roman" w:hAnsi="Times New Roman"/>
                <w:color w:val="auto"/>
                <w:sz w:val="24"/>
                <w:szCs w:val="24"/>
                <w:u w:val="single"/>
              </w:rPr>
              <w:t>（</w:t>
            </w:r>
            <w:r>
              <w:rPr>
                <w:rFonts w:hint="eastAsia" w:ascii="Times New Roman" w:hAnsi="Times New Roman"/>
                <w:color w:val="auto"/>
                <w:sz w:val="24"/>
                <w:szCs w:val="24"/>
                <w:u w:val="single"/>
                <w:lang w:val="en-US" w:eastAsia="zh-CN"/>
              </w:rPr>
              <w:t>3</w:t>
            </w:r>
            <w:r>
              <w:rPr>
                <w:rFonts w:ascii="Times New Roman" w:hAnsi="Times New Roman"/>
                <w:color w:val="auto"/>
                <w:sz w:val="24"/>
                <w:szCs w:val="24"/>
                <w:u w:val="single"/>
              </w:rPr>
              <w:t>）</w:t>
            </w:r>
            <w:r>
              <w:rPr>
                <w:rFonts w:hint="eastAsia"/>
                <w:color w:val="auto"/>
                <w:sz w:val="24"/>
                <w:u w:val="single"/>
                <w:lang w:val="en-US" w:eastAsia="zh-CN"/>
              </w:rPr>
              <w:t>进入园区作业的施工单位，应经钦州石化产业园相关职能部门的安全审查并登记备案，施工人员应经过钦州石化产业园或管理单位的安全准入培训；</w:t>
            </w:r>
          </w:p>
          <w:p w14:paraId="35E4937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color w:val="auto"/>
                <w:sz w:val="24"/>
                <w:u w:val="single"/>
              </w:rPr>
              <w:t>（</w:t>
            </w:r>
            <w:r>
              <w:rPr>
                <w:rFonts w:hint="eastAsia"/>
                <w:color w:val="auto"/>
                <w:sz w:val="24"/>
                <w:u w:val="single"/>
                <w:lang w:val="en-US" w:eastAsia="zh-CN"/>
              </w:rPr>
              <w:t>4</w:t>
            </w:r>
            <w:r>
              <w:rPr>
                <w:color w:val="auto"/>
                <w:sz w:val="24"/>
                <w:u w:val="single"/>
              </w:rPr>
              <w:t>）</w:t>
            </w:r>
            <w:r>
              <w:rPr>
                <w:rFonts w:hint="eastAsia"/>
                <w:color w:val="auto"/>
                <w:sz w:val="24"/>
                <w:u w:val="single"/>
                <w:lang w:val="en-US" w:eastAsia="zh-CN"/>
              </w:rPr>
              <w:t>施工单位应对施工队伍人员进行安全教育培训，考核合格后上岗，特种作业人员应持证上岗，建设单位要负责监督管理。</w:t>
            </w:r>
          </w:p>
          <w:p w14:paraId="7A28913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color w:val="auto"/>
                <w:sz w:val="24"/>
                <w:u w:val="single"/>
              </w:rPr>
              <w:t>（</w:t>
            </w:r>
            <w:r>
              <w:rPr>
                <w:rFonts w:hint="eastAsia"/>
                <w:color w:val="auto"/>
                <w:sz w:val="24"/>
                <w:u w:val="single"/>
                <w:lang w:val="en-US" w:eastAsia="zh-CN"/>
              </w:rPr>
              <w:t>5</w:t>
            </w:r>
            <w:r>
              <w:rPr>
                <w:color w:val="auto"/>
                <w:sz w:val="24"/>
                <w:u w:val="single"/>
              </w:rPr>
              <w:t>）</w:t>
            </w:r>
            <w:r>
              <w:rPr>
                <w:rFonts w:hint="eastAsia"/>
                <w:color w:val="auto"/>
                <w:sz w:val="24"/>
                <w:u w:val="single"/>
                <w:lang w:val="en-US" w:eastAsia="zh-CN"/>
              </w:rPr>
              <w:t>施工单位应对动火、盲板抽堵、高处、吊装、临时用电、动土、断路和射线等作业活动实施作业证备案管理制度，由作业单位按照《危险化学品企业特殊作业安全规范》（GB30871-2022）的要求办理作业申请审批，并由相关责任人签名确认。建设单位要负责监督管理。</w:t>
            </w:r>
          </w:p>
          <w:p w14:paraId="5738E21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hint="eastAsia"/>
                <w:color w:val="auto"/>
                <w:sz w:val="24"/>
                <w:u w:val="single"/>
                <w:lang w:val="en-US" w:eastAsia="zh-CN"/>
              </w:rPr>
              <w:t>项目吊装、切割、焊接的施工区距离泰兴石化油罐区40m，距离永盛石化油罐区95m，罐区与明火点的安全距离要求不小于26m，达到安全施工距离要求。项目迁改管廊与北面的园区公共管廊距离2.8m，根据《</w:t>
            </w:r>
            <w:bookmarkStart w:id="51" w:name="OLE_LINK16"/>
            <w:r>
              <w:rPr>
                <w:rFonts w:hint="eastAsia"/>
                <w:color w:val="auto"/>
                <w:sz w:val="24"/>
                <w:u w:val="single"/>
                <w:lang w:val="en-US" w:eastAsia="zh-CN"/>
              </w:rPr>
              <w:t>石油化工建设工程施工安全技术标准》（GB/T50484-2019）</w:t>
            </w:r>
            <w:bookmarkEnd w:id="51"/>
            <w:r>
              <w:rPr>
                <w:rFonts w:hint="eastAsia"/>
                <w:color w:val="auto"/>
                <w:sz w:val="24"/>
                <w:u w:val="single"/>
                <w:lang w:val="en-US" w:eastAsia="zh-CN"/>
              </w:rPr>
              <w:t>，对于焊接和切割等动火作业点“周围10m内不得存放易燃易爆物品，否则采取隔离措施；施工区域与正在运行的生产装置距离不符合安全要求时应设置防火隔离或采取局部防火措施”，本项目在现有管道10m外设置集中切割区和焊接区，将钢架和管道在切割区和焊接区加工好后，再进行吊装。项目优先采用安全性更好的氩弧焊工艺，尽量避免在现有管道10m范围内进行焊接和切割等易产生火花的作业。因工艺需要不得不在临近现有管线进行切割、焊接作业时，应在附近管线铺设防火石棉布进行防火隔离。吊装作业时应采用木板或缓冲垫等作为物理屏障对现有管道进行保护，避免吊装物件对现有管道的碰撞。</w:t>
            </w:r>
          </w:p>
          <w:p w14:paraId="3F736CD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color w:val="auto"/>
                <w:sz w:val="24"/>
                <w:u w:val="single"/>
                <w:lang w:val="en-US" w:eastAsia="zh-CN"/>
              </w:rPr>
            </w:pPr>
            <w:r>
              <w:rPr>
                <w:rFonts w:hint="eastAsia"/>
                <w:color w:val="auto"/>
                <w:sz w:val="24"/>
                <w:u w:val="single"/>
                <w:lang w:val="en-US" w:eastAsia="zh-CN"/>
              </w:rPr>
              <w:t>根据《工业金属管道设计规范》(GB 50316-2000，2008年版)，管道设计应考虑防火、防爆要求，避免管道在运行过程中发生火灾、爆炸等事故。管道设计应选用符合要求的防火、防爆材料，确保管道在各种工况下的安全性能。管道设计应考虑防火、防爆设施。管道设计应考虑防雷、防静电要求，避免管道在运行过程中发生雷击、静电等事故。施工单位应具备相应的施工资质和施工经验，确保施工质量。项目的管道设计应遵循《工业金属管道设计规范》(GB 50316-2000，2008年版)的相关要求。</w:t>
            </w:r>
          </w:p>
          <w:p w14:paraId="2320748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hint="eastAsia"/>
                <w:color w:val="auto"/>
                <w:sz w:val="24"/>
                <w:u w:val="single"/>
                <w:lang w:val="en-US" w:eastAsia="zh-CN"/>
              </w:rPr>
              <w:t>《石油化工企业设计防火规范》（GB50160-2008）要求可燃气体、液化烃和可燃液体的金属管道除需要采用法兰连接外，均应采用焊接连接。沿厂外公路架空敷设的和跨越厂外公路的厂际管道的管廊柱子，距厂外公路路边的距离小于10m时，宜设防撞设施。本项目管道连接均采用焊接连接，符合该规范的要求。管道距离园区公路小于10m的位置应设置防撞设施。</w:t>
            </w:r>
          </w:p>
          <w:p w14:paraId="42EB7C7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color w:val="auto"/>
                <w:sz w:val="24"/>
                <w:u w:val="single"/>
                <w:lang w:val="en-US" w:eastAsia="zh-CN"/>
              </w:rPr>
            </w:pPr>
            <w:r>
              <w:rPr>
                <w:rFonts w:hint="default"/>
                <w:color w:val="auto"/>
                <w:sz w:val="24"/>
                <w:u w:val="single"/>
                <w:lang w:val="en-US" w:eastAsia="zh-CN"/>
              </w:rPr>
              <w:t>《化工工程管架、管墩设计规范》（GB51019-2014）</w:t>
            </w:r>
            <w:r>
              <w:rPr>
                <w:rFonts w:hint="eastAsia"/>
                <w:color w:val="auto"/>
                <w:sz w:val="24"/>
                <w:u w:val="single"/>
                <w:lang w:val="en-US" w:eastAsia="zh-CN"/>
              </w:rPr>
              <w:t>要求管架宜采用钢结构或钢筋混凝土结构，管墩宜采用钢筋混凝土结构或混凝土结构。管架地基应选择已稳定或经过预压的地基。管架基础埋深应根据工程地质和水文地质等条件综合确定，管架基础最小埋深不应小于700mm。管架基础宜采用扩展式钢筋混凝土基础或桩基础。管架基础的底面尺寸较小时，也可采用素混凝土刚性基础;对软弱地基或柱间净距较小时，可采用联合式钢筋混凝土基础。本项目管架采用钢结构，管墩采用钢筋混凝土结构，符合规范要求。项目管架的结构形式、荷载、基础等符合</w:t>
            </w:r>
            <w:r>
              <w:rPr>
                <w:rFonts w:hint="default"/>
                <w:color w:val="auto"/>
                <w:sz w:val="24"/>
                <w:u w:val="single"/>
                <w:lang w:val="en-US" w:eastAsia="zh-CN"/>
              </w:rPr>
              <w:t>《化工工程管架、管墩设计规范》（GB51019-2014）</w:t>
            </w:r>
            <w:r>
              <w:rPr>
                <w:rFonts w:hint="eastAsia"/>
                <w:color w:val="auto"/>
                <w:sz w:val="24"/>
                <w:u w:val="single"/>
                <w:lang w:val="en-US" w:eastAsia="zh-CN"/>
              </w:rPr>
              <w:t>相关要求。</w:t>
            </w:r>
          </w:p>
          <w:p w14:paraId="005DD4E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ascii="Times New Roman" w:hAnsi="Times New Roman"/>
                <w:color w:val="auto"/>
                <w:sz w:val="24"/>
                <w:szCs w:val="24"/>
                <w:u w:val="single"/>
              </w:rPr>
              <w:t>（</w:t>
            </w:r>
            <w:r>
              <w:rPr>
                <w:rFonts w:hint="eastAsia"/>
                <w:color w:val="auto"/>
                <w:sz w:val="24"/>
                <w:szCs w:val="24"/>
                <w:u w:val="single"/>
                <w:lang w:val="en-US" w:eastAsia="zh-CN"/>
              </w:rPr>
              <w:t>6</w:t>
            </w:r>
            <w:r>
              <w:rPr>
                <w:rFonts w:ascii="Times New Roman" w:hAnsi="Times New Roman"/>
                <w:color w:val="auto"/>
                <w:sz w:val="24"/>
                <w:szCs w:val="24"/>
                <w:u w:val="single"/>
              </w:rPr>
              <w:t>）</w:t>
            </w:r>
            <w:r>
              <w:rPr>
                <w:rFonts w:hint="eastAsia"/>
                <w:color w:val="auto"/>
                <w:sz w:val="24"/>
                <w:u w:val="single"/>
                <w:lang w:val="en-US" w:eastAsia="zh-CN"/>
              </w:rPr>
              <w:t>管道在安装前应对设备管口、预埋件、预留孔洞、钢结构等涉及管道安装的内容进行复核。</w:t>
            </w:r>
          </w:p>
          <w:p w14:paraId="4512496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ascii="Times New Roman" w:hAnsi="Times New Roman"/>
                <w:color w:val="auto"/>
                <w:sz w:val="24"/>
                <w:szCs w:val="24"/>
                <w:u w:val="single"/>
              </w:rPr>
              <w:t>（</w:t>
            </w:r>
            <w:r>
              <w:rPr>
                <w:rFonts w:hint="eastAsia"/>
                <w:color w:val="auto"/>
                <w:sz w:val="24"/>
                <w:szCs w:val="24"/>
                <w:u w:val="single"/>
                <w:lang w:val="en-US" w:eastAsia="zh-CN"/>
              </w:rPr>
              <w:t>7</w:t>
            </w:r>
            <w:r>
              <w:rPr>
                <w:rFonts w:ascii="Times New Roman" w:hAnsi="Times New Roman"/>
                <w:color w:val="auto"/>
                <w:sz w:val="24"/>
                <w:szCs w:val="24"/>
                <w:u w:val="single"/>
              </w:rPr>
              <w:t>）</w:t>
            </w:r>
            <w:r>
              <w:rPr>
                <w:rFonts w:hint="eastAsia"/>
                <w:color w:val="auto"/>
                <w:sz w:val="24"/>
                <w:u w:val="single"/>
                <w:lang w:val="en-US" w:eastAsia="zh-CN"/>
              </w:rPr>
              <w:t>管线施工前，应经钦州石化产业园相关职能部门的安全审查并登记备案，同时向现有管线单位联系，应确保现有管线不存在泄漏情形；</w:t>
            </w:r>
          </w:p>
          <w:p w14:paraId="7AFDA07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ascii="Times New Roman" w:hAnsi="Times New Roman"/>
                <w:color w:val="auto"/>
                <w:sz w:val="24"/>
                <w:szCs w:val="24"/>
                <w:u w:val="single"/>
              </w:rPr>
              <w:t>（</w:t>
            </w:r>
            <w:r>
              <w:rPr>
                <w:rFonts w:hint="eastAsia"/>
                <w:color w:val="auto"/>
                <w:sz w:val="24"/>
                <w:szCs w:val="24"/>
                <w:u w:val="single"/>
                <w:lang w:val="en-US" w:eastAsia="zh-CN"/>
              </w:rPr>
              <w:t>8</w:t>
            </w:r>
            <w:r>
              <w:rPr>
                <w:rFonts w:ascii="Times New Roman" w:hAnsi="Times New Roman"/>
                <w:color w:val="auto"/>
                <w:sz w:val="24"/>
                <w:szCs w:val="24"/>
                <w:u w:val="single"/>
              </w:rPr>
              <w:t>）</w:t>
            </w:r>
            <w:r>
              <w:rPr>
                <w:rFonts w:hint="eastAsia"/>
                <w:color w:val="auto"/>
                <w:sz w:val="24"/>
                <w:u w:val="single"/>
                <w:lang w:val="en-US" w:eastAsia="zh-CN"/>
              </w:rPr>
              <w:t>正式焊接前检查作业下方及周围是否有易燃易爆物，作业面是否有诸如油漆类防腐物质，如果有应事先做好妥善处理。焊接、动火作业必须根据要求办理作业票证。</w:t>
            </w:r>
          </w:p>
          <w:p w14:paraId="1C5BF07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ascii="Times New Roman" w:hAnsi="Times New Roman"/>
                <w:color w:val="auto"/>
                <w:sz w:val="24"/>
                <w:szCs w:val="24"/>
                <w:u w:val="single"/>
              </w:rPr>
              <w:t>（</w:t>
            </w:r>
            <w:r>
              <w:rPr>
                <w:rFonts w:hint="eastAsia"/>
                <w:color w:val="auto"/>
                <w:sz w:val="24"/>
                <w:szCs w:val="24"/>
                <w:u w:val="single"/>
                <w:lang w:val="en-US" w:eastAsia="zh-CN"/>
              </w:rPr>
              <w:t>9</w:t>
            </w:r>
            <w:r>
              <w:rPr>
                <w:rFonts w:ascii="Times New Roman" w:hAnsi="Times New Roman"/>
                <w:color w:val="auto"/>
                <w:sz w:val="24"/>
                <w:szCs w:val="24"/>
                <w:u w:val="single"/>
              </w:rPr>
              <w:t>）</w:t>
            </w:r>
            <w:r>
              <w:rPr>
                <w:rFonts w:hint="eastAsia"/>
                <w:color w:val="auto"/>
                <w:sz w:val="24"/>
                <w:u w:val="single"/>
                <w:lang w:val="en-US" w:eastAsia="zh-CN"/>
              </w:rPr>
              <w:t>在对临近现有管线进行切割、焊接作业时，应做好防火、防高温措施，对附近管线铺设防火石棉布，施工人员不可踩在管道上。应采用防火隔热物料对周边10m范围内传输易燃易爆物质的管道进行包裹，作业场所周围10m的范围内不得存在易燃易爆物品，禁止明火。并对焊接区域周边进行可燃气体检测，避免周边管道发生物质泄漏，焊接时造成火灾爆炸从而引起周边管道起火爆炸。</w:t>
            </w:r>
          </w:p>
          <w:p w14:paraId="0044EAF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hint="eastAsia"/>
                <w:color w:val="auto"/>
                <w:sz w:val="24"/>
                <w:u w:val="single"/>
                <w:lang w:val="en-US" w:eastAsia="zh-CN"/>
              </w:rPr>
              <w:t>安装管道前应仔细检查起吊用的器具，其绳索应有足够的强度，刹车装置应灵敏可靠，吊装用的绳索和工具也应牢固可靠，并应防止设备从空中坠落与周边管道发生碰撞。</w:t>
            </w:r>
          </w:p>
          <w:p w14:paraId="711095E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u w:val="single"/>
                <w:lang w:val="en-US" w:eastAsia="zh-CN"/>
              </w:rPr>
            </w:pPr>
            <w:r>
              <w:rPr>
                <w:rFonts w:hint="eastAsia"/>
                <w:color w:val="auto"/>
                <w:sz w:val="24"/>
                <w:u w:val="single"/>
                <w:lang w:val="en-US" w:eastAsia="zh-CN"/>
              </w:rPr>
              <w:t>安装管道时，避免管道吊装车辆与周边管道发生碰撞，造成周边管道发生泄漏发生火灾或爆炸。</w:t>
            </w:r>
          </w:p>
          <w:p w14:paraId="27E85AA3">
            <w:pPr>
              <w:pStyle w:val="10"/>
              <w:keepNext w:val="0"/>
              <w:keepLines w:val="0"/>
              <w:pageBreakBefore w:val="0"/>
              <w:widowControl w:val="0"/>
              <w:kinsoku/>
              <w:wordWrap/>
              <w:overflowPunct/>
              <w:topLinePunct w:val="0"/>
              <w:autoSpaceDE/>
              <w:autoSpaceDN/>
              <w:bidi w:val="0"/>
              <w:adjustRightInd/>
              <w:snapToGrid/>
              <w:spacing w:after="0" w:line="360" w:lineRule="auto"/>
              <w:textAlignment w:val="auto"/>
              <w:rPr>
                <w:color w:val="auto"/>
              </w:rPr>
            </w:pPr>
            <w:r>
              <w:rPr>
                <w:color w:val="auto"/>
                <w:sz w:val="24"/>
                <w:u w:val="single"/>
              </w:rPr>
              <w:t>（</w:t>
            </w:r>
            <w:r>
              <w:rPr>
                <w:rFonts w:hint="eastAsia"/>
                <w:color w:val="auto"/>
                <w:sz w:val="24"/>
                <w:u w:val="single"/>
                <w:lang w:val="en-US" w:eastAsia="zh-CN"/>
              </w:rPr>
              <w:t>10</w:t>
            </w:r>
            <w:r>
              <w:rPr>
                <w:color w:val="auto"/>
                <w:sz w:val="24"/>
                <w:u w:val="single"/>
              </w:rPr>
              <w:t>）</w:t>
            </w:r>
            <w:r>
              <w:rPr>
                <w:rFonts w:hint="eastAsia"/>
                <w:color w:val="auto"/>
                <w:sz w:val="24"/>
                <w:u w:val="single"/>
                <w:lang w:val="en-US" w:eastAsia="zh-CN"/>
              </w:rPr>
              <w:t>做好施工交通管控，在吊装、焊接、切割作业期间禁止所有与施工无关的车辆在施工区通行，提前将施工吊装、切割、焊接作业时间安排告知永盛石化、泰兴石化和天恒石化等周边企业，请求周边企业配合施工作业，</w:t>
            </w:r>
            <w:r>
              <w:rPr>
                <w:rFonts w:hint="eastAsia"/>
                <w:color w:val="auto"/>
                <w:u w:val="single"/>
                <w:lang w:val="en-US" w:eastAsia="zh-CN"/>
              </w:rPr>
              <w:t>在吊装、焊接或切割作业期间</w:t>
            </w:r>
            <w:r>
              <w:rPr>
                <w:rFonts w:hint="eastAsia"/>
                <w:color w:val="auto"/>
                <w:sz w:val="24"/>
                <w:u w:val="single"/>
                <w:lang w:val="en-US" w:eastAsia="zh-CN"/>
              </w:rPr>
              <w:t>停止运输易燃易爆物质经过施工区。</w:t>
            </w:r>
          </w:p>
          <w:p w14:paraId="00FF8E2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u w:val="single"/>
                <w:lang w:val="en-US" w:eastAsia="zh-CN" w:bidi="ar-SA"/>
              </w:rPr>
            </w:pPr>
            <w:r>
              <w:rPr>
                <w:color w:val="auto"/>
                <w:sz w:val="24"/>
                <w:u w:val="single"/>
              </w:rPr>
              <w:t>（</w:t>
            </w:r>
            <w:r>
              <w:rPr>
                <w:rFonts w:hint="eastAsia"/>
                <w:color w:val="auto"/>
                <w:sz w:val="24"/>
                <w:u w:val="single"/>
                <w:lang w:val="en-US" w:eastAsia="zh-CN"/>
              </w:rPr>
              <w:t>11</w:t>
            </w:r>
            <w:r>
              <w:rPr>
                <w:color w:val="auto"/>
                <w:sz w:val="24"/>
                <w:u w:val="single"/>
              </w:rPr>
              <w:t>）</w:t>
            </w:r>
            <w:r>
              <w:rPr>
                <w:rFonts w:hint="eastAsia"/>
                <w:color w:val="auto"/>
                <w:sz w:val="24"/>
                <w:u w:val="single"/>
                <w:lang w:val="en-US" w:eastAsia="zh-CN"/>
              </w:rPr>
              <w:t>施工单位</w:t>
            </w:r>
            <w:r>
              <w:rPr>
                <w:rFonts w:hint="eastAsia" w:ascii="Times New Roman" w:hAnsi="Times New Roman" w:eastAsia="宋体" w:cs="Times New Roman"/>
                <w:color w:val="auto"/>
                <w:kern w:val="2"/>
                <w:sz w:val="24"/>
                <w:szCs w:val="24"/>
                <w:u w:val="single"/>
                <w:lang w:val="en-US" w:eastAsia="zh-CN" w:bidi="ar-SA"/>
              </w:rPr>
              <w:t>做好施工工序规划，对焊接、切割等产生高温或火花的作业工序进行集中式突击作业，将项目施工对周边企业的影响降至最低。</w:t>
            </w:r>
          </w:p>
          <w:p w14:paraId="718DCDF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eastAsia="宋体"/>
                <w:color w:val="auto"/>
                <w:sz w:val="24"/>
                <w:lang w:val="en-US" w:eastAsia="zh-CN"/>
              </w:rPr>
            </w:pPr>
            <w:r>
              <w:rPr>
                <w:rFonts w:hint="eastAsia" w:ascii="Times New Roman" w:hAnsi="Times New Roman" w:cs="Times New Roman"/>
                <w:color w:val="auto"/>
                <w:sz w:val="24"/>
                <w:u w:val="single"/>
                <w:lang w:val="en-US" w:eastAsia="zh-CN"/>
              </w:rPr>
              <w:t>（</w:t>
            </w:r>
            <w:r>
              <w:rPr>
                <w:rFonts w:hint="eastAsia" w:cs="Times New Roman"/>
                <w:color w:val="auto"/>
                <w:sz w:val="24"/>
                <w:u w:val="single"/>
                <w:lang w:val="en-US" w:eastAsia="zh-CN"/>
              </w:rPr>
              <w:t>12</w:t>
            </w:r>
            <w:r>
              <w:rPr>
                <w:rFonts w:hint="eastAsia" w:ascii="Times New Roman" w:hAnsi="Times New Roman" w:cs="Times New Roman"/>
                <w:color w:val="auto"/>
                <w:sz w:val="24"/>
                <w:u w:val="single"/>
                <w:lang w:val="en-US" w:eastAsia="zh-CN"/>
              </w:rPr>
              <w:t>）施工单位应在现场准备一定的应急物资，如灭火器、灭火毯、吸油毡等。</w:t>
            </w:r>
          </w:p>
        </w:tc>
      </w:tr>
      <w:tr w14:paraId="4405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908" w:type="dxa"/>
            <w:vAlign w:val="center"/>
          </w:tcPr>
          <w:p w14:paraId="12360007">
            <w:pPr>
              <w:pStyle w:val="17"/>
              <w:adjustRightInd w:val="0"/>
              <w:snapToGrid w:val="0"/>
              <w:jc w:val="center"/>
              <w:rPr>
                <w:rFonts w:ascii="Times New Roman" w:hAnsi="Times New Roman"/>
                <w:b/>
                <w:color w:val="auto"/>
                <w:sz w:val="21"/>
                <w:szCs w:val="21"/>
              </w:rPr>
            </w:pPr>
            <w:r>
              <w:rPr>
                <w:rFonts w:ascii="Times New Roman" w:hAnsi="Times New Roman"/>
                <w:b/>
                <w:color w:val="auto"/>
                <w:szCs w:val="21"/>
              </w:rPr>
              <w:t>运营期生态环境保护措施</w:t>
            </w:r>
          </w:p>
        </w:tc>
        <w:tc>
          <w:tcPr>
            <w:tcW w:w="8378" w:type="dxa"/>
          </w:tcPr>
          <w:p w14:paraId="2DB125F7">
            <w:pPr>
              <w:pStyle w:val="51"/>
              <w:keepNext w:val="0"/>
              <w:keepLines w:val="0"/>
              <w:pageBreakBefore w:val="0"/>
              <w:kinsoku/>
              <w:wordWrap/>
              <w:overflowPunct/>
              <w:bidi w:val="0"/>
              <w:snapToGrid/>
              <w:spacing w:after="0"/>
              <w:ind w:firstLine="562"/>
              <w:textAlignment w:val="auto"/>
              <w:rPr>
                <w:b/>
                <w:color w:val="auto"/>
                <w:sz w:val="28"/>
                <w:lang w:eastAsia="zh-CN"/>
              </w:rPr>
            </w:pPr>
            <w:r>
              <w:rPr>
                <w:b/>
                <w:color w:val="auto"/>
                <w:sz w:val="28"/>
                <w:lang w:eastAsia="zh-CN"/>
              </w:rPr>
              <w:t>5.2运营期生态环境保护措施</w:t>
            </w:r>
          </w:p>
          <w:p w14:paraId="77DE1B00">
            <w:pPr>
              <w:pStyle w:val="51"/>
              <w:keepNext w:val="0"/>
              <w:keepLines w:val="0"/>
              <w:pageBreakBefore w:val="0"/>
              <w:kinsoku/>
              <w:wordWrap/>
              <w:overflowPunct/>
              <w:bidi w:val="0"/>
              <w:snapToGrid/>
              <w:spacing w:after="0"/>
              <w:ind w:firstLine="482"/>
              <w:textAlignment w:val="auto"/>
              <w:rPr>
                <w:b/>
                <w:color w:val="auto"/>
                <w:lang w:eastAsia="zh-CN"/>
              </w:rPr>
            </w:pPr>
            <w:r>
              <w:rPr>
                <w:b/>
                <w:color w:val="auto"/>
                <w:lang w:eastAsia="zh-CN"/>
              </w:rPr>
              <w:t>5.2.1大气污染防治措施</w:t>
            </w:r>
          </w:p>
          <w:p w14:paraId="4509E66D">
            <w:pPr>
              <w:pStyle w:val="2"/>
              <w:keepNext w:val="0"/>
              <w:keepLines w:val="0"/>
              <w:pageBreakBefore w:val="0"/>
              <w:kinsoku/>
              <w:wordWrap/>
              <w:overflowPunct/>
              <w:bidi w:val="0"/>
              <w:snapToGrid/>
              <w:spacing w:after="0"/>
              <w:textAlignment w:val="auto"/>
              <w:rPr>
                <w:rFonts w:ascii="Times New Roman" w:hAnsi="Times New Roman"/>
                <w:color w:val="auto"/>
                <w:sz w:val="24"/>
                <w:szCs w:val="28"/>
              </w:rPr>
            </w:pPr>
            <w:r>
              <w:rPr>
                <w:rFonts w:hint="eastAsia" w:ascii="Times New Roman" w:hAnsi="Times New Roman"/>
                <w:color w:val="auto"/>
                <w:sz w:val="24"/>
                <w:szCs w:val="28"/>
              </w:rPr>
              <w:t>本项目管道工程不涉及阀门、泵站等设施，迁建线段均为密闭输送管道，</w:t>
            </w:r>
            <w:r>
              <w:rPr>
                <w:rFonts w:hint="eastAsia" w:ascii="Times New Roman" w:hAnsi="Times New Roman"/>
                <w:color w:val="auto"/>
                <w:sz w:val="24"/>
                <w:szCs w:val="28"/>
                <w:lang w:val="en-US" w:eastAsia="zh-CN"/>
              </w:rPr>
              <w:t>运营期不产生废气</w:t>
            </w:r>
            <w:r>
              <w:rPr>
                <w:rFonts w:hint="eastAsia" w:ascii="Times New Roman" w:hAnsi="Times New Roman"/>
                <w:color w:val="auto"/>
                <w:sz w:val="24"/>
                <w:szCs w:val="28"/>
              </w:rPr>
              <w:t>。因此，迁建工程正常运营过程中，无废气污染物排放，不会对周围大气环境产生影响，不用采取特定的大气环境保护措施。</w:t>
            </w:r>
          </w:p>
          <w:p w14:paraId="4E23BFA9">
            <w:pPr>
              <w:pStyle w:val="51"/>
              <w:keepNext w:val="0"/>
              <w:keepLines w:val="0"/>
              <w:pageBreakBefore w:val="0"/>
              <w:kinsoku/>
              <w:wordWrap/>
              <w:overflowPunct/>
              <w:bidi w:val="0"/>
              <w:snapToGrid/>
              <w:spacing w:after="0"/>
              <w:ind w:firstLine="482"/>
              <w:textAlignment w:val="auto"/>
              <w:rPr>
                <w:b/>
                <w:color w:val="auto"/>
                <w:lang w:eastAsia="zh-CN"/>
              </w:rPr>
            </w:pPr>
            <w:r>
              <w:rPr>
                <w:b/>
                <w:color w:val="auto"/>
                <w:lang w:eastAsia="zh-CN"/>
              </w:rPr>
              <w:t>5.2.2水污染防治措施</w:t>
            </w:r>
          </w:p>
          <w:p w14:paraId="6849EEC8">
            <w:pPr>
              <w:pStyle w:val="2"/>
              <w:keepNext w:val="0"/>
              <w:keepLines w:val="0"/>
              <w:pageBreakBefore w:val="0"/>
              <w:kinsoku/>
              <w:wordWrap/>
              <w:overflowPunct/>
              <w:bidi w:val="0"/>
              <w:snapToGrid/>
              <w:spacing w:after="0"/>
              <w:textAlignment w:val="auto"/>
              <w:rPr>
                <w:rFonts w:ascii="Times New Roman" w:hAnsi="Times New Roman"/>
                <w:color w:val="auto"/>
                <w:sz w:val="24"/>
                <w:szCs w:val="28"/>
              </w:rPr>
            </w:pPr>
            <w:r>
              <w:rPr>
                <w:rFonts w:hint="eastAsia" w:ascii="Times New Roman" w:hAnsi="Times New Roman"/>
                <w:color w:val="auto"/>
                <w:sz w:val="24"/>
                <w:szCs w:val="28"/>
              </w:rPr>
              <w:t>本次迁建工程设置工作人员，依托泰兴石化现有人员，因此迁建工程正常运营过程中，无生活废水排放，不会对周边水体产生影响，不用采取特定的水环境保护措施</w:t>
            </w:r>
            <w:r>
              <w:rPr>
                <w:rFonts w:hint="eastAsia" w:ascii="Times New Roman" w:hAnsi="Times New Roman"/>
                <w:color w:val="auto"/>
                <w:sz w:val="24"/>
                <w:szCs w:val="28"/>
                <w:lang w:eastAsia="zh-CN"/>
              </w:rPr>
              <w:t>。</w:t>
            </w:r>
            <w:r>
              <w:rPr>
                <w:rFonts w:ascii="Times New Roman" w:hAnsi="Times New Roman"/>
                <w:color w:val="auto"/>
                <w:sz w:val="24"/>
                <w:szCs w:val="28"/>
              </w:rPr>
              <w:t xml:space="preserve"> </w:t>
            </w:r>
          </w:p>
          <w:p w14:paraId="3BE08BA9">
            <w:pPr>
              <w:pStyle w:val="51"/>
              <w:keepNext w:val="0"/>
              <w:keepLines w:val="0"/>
              <w:pageBreakBefore w:val="0"/>
              <w:kinsoku/>
              <w:wordWrap/>
              <w:overflowPunct/>
              <w:bidi w:val="0"/>
              <w:snapToGrid/>
              <w:spacing w:after="0"/>
              <w:ind w:firstLine="482"/>
              <w:textAlignment w:val="auto"/>
              <w:rPr>
                <w:b/>
                <w:color w:val="auto"/>
                <w:lang w:eastAsia="zh-CN"/>
              </w:rPr>
            </w:pPr>
            <w:r>
              <w:rPr>
                <w:b/>
                <w:color w:val="auto"/>
                <w:lang w:eastAsia="zh-CN"/>
              </w:rPr>
              <w:t>5.2.3噪声污染防治措施</w:t>
            </w:r>
          </w:p>
          <w:p w14:paraId="27F5CF40">
            <w:pPr>
              <w:pStyle w:val="2"/>
              <w:keepNext w:val="0"/>
              <w:keepLines w:val="0"/>
              <w:pageBreakBefore w:val="0"/>
              <w:kinsoku/>
              <w:wordWrap/>
              <w:overflowPunct/>
              <w:bidi w:val="0"/>
              <w:snapToGrid/>
              <w:spacing w:after="0"/>
              <w:textAlignment w:val="auto"/>
              <w:rPr>
                <w:rFonts w:ascii="Times New Roman" w:hAnsi="Times New Roman"/>
                <w:color w:val="auto"/>
                <w:sz w:val="24"/>
                <w:szCs w:val="28"/>
              </w:rPr>
            </w:pPr>
            <w:r>
              <w:rPr>
                <w:rFonts w:hint="eastAsia" w:ascii="Times New Roman" w:hAnsi="Times New Roman"/>
                <w:color w:val="auto"/>
                <w:sz w:val="24"/>
                <w:szCs w:val="28"/>
              </w:rPr>
              <w:t>迁建工程为管道输送项目，主要进行物料输送，正常运营条件下，不会产生噪声，不用采取特定的声环境保护措施。</w:t>
            </w:r>
          </w:p>
          <w:p w14:paraId="71E7521D">
            <w:pPr>
              <w:pStyle w:val="51"/>
              <w:keepNext w:val="0"/>
              <w:keepLines w:val="0"/>
              <w:pageBreakBefore w:val="0"/>
              <w:kinsoku/>
              <w:wordWrap/>
              <w:overflowPunct/>
              <w:bidi w:val="0"/>
              <w:snapToGrid/>
              <w:spacing w:after="0"/>
              <w:ind w:firstLine="482"/>
              <w:textAlignment w:val="auto"/>
              <w:rPr>
                <w:b/>
                <w:color w:val="auto"/>
                <w:lang w:eastAsia="zh-CN"/>
              </w:rPr>
            </w:pPr>
            <w:r>
              <w:rPr>
                <w:b/>
                <w:color w:val="auto"/>
                <w:lang w:eastAsia="zh-CN"/>
              </w:rPr>
              <w:t>5.2.4固体废物处置措施</w:t>
            </w:r>
          </w:p>
          <w:p w14:paraId="7CBB5A90">
            <w:pPr>
              <w:pStyle w:val="2"/>
              <w:keepNext w:val="0"/>
              <w:keepLines w:val="0"/>
              <w:pageBreakBefore w:val="0"/>
              <w:kinsoku/>
              <w:wordWrap/>
              <w:overflowPunct/>
              <w:bidi w:val="0"/>
              <w:snapToGrid/>
              <w:spacing w:after="0"/>
              <w:textAlignment w:val="auto"/>
              <w:rPr>
                <w:rFonts w:ascii="Times New Roman" w:hAnsi="Times New Roman"/>
                <w:color w:val="auto"/>
                <w:sz w:val="24"/>
                <w:szCs w:val="28"/>
                <w:highlight w:val="yellow"/>
              </w:rPr>
            </w:pPr>
            <w:r>
              <w:rPr>
                <w:rFonts w:hint="eastAsia" w:ascii="Times New Roman" w:hAnsi="Times New Roman"/>
                <w:color w:val="auto"/>
                <w:sz w:val="24"/>
                <w:szCs w:val="28"/>
              </w:rPr>
              <w:t>本次迁建工程不设置工作人员，依托泰兴石化现有人员，因此不新增生活垃圾的产生。迁建工程正常运行过程中无固体废物产生及排放</w:t>
            </w:r>
            <w:r>
              <w:rPr>
                <w:rFonts w:hint="eastAsia" w:ascii="Times New Roman" w:hAnsi="Times New Roman"/>
                <w:color w:val="auto"/>
                <w:sz w:val="24"/>
                <w:szCs w:val="28"/>
                <w:lang w:eastAsia="zh-CN"/>
              </w:rPr>
              <w:t>，</w:t>
            </w:r>
            <w:r>
              <w:rPr>
                <w:rFonts w:hint="eastAsia"/>
                <w:color w:val="auto"/>
                <w:sz w:val="24"/>
                <w:szCs w:val="22"/>
              </w:rPr>
              <w:t>定期清管</w:t>
            </w:r>
            <w:r>
              <w:rPr>
                <w:rFonts w:hint="eastAsia"/>
                <w:color w:val="auto"/>
                <w:sz w:val="24"/>
                <w:szCs w:val="22"/>
                <w:lang w:val="en-US" w:eastAsia="zh-CN"/>
              </w:rPr>
              <w:t>会</w:t>
            </w:r>
            <w:r>
              <w:rPr>
                <w:rFonts w:hint="eastAsia"/>
                <w:color w:val="auto"/>
                <w:sz w:val="24"/>
                <w:szCs w:val="22"/>
              </w:rPr>
              <w:t>产生管内污物和积液，</w:t>
            </w:r>
            <w:r>
              <w:rPr>
                <w:rFonts w:hint="eastAsia"/>
                <w:color w:val="auto"/>
                <w:sz w:val="24"/>
                <w:szCs w:val="22"/>
                <w:lang w:val="en-US" w:eastAsia="zh-CN"/>
              </w:rPr>
              <w:t>属于危险废物HW49（900-042-49），</w:t>
            </w:r>
            <w:r>
              <w:rPr>
                <w:rFonts w:hint="eastAsia"/>
                <w:color w:val="auto"/>
                <w:sz w:val="24"/>
                <w:szCs w:val="22"/>
              </w:rPr>
              <w:t>暂存于泰兴石化</w:t>
            </w:r>
            <w:r>
              <w:rPr>
                <w:rFonts w:hint="eastAsia"/>
                <w:color w:val="auto"/>
                <w:sz w:val="24"/>
                <w:szCs w:val="22"/>
                <w:lang w:val="en-US" w:eastAsia="zh-CN"/>
              </w:rPr>
              <w:t>危废暂存间</w:t>
            </w:r>
            <w:r>
              <w:rPr>
                <w:rFonts w:hint="eastAsia"/>
                <w:color w:val="auto"/>
                <w:sz w:val="24"/>
                <w:szCs w:val="22"/>
              </w:rPr>
              <w:t>，委托相关</w:t>
            </w:r>
            <w:r>
              <w:rPr>
                <w:rFonts w:hint="eastAsia"/>
                <w:color w:val="auto"/>
                <w:sz w:val="24"/>
                <w:szCs w:val="22"/>
                <w:lang w:val="en-US" w:eastAsia="zh-CN"/>
              </w:rPr>
              <w:t>有资质</w:t>
            </w:r>
            <w:r>
              <w:rPr>
                <w:rFonts w:hint="eastAsia"/>
                <w:color w:val="auto"/>
                <w:sz w:val="24"/>
                <w:szCs w:val="22"/>
              </w:rPr>
              <w:t>单位处理</w:t>
            </w:r>
            <w:r>
              <w:rPr>
                <w:rFonts w:hint="eastAsia" w:ascii="Times New Roman" w:hAnsi="Times New Roman"/>
                <w:color w:val="auto"/>
                <w:sz w:val="24"/>
                <w:szCs w:val="28"/>
                <w:highlight w:val="none"/>
              </w:rPr>
              <w:t>。</w:t>
            </w:r>
          </w:p>
          <w:p w14:paraId="5E115D17">
            <w:pPr>
              <w:pStyle w:val="51"/>
              <w:keepNext w:val="0"/>
              <w:keepLines w:val="0"/>
              <w:pageBreakBefore w:val="0"/>
              <w:kinsoku/>
              <w:wordWrap/>
              <w:overflowPunct/>
              <w:bidi w:val="0"/>
              <w:snapToGrid/>
              <w:spacing w:after="0"/>
              <w:ind w:firstLine="482"/>
              <w:textAlignment w:val="auto"/>
              <w:rPr>
                <w:b/>
                <w:color w:val="auto"/>
                <w:lang w:eastAsia="zh-CN"/>
              </w:rPr>
            </w:pPr>
            <w:r>
              <w:rPr>
                <w:b/>
                <w:color w:val="auto"/>
                <w:lang w:eastAsia="zh-CN"/>
              </w:rPr>
              <w:t>5.2.</w:t>
            </w:r>
            <w:r>
              <w:rPr>
                <w:rFonts w:hint="eastAsia"/>
                <w:b/>
                <w:color w:val="auto"/>
                <w:lang w:eastAsia="zh-CN"/>
              </w:rPr>
              <w:t>5</w:t>
            </w:r>
            <w:r>
              <w:rPr>
                <w:b/>
                <w:color w:val="auto"/>
                <w:lang w:eastAsia="zh-CN"/>
              </w:rPr>
              <w:t>环境风险防范措施</w:t>
            </w:r>
          </w:p>
          <w:p w14:paraId="10349FA7">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color w:val="auto"/>
                <w:sz w:val="24"/>
              </w:rPr>
            </w:pPr>
            <w:r>
              <w:rPr>
                <w:color w:val="auto"/>
                <w:sz w:val="24"/>
              </w:rPr>
              <w:t>（1）</w:t>
            </w:r>
            <w:r>
              <w:rPr>
                <w:rFonts w:hint="eastAsia"/>
                <w:bCs/>
                <w:color w:val="auto"/>
                <w:sz w:val="24"/>
              </w:rPr>
              <w:t>定期</w:t>
            </w:r>
            <w:bookmarkStart w:id="52" w:name="OLE_LINK43"/>
            <w:r>
              <w:rPr>
                <w:rFonts w:hint="eastAsia"/>
                <w:bCs/>
                <w:color w:val="auto"/>
                <w:sz w:val="24"/>
              </w:rPr>
              <w:t>清管，排除管内污物和积液</w:t>
            </w:r>
            <w:bookmarkEnd w:id="52"/>
            <w:r>
              <w:rPr>
                <w:rFonts w:hint="eastAsia"/>
                <w:bCs/>
                <w:color w:val="auto"/>
                <w:sz w:val="24"/>
              </w:rPr>
              <w:t>、防止腐蚀。</w:t>
            </w:r>
          </w:p>
          <w:p w14:paraId="35B05095">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color w:val="auto"/>
                <w:sz w:val="24"/>
              </w:rPr>
            </w:pPr>
            <w:r>
              <w:rPr>
                <w:color w:val="auto"/>
                <w:sz w:val="24"/>
              </w:rPr>
              <w:t>（2）</w:t>
            </w:r>
            <w:r>
              <w:rPr>
                <w:rFonts w:hint="eastAsia"/>
                <w:color w:val="auto"/>
                <w:sz w:val="24"/>
              </w:rPr>
              <w:t>对各类标志标识加强维护管理，包括警示桩、警示牌等。</w:t>
            </w:r>
          </w:p>
          <w:p w14:paraId="702DBE8A">
            <w:pPr>
              <w:pStyle w:val="10"/>
              <w:keepNext w:val="0"/>
              <w:keepLines w:val="0"/>
              <w:pageBreakBefore w:val="0"/>
              <w:kinsoku/>
              <w:wordWrap/>
              <w:overflowPunct/>
              <w:bidi w:val="0"/>
              <w:snapToGrid/>
              <w:spacing w:after="0" w:line="360" w:lineRule="auto"/>
              <w:ind w:firstLine="480" w:firstLineChars="200"/>
              <w:textAlignment w:val="auto"/>
              <w:rPr>
                <w:color w:val="auto"/>
              </w:rPr>
            </w:pPr>
            <w:r>
              <w:rPr>
                <w:rFonts w:hint="eastAsia"/>
                <w:color w:val="auto"/>
              </w:rPr>
              <w:t>（3）在管道运行后期，应加强对管道完整性评价和检测，及时修复或更换腐蚀严重的管段。</w:t>
            </w:r>
          </w:p>
          <w:p w14:paraId="59BA948E">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rFonts w:hint="eastAsia"/>
                <w:bCs/>
                <w:color w:val="auto"/>
                <w:sz w:val="24"/>
                <w:lang w:eastAsia="zh-CN"/>
              </w:rPr>
            </w:pPr>
            <w:r>
              <w:rPr>
                <w:rFonts w:hint="eastAsia"/>
                <w:bCs/>
                <w:color w:val="auto"/>
                <w:sz w:val="24"/>
              </w:rPr>
              <w:t>（4）企业应当建立、健全管道巡护制度，配备专门人员对管道线路进行日常巡护，管道巡护人员发现危害管道安全的情形或者隐患，应当按照规定及时处理和报告；定期对管道进行检修、维修，确保其处于良好状态；在管道线路中心线两侧各5m地域范围内，禁止进行挖掘施工、修建</w:t>
            </w:r>
            <w:r>
              <w:rPr>
                <w:rFonts w:hint="eastAsia"/>
                <w:bCs/>
                <w:color w:val="auto"/>
                <w:sz w:val="24"/>
                <w:lang w:eastAsia="zh-CN"/>
              </w:rPr>
              <w:t>其他</w:t>
            </w:r>
            <w:r>
              <w:rPr>
                <w:rFonts w:hint="eastAsia"/>
                <w:bCs/>
                <w:color w:val="auto"/>
                <w:sz w:val="24"/>
              </w:rPr>
              <w:t>建构筑物等</w:t>
            </w:r>
            <w:r>
              <w:rPr>
                <w:rFonts w:hint="eastAsia"/>
                <w:bCs/>
                <w:color w:val="auto"/>
                <w:sz w:val="24"/>
                <w:lang w:eastAsia="zh-CN"/>
              </w:rPr>
              <w:t>。</w:t>
            </w:r>
          </w:p>
          <w:p w14:paraId="5E7D0473">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（5）泰兴石化在火炬区、厂区围墙设置有视频监控系统，可及时发现输送管道发生泄漏。泰兴石化控制中心通过监控管段的压力变化，可及时发现管段的泄漏情况。泰兴石化作为管道</w:t>
            </w:r>
            <w:r>
              <w:rPr>
                <w:rFonts w:hint="eastAsia" w:cs="Times New Roman"/>
                <w:bCs/>
                <w:color w:val="auto"/>
                <w:sz w:val="24"/>
                <w:lang w:val="en-US" w:eastAsia="zh-CN"/>
              </w:rPr>
              <w:t>运营</w:t>
            </w:r>
            <w:r>
              <w:rPr>
                <w:rFonts w:hint="eastAsia" w:ascii="Times New Roman" w:hAnsi="Times New Roman" w:eastAsia="宋体" w:cs="Times New Roman"/>
                <w:bCs/>
                <w:color w:val="auto"/>
                <w:sz w:val="24"/>
                <w:lang w:val="en-US" w:eastAsia="zh-CN"/>
              </w:rPr>
              <w:t>责任主体，其企业环境风险应急预案应将本段管道的相关环境风险内容纳入其中，在管道投运后应及时对现有应急预案进行修编和完善，并按要求进行备案。</w:t>
            </w:r>
          </w:p>
          <w:p w14:paraId="2131AF8E">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rFonts w:hint="default" w:eastAsia="宋体"/>
                <w:color w:val="auto"/>
                <w:lang w:val="en-US" w:eastAsia="zh-CN"/>
              </w:rPr>
            </w:pPr>
            <w:r>
              <w:rPr>
                <w:rFonts w:hint="eastAsia"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6</w:t>
            </w:r>
            <w:r>
              <w:rPr>
                <w:rFonts w:hint="eastAsia"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项目与</w:t>
            </w:r>
            <w:bookmarkStart w:id="53" w:name="OLE_LINK44"/>
            <w:r>
              <w:rPr>
                <w:rFonts w:hint="eastAsia" w:ascii="Times New Roman" w:hAnsi="Times New Roman" w:eastAsia="宋体" w:cs="Times New Roman"/>
                <w:bCs/>
                <w:color w:val="auto"/>
                <w:sz w:val="24"/>
                <w:lang w:val="en-US" w:eastAsia="zh-CN"/>
              </w:rPr>
              <w:t>永盛石化、天恒石化</w:t>
            </w:r>
            <w:bookmarkEnd w:id="53"/>
            <w:r>
              <w:rPr>
                <w:rFonts w:hint="eastAsia" w:ascii="Times New Roman" w:hAnsi="Times New Roman" w:eastAsia="宋体" w:cs="Times New Roman"/>
                <w:bCs/>
                <w:color w:val="auto"/>
                <w:sz w:val="24"/>
                <w:lang w:val="en-US" w:eastAsia="zh-CN"/>
              </w:rPr>
              <w:t>建立应急救援联动，永盛石化、天恒石化有完善的环境应急风险防控体系，厂区围墙有视频监控系统，配备有消防栓、高压水炮、灭火器、消防</w:t>
            </w:r>
            <w:r>
              <w:rPr>
                <w:rFonts w:hint="eastAsia" w:cs="Times New Roman"/>
                <w:bCs/>
                <w:color w:val="auto"/>
                <w:sz w:val="24"/>
                <w:lang w:val="en-US" w:eastAsia="zh-CN"/>
              </w:rPr>
              <w:t>沙袋</w:t>
            </w:r>
            <w:r>
              <w:rPr>
                <w:rFonts w:hint="eastAsia" w:ascii="Times New Roman" w:hAnsi="Times New Roman" w:eastAsia="宋体" w:cs="Times New Roman"/>
                <w:bCs/>
                <w:color w:val="auto"/>
                <w:sz w:val="24"/>
                <w:lang w:val="en-US" w:eastAsia="zh-CN"/>
              </w:rPr>
              <w:t>等完善的消防设施应急</w:t>
            </w:r>
            <w:r>
              <w:rPr>
                <w:rFonts w:hint="eastAsia" w:cs="Times New Roman"/>
                <w:bCs/>
                <w:color w:val="auto"/>
                <w:sz w:val="24"/>
                <w:lang w:val="en-US" w:eastAsia="zh-CN"/>
              </w:rPr>
              <w:t>物资</w:t>
            </w:r>
            <w:r>
              <w:rPr>
                <w:rFonts w:hint="eastAsia" w:ascii="Times New Roman" w:hAnsi="Times New Roman" w:eastAsia="宋体" w:cs="Times New Roman"/>
                <w:bCs/>
                <w:color w:val="auto"/>
                <w:sz w:val="24"/>
                <w:lang w:val="en-US" w:eastAsia="zh-CN"/>
              </w:rPr>
              <w:t>，项目运营期可依托永盛石化、天恒石化的环境风险防控和</w:t>
            </w:r>
            <w:r>
              <w:rPr>
                <w:rFonts w:hint="eastAsia" w:cs="Times New Roman"/>
                <w:bCs/>
                <w:color w:val="auto"/>
                <w:sz w:val="24"/>
                <w:lang w:val="en-US" w:eastAsia="zh-CN"/>
              </w:rPr>
              <w:t>应急物资</w:t>
            </w:r>
            <w:r>
              <w:rPr>
                <w:rFonts w:hint="eastAsia" w:ascii="Times New Roman" w:hAnsi="Times New Roman" w:eastAsia="宋体" w:cs="Times New Roman"/>
                <w:bCs/>
                <w:color w:val="auto"/>
                <w:sz w:val="24"/>
                <w:lang w:val="en-US" w:eastAsia="zh-CN"/>
              </w:rPr>
              <w:t>，降低运营期环境风险。</w:t>
            </w:r>
          </w:p>
          <w:p w14:paraId="7927483F">
            <w:pPr>
              <w:keepNext w:val="0"/>
              <w:keepLines w:val="0"/>
              <w:pageBreakBefore w:val="0"/>
              <w:kinsoku/>
              <w:wordWrap/>
              <w:overflowPunct/>
              <w:autoSpaceDE w:val="0"/>
              <w:autoSpaceDN w:val="0"/>
              <w:bidi w:val="0"/>
              <w:adjustRightInd w:val="0"/>
              <w:snapToGrid/>
              <w:spacing w:after="0" w:line="360" w:lineRule="auto"/>
              <w:ind w:firstLine="480" w:firstLineChars="200"/>
              <w:jc w:val="left"/>
              <w:textAlignment w:val="auto"/>
              <w:rPr>
                <w:rFonts w:hint="default"/>
                <w:b/>
                <w:color w:val="auto"/>
                <w:sz w:val="24"/>
                <w:lang w:val="en-US"/>
              </w:rPr>
            </w:pPr>
            <w:r>
              <w:rPr>
                <w:rFonts w:hint="eastAsia" w:cs="Times New Roman"/>
                <w:bCs/>
                <w:color w:val="auto"/>
                <w:sz w:val="24"/>
                <w:lang w:val="en-US" w:eastAsia="zh-CN"/>
              </w:rPr>
              <w:t>（7）钦州石化产业园应成立应急反应中心，将环保、安全、消防、医疗救助、防台防汛等各方面资源进行整合，实施统一调配。工业区的应急响应中心实行联合办公，公共安全、消防、医疗救助、环境保护、市政抢险等单位均配备响应的人员集中在应急中心办公</w:t>
            </w:r>
            <w:r>
              <w:rPr>
                <w:rFonts w:hint="eastAsia" w:ascii="Times New Roman" w:hAnsi="Times New Roman" w:eastAsia="宋体" w:cs="Times New Roman"/>
                <w:bCs/>
                <w:color w:val="auto"/>
                <w:sz w:val="24"/>
                <w:lang w:val="en-US" w:eastAsia="zh-CN"/>
              </w:rPr>
              <w:t>。石化产业园按照《化工公共管廊管理规程》（GB/T36762-2018）相关要求，在管廊区域安装高清晰视频监控系统，实现公共管廊区域24小时，360度无死角监控</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在重点区域设置气体或红外探测系统，及时掌握有毒有害气体跑冒滴漏情况</w:t>
            </w:r>
            <w:r>
              <w:rPr>
                <w:rFonts w:hint="eastAsia" w:cs="Times New Roman"/>
                <w:bCs/>
                <w:color w:val="auto"/>
                <w:sz w:val="24"/>
                <w:lang w:val="en-US" w:eastAsia="zh-CN"/>
              </w:rPr>
              <w:t>。项目运营期可依托园区的应急力量进行救援和监控设备进行监控。</w:t>
            </w:r>
          </w:p>
        </w:tc>
      </w:tr>
      <w:tr w14:paraId="6F26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908" w:type="dxa"/>
            <w:vAlign w:val="center"/>
          </w:tcPr>
          <w:p w14:paraId="6F1705C2">
            <w:pPr>
              <w:pStyle w:val="17"/>
              <w:adjustRightInd w:val="0"/>
              <w:snapToGrid w:val="0"/>
              <w:jc w:val="center"/>
              <w:rPr>
                <w:rFonts w:ascii="Times New Roman" w:hAnsi="Times New Roman"/>
                <w:b/>
                <w:color w:val="auto"/>
                <w:sz w:val="21"/>
                <w:szCs w:val="21"/>
              </w:rPr>
            </w:pPr>
            <w:r>
              <w:rPr>
                <w:rFonts w:ascii="Times New Roman" w:hAnsi="Times New Roman"/>
                <w:b/>
                <w:color w:val="auto"/>
                <w:szCs w:val="21"/>
              </w:rPr>
              <w:t>其他</w:t>
            </w:r>
          </w:p>
        </w:tc>
        <w:tc>
          <w:tcPr>
            <w:tcW w:w="8378" w:type="dxa"/>
          </w:tcPr>
          <w:p w14:paraId="1B2C451A">
            <w:pPr>
              <w:pStyle w:val="51"/>
              <w:keepNext w:val="0"/>
              <w:keepLines w:val="0"/>
              <w:pageBreakBefore w:val="0"/>
              <w:widowControl/>
              <w:kinsoku/>
              <w:wordWrap/>
              <w:overflowPunct/>
              <w:autoSpaceDE/>
              <w:autoSpaceDN/>
              <w:bidi w:val="0"/>
              <w:adjustRightInd/>
              <w:snapToGrid/>
              <w:spacing w:after="0"/>
              <w:ind w:firstLine="562"/>
              <w:textAlignment w:val="auto"/>
              <w:rPr>
                <w:b/>
                <w:color w:val="auto"/>
                <w:sz w:val="28"/>
                <w:lang w:eastAsia="zh-CN"/>
              </w:rPr>
            </w:pPr>
            <w:r>
              <w:rPr>
                <w:b/>
                <w:color w:val="auto"/>
                <w:sz w:val="28"/>
                <w:lang w:eastAsia="zh-CN"/>
              </w:rPr>
              <w:t>5.3环境监测计划与管理</w:t>
            </w:r>
          </w:p>
          <w:p w14:paraId="1E3BD3EE">
            <w:pPr>
              <w:pStyle w:val="51"/>
              <w:keepNext w:val="0"/>
              <w:keepLines w:val="0"/>
              <w:pageBreakBefore w:val="0"/>
              <w:widowControl/>
              <w:kinsoku/>
              <w:wordWrap/>
              <w:overflowPunct/>
              <w:autoSpaceDE/>
              <w:autoSpaceDN/>
              <w:bidi w:val="0"/>
              <w:adjustRightInd/>
              <w:snapToGrid/>
              <w:spacing w:after="0"/>
              <w:ind w:firstLine="482"/>
              <w:textAlignment w:val="auto"/>
              <w:rPr>
                <w:b/>
                <w:color w:val="auto"/>
                <w:lang w:eastAsia="zh-CN"/>
              </w:rPr>
            </w:pPr>
            <w:r>
              <w:rPr>
                <w:b/>
                <w:color w:val="auto"/>
                <w:lang w:eastAsia="zh-CN"/>
              </w:rPr>
              <w:t>5.3.1环境管理任务</w:t>
            </w:r>
          </w:p>
          <w:p w14:paraId="688ED4A9">
            <w:pPr>
              <w:pStyle w:val="2"/>
              <w:keepNext w:val="0"/>
              <w:keepLines w:val="0"/>
              <w:pageBreakBefore w:val="0"/>
              <w:widowControl/>
              <w:kinsoku/>
              <w:wordWrap/>
              <w:overflowPunct/>
              <w:autoSpaceDE/>
              <w:autoSpaceDN/>
              <w:bidi w:val="0"/>
              <w:adjustRightInd/>
              <w:snapToGrid/>
              <w:spacing w:after="0"/>
              <w:textAlignment w:val="auto"/>
              <w:rPr>
                <w:rFonts w:ascii="Times New Roman" w:hAnsi="Times New Roman"/>
                <w:color w:val="auto"/>
                <w:sz w:val="24"/>
                <w:szCs w:val="28"/>
              </w:rPr>
            </w:pPr>
            <w:r>
              <w:rPr>
                <w:rFonts w:hint="eastAsia" w:ascii="Times New Roman" w:hAnsi="Times New Roman"/>
                <w:color w:val="auto"/>
                <w:sz w:val="24"/>
                <w:szCs w:val="28"/>
              </w:rPr>
              <w:t>本项目不增设环境管理机构，工程运行后纳入泰兴石化公司内有环境管理体系，负责运行期环境保护管理、环境监测和环境风险事故防范等</w:t>
            </w:r>
            <w:r>
              <w:rPr>
                <w:rFonts w:ascii="Times New Roman" w:hAnsi="Times New Roman"/>
                <w:color w:val="auto"/>
                <w:sz w:val="24"/>
                <w:szCs w:val="28"/>
              </w:rPr>
              <w:t>。</w:t>
            </w:r>
          </w:p>
          <w:p w14:paraId="483070F5">
            <w:pPr>
              <w:pStyle w:val="51"/>
              <w:keepNext w:val="0"/>
              <w:keepLines w:val="0"/>
              <w:pageBreakBefore w:val="0"/>
              <w:widowControl/>
              <w:kinsoku/>
              <w:wordWrap/>
              <w:overflowPunct/>
              <w:autoSpaceDE/>
              <w:autoSpaceDN/>
              <w:bidi w:val="0"/>
              <w:adjustRightInd/>
              <w:snapToGrid/>
              <w:spacing w:after="0"/>
              <w:ind w:firstLine="482"/>
              <w:textAlignment w:val="auto"/>
              <w:rPr>
                <w:b/>
                <w:color w:val="auto"/>
                <w:lang w:eastAsia="zh-CN"/>
              </w:rPr>
            </w:pPr>
            <w:r>
              <w:rPr>
                <w:b/>
                <w:color w:val="auto"/>
                <w:lang w:eastAsia="zh-CN"/>
              </w:rPr>
              <w:t>5.3.1环境保护管理机构职责</w:t>
            </w:r>
          </w:p>
          <w:p w14:paraId="490B3677">
            <w:pPr>
              <w:pStyle w:val="2"/>
              <w:keepNext w:val="0"/>
              <w:keepLines w:val="0"/>
              <w:pageBreakBefore w:val="0"/>
              <w:widowControl/>
              <w:kinsoku/>
              <w:wordWrap/>
              <w:overflowPunct/>
              <w:autoSpaceDE/>
              <w:autoSpaceDN/>
              <w:bidi w:val="0"/>
              <w:adjustRightInd/>
              <w:snapToGrid/>
              <w:spacing w:after="0"/>
              <w:textAlignment w:val="auto"/>
              <w:rPr>
                <w:rFonts w:ascii="Times New Roman" w:hAnsi="Times New Roman"/>
                <w:color w:val="auto"/>
                <w:sz w:val="24"/>
                <w:szCs w:val="28"/>
              </w:rPr>
            </w:pPr>
            <w:r>
              <w:rPr>
                <w:rFonts w:hint="eastAsia" w:hAnsi="宋体" w:cs="宋体"/>
                <w:color w:val="auto"/>
                <w:sz w:val="24"/>
                <w:szCs w:val="28"/>
              </w:rPr>
              <w:t>①</w:t>
            </w:r>
            <w:r>
              <w:rPr>
                <w:rFonts w:ascii="Times New Roman" w:hAnsi="Times New Roman"/>
                <w:color w:val="auto"/>
                <w:sz w:val="24"/>
                <w:szCs w:val="28"/>
              </w:rPr>
              <w:t>根据国家环境保护有关政策、法规的要求，建立健全本企业环保工作规章制度。</w:t>
            </w:r>
          </w:p>
          <w:p w14:paraId="2F95F8BD">
            <w:pPr>
              <w:pStyle w:val="2"/>
              <w:keepNext w:val="0"/>
              <w:keepLines w:val="0"/>
              <w:pageBreakBefore w:val="0"/>
              <w:widowControl/>
              <w:kinsoku/>
              <w:wordWrap/>
              <w:overflowPunct/>
              <w:autoSpaceDE/>
              <w:autoSpaceDN/>
              <w:bidi w:val="0"/>
              <w:adjustRightInd/>
              <w:snapToGrid/>
              <w:spacing w:after="0"/>
              <w:textAlignment w:val="auto"/>
              <w:rPr>
                <w:rFonts w:ascii="Times New Roman" w:hAnsi="Times New Roman"/>
                <w:color w:val="auto"/>
                <w:sz w:val="24"/>
                <w:szCs w:val="28"/>
              </w:rPr>
            </w:pPr>
            <w:r>
              <w:rPr>
                <w:rFonts w:hint="eastAsia" w:hAnsi="宋体" w:cs="宋体"/>
                <w:color w:val="auto"/>
                <w:sz w:val="24"/>
                <w:szCs w:val="28"/>
              </w:rPr>
              <w:t>②</w:t>
            </w:r>
            <w:r>
              <w:rPr>
                <w:rFonts w:ascii="Times New Roman" w:hAnsi="Times New Roman"/>
                <w:color w:val="auto"/>
                <w:sz w:val="24"/>
                <w:szCs w:val="28"/>
              </w:rPr>
              <w:t>积极组织贯彻执行国家有关环保法规、政策与制度。如“三同时”制度、环保设施竣工验收、排污申报与许可证制度，污染物达标与总量控制制度等。</w:t>
            </w:r>
          </w:p>
          <w:p w14:paraId="6CCD306D">
            <w:pPr>
              <w:pStyle w:val="2"/>
              <w:keepNext w:val="0"/>
              <w:keepLines w:val="0"/>
              <w:pageBreakBefore w:val="0"/>
              <w:widowControl/>
              <w:kinsoku/>
              <w:wordWrap/>
              <w:overflowPunct/>
              <w:autoSpaceDE/>
              <w:autoSpaceDN/>
              <w:bidi w:val="0"/>
              <w:adjustRightInd/>
              <w:snapToGrid/>
              <w:spacing w:after="0"/>
              <w:textAlignment w:val="auto"/>
              <w:rPr>
                <w:rFonts w:ascii="Times New Roman" w:hAnsi="Times New Roman"/>
                <w:color w:val="auto"/>
                <w:sz w:val="24"/>
                <w:szCs w:val="28"/>
              </w:rPr>
            </w:pPr>
            <w:r>
              <w:rPr>
                <w:rFonts w:hint="eastAsia" w:hAnsi="宋体" w:cs="宋体"/>
                <w:color w:val="auto"/>
                <w:sz w:val="24"/>
                <w:szCs w:val="28"/>
              </w:rPr>
              <w:t>③</w:t>
            </w:r>
            <w:r>
              <w:rPr>
                <w:rFonts w:ascii="Times New Roman" w:hAnsi="Times New Roman"/>
                <w:color w:val="auto"/>
                <w:sz w:val="24"/>
                <w:szCs w:val="28"/>
              </w:rPr>
              <w:t>编制全公司的环境保护规划与环境保护目标。</w:t>
            </w:r>
          </w:p>
          <w:p w14:paraId="404A6267">
            <w:pPr>
              <w:pStyle w:val="2"/>
              <w:keepNext w:val="0"/>
              <w:keepLines w:val="0"/>
              <w:pageBreakBefore w:val="0"/>
              <w:widowControl/>
              <w:kinsoku/>
              <w:wordWrap/>
              <w:overflowPunct/>
              <w:autoSpaceDE/>
              <w:autoSpaceDN/>
              <w:bidi w:val="0"/>
              <w:adjustRightInd/>
              <w:snapToGrid/>
              <w:spacing w:after="0"/>
              <w:textAlignment w:val="auto"/>
              <w:rPr>
                <w:rFonts w:ascii="Times New Roman" w:hAnsi="Times New Roman"/>
                <w:color w:val="auto"/>
              </w:rPr>
            </w:pPr>
            <w:r>
              <w:rPr>
                <w:rFonts w:hint="eastAsia" w:hAnsi="宋体" w:cs="宋体"/>
                <w:color w:val="auto"/>
                <w:sz w:val="24"/>
                <w:szCs w:val="28"/>
              </w:rPr>
              <w:t>④</w:t>
            </w:r>
            <w:r>
              <w:rPr>
                <w:rFonts w:ascii="Times New Roman" w:hAnsi="Times New Roman"/>
                <w:color w:val="auto"/>
                <w:sz w:val="24"/>
                <w:szCs w:val="28"/>
              </w:rPr>
              <w:t>加强废气、废水处理设施以及固废暂存设施的监督管理，确保设备正常并高效运行；并根据污染物监测结果、设备运行指标等做好统计工作。</w:t>
            </w:r>
          </w:p>
          <w:p w14:paraId="4AB39B65">
            <w:pPr>
              <w:pStyle w:val="2"/>
              <w:keepNext w:val="0"/>
              <w:keepLines w:val="0"/>
              <w:pageBreakBefore w:val="0"/>
              <w:widowControl/>
              <w:kinsoku/>
              <w:wordWrap/>
              <w:overflowPunct/>
              <w:autoSpaceDE/>
              <w:autoSpaceDN/>
              <w:bidi w:val="0"/>
              <w:adjustRightInd/>
              <w:snapToGrid/>
              <w:spacing w:after="0"/>
              <w:textAlignment w:val="auto"/>
              <w:rPr>
                <w:rFonts w:ascii="Times New Roman" w:hAnsi="Times New Roman"/>
                <w:color w:val="auto"/>
                <w:sz w:val="24"/>
                <w:szCs w:val="28"/>
              </w:rPr>
            </w:pPr>
            <w:r>
              <w:rPr>
                <w:rFonts w:hint="eastAsia" w:hAnsi="宋体" w:cs="宋体"/>
                <w:color w:val="auto"/>
                <w:sz w:val="24"/>
                <w:szCs w:val="28"/>
              </w:rPr>
              <w:t>⑤</w:t>
            </w:r>
            <w:r>
              <w:rPr>
                <w:rFonts w:ascii="Times New Roman" w:hAnsi="Times New Roman"/>
                <w:color w:val="auto"/>
                <w:sz w:val="24"/>
                <w:szCs w:val="28"/>
              </w:rPr>
              <w:t>编制企业年度环境监测计划，并组织实施。</w:t>
            </w:r>
          </w:p>
          <w:p w14:paraId="62771913">
            <w:pPr>
              <w:pStyle w:val="2"/>
              <w:keepNext w:val="0"/>
              <w:keepLines w:val="0"/>
              <w:pageBreakBefore w:val="0"/>
              <w:widowControl/>
              <w:kinsoku/>
              <w:wordWrap/>
              <w:overflowPunct/>
              <w:autoSpaceDE/>
              <w:autoSpaceDN/>
              <w:bidi w:val="0"/>
              <w:adjustRightInd/>
              <w:snapToGrid/>
              <w:spacing w:after="0"/>
              <w:textAlignment w:val="auto"/>
              <w:rPr>
                <w:rFonts w:ascii="Times New Roman" w:hAnsi="Times New Roman"/>
                <w:color w:val="auto"/>
                <w:sz w:val="24"/>
                <w:szCs w:val="28"/>
              </w:rPr>
            </w:pPr>
            <w:r>
              <w:rPr>
                <w:rFonts w:hint="eastAsia" w:hAnsi="宋体" w:cs="宋体"/>
                <w:color w:val="auto"/>
                <w:sz w:val="24"/>
                <w:szCs w:val="28"/>
              </w:rPr>
              <w:t>⑥</w:t>
            </w:r>
            <w:r>
              <w:rPr>
                <w:rFonts w:ascii="Times New Roman" w:hAnsi="Times New Roman"/>
                <w:color w:val="auto"/>
                <w:sz w:val="24"/>
                <w:szCs w:val="28"/>
              </w:rPr>
              <w:t>宣传环保法规，开展环保教育与培训工作。</w:t>
            </w:r>
          </w:p>
          <w:p w14:paraId="4184325B">
            <w:pPr>
              <w:pStyle w:val="2"/>
              <w:keepNext w:val="0"/>
              <w:keepLines w:val="0"/>
              <w:pageBreakBefore w:val="0"/>
              <w:widowControl/>
              <w:kinsoku/>
              <w:wordWrap/>
              <w:overflowPunct/>
              <w:autoSpaceDE/>
              <w:autoSpaceDN/>
              <w:bidi w:val="0"/>
              <w:adjustRightInd/>
              <w:snapToGrid/>
              <w:spacing w:after="0"/>
              <w:textAlignment w:val="auto"/>
              <w:rPr>
                <w:rFonts w:ascii="Times New Roman" w:hAnsi="Times New Roman"/>
                <w:color w:val="auto"/>
                <w:sz w:val="24"/>
                <w:szCs w:val="28"/>
              </w:rPr>
            </w:pPr>
            <w:r>
              <w:rPr>
                <w:rFonts w:hint="eastAsia" w:hAnsi="宋体" w:cs="宋体"/>
                <w:color w:val="auto"/>
                <w:sz w:val="24"/>
                <w:szCs w:val="28"/>
              </w:rPr>
              <w:t>⑦</w:t>
            </w:r>
            <w:r>
              <w:rPr>
                <w:rFonts w:ascii="Times New Roman" w:hAnsi="Times New Roman"/>
                <w:color w:val="auto"/>
                <w:sz w:val="24"/>
                <w:szCs w:val="28"/>
              </w:rPr>
              <w:t>负责组织突发性环境事故的应急处理及善后事宜，及时报告上级环境保护管理部门。</w:t>
            </w:r>
          </w:p>
          <w:p w14:paraId="574D048E">
            <w:pPr>
              <w:pStyle w:val="2"/>
              <w:keepNext w:val="0"/>
              <w:keepLines w:val="0"/>
              <w:pageBreakBefore w:val="0"/>
              <w:widowControl/>
              <w:kinsoku/>
              <w:wordWrap/>
              <w:overflowPunct/>
              <w:autoSpaceDE/>
              <w:autoSpaceDN/>
              <w:bidi w:val="0"/>
              <w:adjustRightInd/>
              <w:snapToGrid/>
              <w:spacing w:after="0"/>
              <w:textAlignment w:val="auto"/>
              <w:rPr>
                <w:rFonts w:ascii="Times New Roman" w:hAnsi="Times New Roman"/>
                <w:color w:val="auto"/>
                <w:sz w:val="24"/>
                <w:szCs w:val="28"/>
              </w:rPr>
            </w:pPr>
            <w:r>
              <w:rPr>
                <w:rFonts w:hint="eastAsia" w:hAnsi="宋体" w:cs="宋体"/>
                <w:color w:val="auto"/>
                <w:sz w:val="24"/>
                <w:szCs w:val="28"/>
              </w:rPr>
              <w:t>⑧</w:t>
            </w:r>
            <w:r>
              <w:rPr>
                <w:rFonts w:ascii="Times New Roman" w:hAnsi="Times New Roman"/>
                <w:color w:val="auto"/>
                <w:sz w:val="24"/>
                <w:szCs w:val="28"/>
              </w:rPr>
              <w:t>按规定在规定的时间内向上级环保管理部门申报环境各类报表。</w:t>
            </w:r>
          </w:p>
          <w:p w14:paraId="3F7C6D02">
            <w:pPr>
              <w:pStyle w:val="51"/>
              <w:keepNext w:val="0"/>
              <w:keepLines w:val="0"/>
              <w:pageBreakBefore w:val="0"/>
              <w:widowControl/>
              <w:kinsoku/>
              <w:wordWrap/>
              <w:overflowPunct/>
              <w:autoSpaceDE/>
              <w:autoSpaceDN/>
              <w:bidi w:val="0"/>
              <w:adjustRightInd/>
              <w:snapToGrid/>
              <w:spacing w:after="0"/>
              <w:ind w:firstLine="482"/>
              <w:textAlignment w:val="auto"/>
              <w:rPr>
                <w:b/>
                <w:color w:val="auto"/>
                <w:lang w:eastAsia="zh-CN"/>
              </w:rPr>
            </w:pPr>
            <w:r>
              <w:rPr>
                <w:b/>
                <w:color w:val="auto"/>
                <w:lang w:eastAsia="zh-CN"/>
              </w:rPr>
              <w:t>5.3.2</w:t>
            </w:r>
            <w:r>
              <w:rPr>
                <w:rFonts w:hint="eastAsia"/>
                <w:b/>
                <w:color w:val="auto"/>
                <w:lang w:eastAsia="zh-CN"/>
              </w:rPr>
              <w:t>环境</w:t>
            </w:r>
            <w:r>
              <w:rPr>
                <w:b/>
                <w:color w:val="auto"/>
                <w:lang w:eastAsia="zh-CN"/>
              </w:rPr>
              <w:t>监测计划</w:t>
            </w:r>
          </w:p>
          <w:p w14:paraId="43FA2FB6">
            <w:pPr>
              <w:pStyle w:val="51"/>
              <w:keepNext w:val="0"/>
              <w:keepLines w:val="0"/>
              <w:pageBreakBefore w:val="0"/>
              <w:widowControl/>
              <w:kinsoku/>
              <w:wordWrap/>
              <w:overflowPunct/>
              <w:autoSpaceDE/>
              <w:autoSpaceDN/>
              <w:bidi w:val="0"/>
              <w:adjustRightInd/>
              <w:snapToGrid/>
              <w:spacing w:after="0"/>
              <w:ind w:firstLine="480"/>
              <w:textAlignment w:val="auto"/>
              <w:rPr>
                <w:bCs/>
                <w:color w:val="auto"/>
                <w:lang w:eastAsia="zh-CN"/>
              </w:rPr>
            </w:pPr>
            <w:r>
              <w:rPr>
                <w:rFonts w:hint="eastAsia"/>
                <w:bCs/>
                <w:color w:val="auto"/>
                <w:lang w:eastAsia="zh-CN"/>
              </w:rPr>
              <w:t>管道运行期间无废气、废水、噪声和固体废物产生，运营期无需进行环境监测。</w:t>
            </w:r>
          </w:p>
          <w:p w14:paraId="5BCD7105">
            <w:pPr>
              <w:pStyle w:val="2"/>
              <w:ind w:firstLine="0"/>
              <w:rPr>
                <w:rFonts w:ascii="Times New Roman" w:hAnsi="Times New Roman"/>
                <w:color w:val="auto"/>
                <w:sz w:val="24"/>
                <w:szCs w:val="24"/>
              </w:rPr>
            </w:pPr>
          </w:p>
        </w:tc>
      </w:tr>
      <w:tr w14:paraId="075C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908" w:type="dxa"/>
            <w:vAlign w:val="center"/>
          </w:tcPr>
          <w:p w14:paraId="5CB27E32">
            <w:pPr>
              <w:pStyle w:val="17"/>
              <w:adjustRightInd w:val="0"/>
              <w:snapToGrid w:val="0"/>
              <w:jc w:val="center"/>
              <w:rPr>
                <w:rFonts w:ascii="Times New Roman" w:hAnsi="Times New Roman"/>
                <w:b/>
                <w:color w:val="auto"/>
                <w:sz w:val="21"/>
                <w:szCs w:val="21"/>
              </w:rPr>
            </w:pPr>
            <w:r>
              <w:rPr>
                <w:rFonts w:ascii="Times New Roman" w:hAnsi="Times New Roman"/>
                <w:b/>
                <w:color w:val="auto"/>
                <w:szCs w:val="21"/>
              </w:rPr>
              <w:t>环保投资</w:t>
            </w:r>
          </w:p>
        </w:tc>
        <w:tc>
          <w:tcPr>
            <w:tcW w:w="8378" w:type="dxa"/>
          </w:tcPr>
          <w:p w14:paraId="32DA80CF">
            <w:pPr>
              <w:pStyle w:val="51"/>
              <w:keepNext w:val="0"/>
              <w:keepLines w:val="0"/>
              <w:pageBreakBefore w:val="0"/>
              <w:widowControl/>
              <w:kinsoku/>
              <w:wordWrap/>
              <w:overflowPunct/>
              <w:topLinePunct w:val="0"/>
              <w:autoSpaceDE/>
              <w:autoSpaceDN/>
              <w:bidi w:val="0"/>
              <w:adjustRightInd/>
              <w:snapToGrid/>
              <w:spacing w:after="0"/>
              <w:ind w:firstLine="562"/>
              <w:textAlignment w:val="auto"/>
              <w:rPr>
                <w:b/>
                <w:color w:val="auto"/>
                <w:sz w:val="28"/>
                <w:lang w:eastAsia="zh-CN"/>
              </w:rPr>
            </w:pPr>
            <w:r>
              <w:rPr>
                <w:rFonts w:hint="eastAsia"/>
                <w:b/>
                <w:color w:val="auto"/>
                <w:sz w:val="28"/>
                <w:lang w:eastAsia="zh-CN"/>
              </w:rPr>
              <w:t>5.</w:t>
            </w:r>
            <w:r>
              <w:rPr>
                <w:rFonts w:hint="eastAsia"/>
                <w:b/>
                <w:color w:val="auto"/>
                <w:sz w:val="28"/>
                <w:lang w:val="en-US" w:eastAsia="zh-CN"/>
              </w:rPr>
              <w:t>4</w:t>
            </w:r>
            <w:r>
              <w:rPr>
                <w:rFonts w:hint="eastAsia"/>
                <w:b/>
                <w:color w:val="auto"/>
                <w:sz w:val="28"/>
                <w:lang w:eastAsia="zh-CN"/>
              </w:rPr>
              <w:t>环保投资</w:t>
            </w:r>
          </w:p>
          <w:p w14:paraId="4FE7135E">
            <w:pPr>
              <w:pStyle w:val="51"/>
              <w:keepNext w:val="0"/>
              <w:keepLines w:val="0"/>
              <w:pageBreakBefore w:val="0"/>
              <w:widowControl/>
              <w:kinsoku/>
              <w:wordWrap/>
              <w:overflowPunct/>
              <w:topLinePunct w:val="0"/>
              <w:autoSpaceDE/>
              <w:autoSpaceDN/>
              <w:bidi w:val="0"/>
              <w:adjustRightInd/>
              <w:snapToGrid/>
              <w:spacing w:after="0"/>
              <w:ind w:firstLine="480"/>
              <w:textAlignment w:val="auto"/>
              <w:rPr>
                <w:color w:val="auto"/>
                <w:lang w:eastAsia="zh-CN"/>
              </w:rPr>
            </w:pPr>
            <w:r>
              <w:rPr>
                <w:color w:val="auto"/>
                <w:lang w:eastAsia="zh-CN"/>
              </w:rPr>
              <w:t>为了确保该项目所排放的废气、废水、固体废物以及噪声符合国家排放标准要求，创造良好的生活和工作环境，减轻</w:t>
            </w:r>
            <w:r>
              <w:rPr>
                <w:rFonts w:hint="eastAsia"/>
                <w:color w:val="auto"/>
                <w:lang w:eastAsia="zh-CN"/>
              </w:rPr>
              <w:t>建设</w:t>
            </w:r>
            <w:r>
              <w:rPr>
                <w:color w:val="auto"/>
                <w:lang w:eastAsia="zh-CN"/>
              </w:rPr>
              <w:t>过程中所带来的环境污染，根据本环评提出的环保治理措施和要求，对该项目各项环保设施投资进行估算，详见表</w:t>
            </w:r>
            <w:r>
              <w:rPr>
                <w:rFonts w:hint="eastAsia"/>
                <w:color w:val="auto"/>
                <w:lang w:eastAsia="zh-CN"/>
              </w:rPr>
              <w:t>5</w:t>
            </w:r>
            <w:r>
              <w:rPr>
                <w:color w:val="auto"/>
                <w:lang w:eastAsia="zh-CN"/>
              </w:rPr>
              <w:t>-</w:t>
            </w:r>
            <w:r>
              <w:rPr>
                <w:rFonts w:hint="eastAsia"/>
                <w:color w:val="auto"/>
                <w:lang w:val="en-US" w:eastAsia="zh-CN"/>
              </w:rPr>
              <w:t>1</w:t>
            </w:r>
            <w:r>
              <w:rPr>
                <w:color w:val="auto"/>
                <w:lang w:eastAsia="zh-CN"/>
              </w:rPr>
              <w:t>。</w:t>
            </w:r>
          </w:p>
          <w:p w14:paraId="1AB52CFC">
            <w:pPr>
              <w:spacing w:line="360" w:lineRule="auto"/>
              <w:jc w:val="center"/>
              <w:rPr>
                <w:b/>
                <w:color w:val="auto"/>
                <w:kern w:val="0"/>
                <w:szCs w:val="22"/>
                <w:lang w:bidi="en-US"/>
              </w:rPr>
            </w:pPr>
            <w:r>
              <w:rPr>
                <w:b/>
                <w:color w:val="auto"/>
                <w:kern w:val="0"/>
                <w:szCs w:val="22"/>
                <w:lang w:bidi="en-US"/>
              </w:rPr>
              <w:t>表</w:t>
            </w:r>
            <w:r>
              <w:rPr>
                <w:rFonts w:hint="eastAsia"/>
                <w:b/>
                <w:color w:val="auto"/>
                <w:kern w:val="0"/>
                <w:szCs w:val="22"/>
                <w:lang w:bidi="en-US"/>
              </w:rPr>
              <w:t>5</w:t>
            </w:r>
            <w:r>
              <w:rPr>
                <w:b/>
                <w:color w:val="auto"/>
                <w:kern w:val="0"/>
                <w:szCs w:val="22"/>
                <w:lang w:bidi="en-US"/>
              </w:rPr>
              <w:t>-</w:t>
            </w:r>
            <w:r>
              <w:rPr>
                <w:rFonts w:hint="eastAsia"/>
                <w:b/>
                <w:color w:val="auto"/>
                <w:kern w:val="0"/>
                <w:szCs w:val="22"/>
                <w:lang w:val="en-US" w:eastAsia="zh-CN" w:bidi="en-US"/>
              </w:rPr>
              <w:t>1</w:t>
            </w:r>
            <w:r>
              <w:rPr>
                <w:b/>
                <w:color w:val="auto"/>
                <w:kern w:val="0"/>
                <w:szCs w:val="22"/>
                <w:lang w:bidi="en-US"/>
              </w:rPr>
              <w:t>本项目环保设施投资估算表</w:t>
            </w:r>
          </w:p>
          <w:tbl>
            <w:tblPr>
              <w:tblStyle w:val="23"/>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588"/>
              <w:gridCol w:w="3377"/>
              <w:gridCol w:w="1950"/>
            </w:tblGrid>
            <w:tr w14:paraId="75DB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021" w:type="dxa"/>
                  <w:vAlign w:val="center"/>
                </w:tcPr>
                <w:p w14:paraId="7F062473">
                  <w:pPr>
                    <w:adjustRightInd w:val="0"/>
                    <w:snapToGrid w:val="0"/>
                    <w:jc w:val="center"/>
                    <w:rPr>
                      <w:b/>
                      <w:color w:val="auto"/>
                      <w:kern w:val="0"/>
                      <w:szCs w:val="21"/>
                      <w:lang w:bidi="en-US"/>
                    </w:rPr>
                  </w:pPr>
                  <w:r>
                    <w:rPr>
                      <w:b/>
                      <w:color w:val="auto"/>
                      <w:kern w:val="0"/>
                      <w:szCs w:val="21"/>
                      <w:lang w:bidi="en-US"/>
                    </w:rPr>
                    <w:t>时期</w:t>
                  </w:r>
                </w:p>
              </w:tc>
              <w:tc>
                <w:tcPr>
                  <w:tcW w:w="1588" w:type="dxa"/>
                  <w:vAlign w:val="center"/>
                </w:tcPr>
                <w:p w14:paraId="6F2B2A0F">
                  <w:pPr>
                    <w:adjustRightInd w:val="0"/>
                    <w:snapToGrid w:val="0"/>
                    <w:jc w:val="center"/>
                    <w:rPr>
                      <w:b/>
                      <w:color w:val="auto"/>
                      <w:kern w:val="0"/>
                      <w:szCs w:val="21"/>
                      <w:lang w:bidi="en-US"/>
                    </w:rPr>
                  </w:pPr>
                  <w:r>
                    <w:rPr>
                      <w:b/>
                      <w:color w:val="auto"/>
                      <w:kern w:val="0"/>
                      <w:szCs w:val="21"/>
                      <w:lang w:bidi="en-US"/>
                    </w:rPr>
                    <w:t>名称</w:t>
                  </w:r>
                </w:p>
              </w:tc>
              <w:tc>
                <w:tcPr>
                  <w:tcW w:w="3377" w:type="dxa"/>
                  <w:vAlign w:val="center"/>
                </w:tcPr>
                <w:p w14:paraId="3A74597F">
                  <w:pPr>
                    <w:adjustRightInd w:val="0"/>
                    <w:snapToGrid w:val="0"/>
                    <w:jc w:val="center"/>
                    <w:rPr>
                      <w:b/>
                      <w:color w:val="auto"/>
                      <w:kern w:val="0"/>
                      <w:szCs w:val="21"/>
                      <w:lang w:bidi="en-US"/>
                    </w:rPr>
                  </w:pPr>
                  <w:r>
                    <w:rPr>
                      <w:b/>
                      <w:color w:val="auto"/>
                      <w:kern w:val="0"/>
                      <w:szCs w:val="21"/>
                      <w:lang w:bidi="en-US"/>
                    </w:rPr>
                    <w:t>主要内容</w:t>
                  </w:r>
                </w:p>
              </w:tc>
              <w:tc>
                <w:tcPr>
                  <w:tcW w:w="1950" w:type="dxa"/>
                  <w:vAlign w:val="center"/>
                </w:tcPr>
                <w:p w14:paraId="3306DE6C">
                  <w:pPr>
                    <w:adjustRightInd w:val="0"/>
                    <w:snapToGrid w:val="0"/>
                    <w:jc w:val="center"/>
                    <w:rPr>
                      <w:b/>
                      <w:color w:val="auto"/>
                      <w:kern w:val="0"/>
                      <w:szCs w:val="21"/>
                      <w:lang w:bidi="en-US"/>
                    </w:rPr>
                  </w:pPr>
                  <w:r>
                    <w:rPr>
                      <w:b/>
                      <w:color w:val="auto"/>
                      <w:kern w:val="0"/>
                      <w:szCs w:val="21"/>
                      <w:lang w:bidi="en-US"/>
                    </w:rPr>
                    <w:t>投资估算（万元）</w:t>
                  </w:r>
                </w:p>
              </w:tc>
            </w:tr>
            <w:tr w14:paraId="7F1C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21" w:type="dxa"/>
                  <w:vMerge w:val="restart"/>
                  <w:vAlign w:val="center"/>
                </w:tcPr>
                <w:p w14:paraId="3D513483">
                  <w:pPr>
                    <w:adjustRightInd w:val="0"/>
                    <w:snapToGrid w:val="0"/>
                    <w:jc w:val="center"/>
                    <w:rPr>
                      <w:color w:val="auto"/>
                      <w:kern w:val="0"/>
                      <w:szCs w:val="21"/>
                      <w:lang w:bidi="en-US"/>
                    </w:rPr>
                  </w:pPr>
                  <w:r>
                    <w:rPr>
                      <w:color w:val="auto"/>
                      <w:kern w:val="0"/>
                      <w:szCs w:val="21"/>
                      <w:lang w:bidi="en-US"/>
                    </w:rPr>
                    <w:t>施工期</w:t>
                  </w:r>
                </w:p>
              </w:tc>
              <w:tc>
                <w:tcPr>
                  <w:tcW w:w="1588" w:type="dxa"/>
                  <w:vAlign w:val="center"/>
                </w:tcPr>
                <w:p w14:paraId="2ADBB360">
                  <w:pPr>
                    <w:adjustRightInd w:val="0"/>
                    <w:snapToGrid w:val="0"/>
                    <w:jc w:val="center"/>
                    <w:rPr>
                      <w:color w:val="auto"/>
                      <w:kern w:val="0"/>
                      <w:szCs w:val="21"/>
                      <w:lang w:bidi="en-US"/>
                    </w:rPr>
                  </w:pPr>
                  <w:r>
                    <w:rPr>
                      <w:color w:val="auto"/>
                      <w:kern w:val="0"/>
                      <w:szCs w:val="21"/>
                      <w:lang w:bidi="en-US"/>
                    </w:rPr>
                    <w:t>废气治理</w:t>
                  </w:r>
                </w:p>
              </w:tc>
              <w:tc>
                <w:tcPr>
                  <w:tcW w:w="3377" w:type="dxa"/>
                  <w:vAlign w:val="center"/>
                </w:tcPr>
                <w:p w14:paraId="1C415539">
                  <w:pPr>
                    <w:adjustRightInd w:val="0"/>
                    <w:snapToGrid w:val="0"/>
                    <w:jc w:val="center"/>
                    <w:rPr>
                      <w:color w:val="auto"/>
                      <w:kern w:val="0"/>
                      <w:szCs w:val="21"/>
                      <w:lang w:bidi="en-US"/>
                    </w:rPr>
                  </w:pPr>
                  <w:r>
                    <w:rPr>
                      <w:rFonts w:hint="eastAsia"/>
                      <w:color w:val="auto"/>
                      <w:kern w:val="0"/>
                      <w:szCs w:val="21"/>
                      <w:lang w:bidi="en-US"/>
                    </w:rPr>
                    <w:t>密闭运输，洒水抑尘，设洗车设施，施工机械、运输车辆维修保养</w:t>
                  </w:r>
                </w:p>
              </w:tc>
              <w:tc>
                <w:tcPr>
                  <w:tcW w:w="1950" w:type="dxa"/>
                  <w:vAlign w:val="center"/>
                </w:tcPr>
                <w:p w14:paraId="62810573">
                  <w:pPr>
                    <w:jc w:val="center"/>
                    <w:rPr>
                      <w:color w:val="auto"/>
                      <w:kern w:val="0"/>
                      <w:szCs w:val="21"/>
                      <w:lang w:bidi="en-US"/>
                    </w:rPr>
                  </w:pPr>
                  <w:r>
                    <w:rPr>
                      <w:rFonts w:hint="eastAsia"/>
                      <w:color w:val="auto"/>
                      <w:kern w:val="0"/>
                      <w:szCs w:val="21"/>
                      <w:lang w:bidi="en-US"/>
                    </w:rPr>
                    <w:t>4</w:t>
                  </w:r>
                </w:p>
              </w:tc>
            </w:tr>
            <w:tr w14:paraId="3AA5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21" w:type="dxa"/>
                  <w:vMerge w:val="continue"/>
                  <w:vAlign w:val="center"/>
                </w:tcPr>
                <w:p w14:paraId="7272A6B1">
                  <w:pPr>
                    <w:adjustRightInd w:val="0"/>
                    <w:snapToGrid w:val="0"/>
                    <w:jc w:val="center"/>
                    <w:rPr>
                      <w:color w:val="auto"/>
                      <w:kern w:val="0"/>
                      <w:szCs w:val="21"/>
                      <w:lang w:bidi="en-US"/>
                    </w:rPr>
                  </w:pPr>
                </w:p>
              </w:tc>
              <w:tc>
                <w:tcPr>
                  <w:tcW w:w="1588" w:type="dxa"/>
                  <w:vAlign w:val="center"/>
                </w:tcPr>
                <w:p w14:paraId="67C7CF77">
                  <w:pPr>
                    <w:adjustRightInd w:val="0"/>
                    <w:snapToGrid w:val="0"/>
                    <w:jc w:val="center"/>
                    <w:rPr>
                      <w:color w:val="auto"/>
                      <w:kern w:val="0"/>
                      <w:szCs w:val="21"/>
                      <w:lang w:bidi="en-US"/>
                    </w:rPr>
                  </w:pPr>
                  <w:r>
                    <w:rPr>
                      <w:color w:val="auto"/>
                      <w:kern w:val="0"/>
                      <w:szCs w:val="21"/>
                      <w:lang w:bidi="en-US"/>
                    </w:rPr>
                    <w:t>废水治理</w:t>
                  </w:r>
                </w:p>
              </w:tc>
              <w:tc>
                <w:tcPr>
                  <w:tcW w:w="3377" w:type="dxa"/>
                  <w:vAlign w:val="center"/>
                </w:tcPr>
                <w:p w14:paraId="786C91BC">
                  <w:pPr>
                    <w:adjustRightInd w:val="0"/>
                    <w:snapToGrid w:val="0"/>
                    <w:jc w:val="center"/>
                    <w:rPr>
                      <w:color w:val="auto"/>
                      <w:kern w:val="0"/>
                      <w:szCs w:val="21"/>
                      <w:lang w:bidi="en-US"/>
                    </w:rPr>
                  </w:pPr>
                  <w:r>
                    <w:rPr>
                      <w:rFonts w:hint="eastAsia"/>
                      <w:color w:val="auto"/>
                      <w:kern w:val="0"/>
                      <w:szCs w:val="21"/>
                      <w:lang w:bidi="en-US"/>
                    </w:rPr>
                    <w:t>临时</w:t>
                  </w:r>
                  <w:r>
                    <w:rPr>
                      <w:color w:val="auto"/>
                      <w:kern w:val="0"/>
                      <w:szCs w:val="21"/>
                      <w:lang w:bidi="en-US"/>
                    </w:rPr>
                    <w:t>沉淀池</w:t>
                  </w:r>
                </w:p>
              </w:tc>
              <w:tc>
                <w:tcPr>
                  <w:tcW w:w="1950" w:type="dxa"/>
                  <w:vAlign w:val="center"/>
                </w:tcPr>
                <w:p w14:paraId="732D0601">
                  <w:pPr>
                    <w:jc w:val="center"/>
                    <w:rPr>
                      <w:color w:val="auto"/>
                      <w:kern w:val="0"/>
                      <w:szCs w:val="21"/>
                      <w:lang w:bidi="en-US"/>
                    </w:rPr>
                  </w:pPr>
                  <w:r>
                    <w:rPr>
                      <w:rFonts w:hint="eastAsia"/>
                      <w:color w:val="auto"/>
                      <w:kern w:val="0"/>
                      <w:szCs w:val="21"/>
                      <w:lang w:bidi="en-US"/>
                    </w:rPr>
                    <w:t>3</w:t>
                  </w:r>
                </w:p>
              </w:tc>
            </w:tr>
            <w:tr w14:paraId="136E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21" w:type="dxa"/>
                  <w:vMerge w:val="continue"/>
                  <w:vAlign w:val="center"/>
                </w:tcPr>
                <w:p w14:paraId="64F7B3ED">
                  <w:pPr>
                    <w:adjustRightInd w:val="0"/>
                    <w:snapToGrid w:val="0"/>
                    <w:jc w:val="center"/>
                    <w:rPr>
                      <w:color w:val="auto"/>
                      <w:kern w:val="0"/>
                      <w:szCs w:val="21"/>
                      <w:lang w:bidi="en-US"/>
                    </w:rPr>
                  </w:pPr>
                </w:p>
              </w:tc>
              <w:tc>
                <w:tcPr>
                  <w:tcW w:w="1588" w:type="dxa"/>
                  <w:vAlign w:val="center"/>
                </w:tcPr>
                <w:p w14:paraId="5FDAF9AE">
                  <w:pPr>
                    <w:adjustRightInd w:val="0"/>
                    <w:snapToGrid w:val="0"/>
                    <w:jc w:val="center"/>
                    <w:rPr>
                      <w:color w:val="auto"/>
                      <w:kern w:val="0"/>
                      <w:szCs w:val="21"/>
                      <w:lang w:bidi="en-US"/>
                    </w:rPr>
                  </w:pPr>
                  <w:r>
                    <w:rPr>
                      <w:color w:val="auto"/>
                      <w:kern w:val="0"/>
                      <w:szCs w:val="21"/>
                      <w:lang w:bidi="en-US"/>
                    </w:rPr>
                    <w:t>噪声治理</w:t>
                  </w:r>
                </w:p>
              </w:tc>
              <w:tc>
                <w:tcPr>
                  <w:tcW w:w="3377" w:type="dxa"/>
                  <w:vAlign w:val="center"/>
                </w:tcPr>
                <w:p w14:paraId="46793B22">
                  <w:pPr>
                    <w:adjustRightInd w:val="0"/>
                    <w:snapToGrid w:val="0"/>
                    <w:jc w:val="center"/>
                    <w:rPr>
                      <w:color w:val="auto"/>
                      <w:kern w:val="0"/>
                      <w:szCs w:val="21"/>
                      <w:lang w:bidi="en-US"/>
                    </w:rPr>
                  </w:pPr>
                  <w:r>
                    <w:rPr>
                      <w:color w:val="auto"/>
                      <w:kern w:val="0"/>
                      <w:szCs w:val="21"/>
                      <w:lang w:bidi="en-US"/>
                    </w:rPr>
                    <w:t>减振降噪、施工场地隔音</w:t>
                  </w:r>
                </w:p>
              </w:tc>
              <w:tc>
                <w:tcPr>
                  <w:tcW w:w="1950" w:type="dxa"/>
                  <w:vAlign w:val="center"/>
                </w:tcPr>
                <w:p w14:paraId="792B0654">
                  <w:pPr>
                    <w:jc w:val="center"/>
                    <w:rPr>
                      <w:color w:val="auto"/>
                      <w:kern w:val="0"/>
                      <w:szCs w:val="21"/>
                      <w:lang w:bidi="en-US"/>
                    </w:rPr>
                  </w:pPr>
                  <w:r>
                    <w:rPr>
                      <w:rFonts w:hint="eastAsia"/>
                      <w:color w:val="auto"/>
                      <w:kern w:val="0"/>
                      <w:szCs w:val="21"/>
                      <w:lang w:bidi="en-US"/>
                    </w:rPr>
                    <w:t>2</w:t>
                  </w:r>
                </w:p>
              </w:tc>
            </w:tr>
            <w:tr w14:paraId="2080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21" w:type="dxa"/>
                  <w:vMerge w:val="continue"/>
                  <w:vAlign w:val="center"/>
                </w:tcPr>
                <w:p w14:paraId="1D22EC76">
                  <w:pPr>
                    <w:adjustRightInd w:val="0"/>
                    <w:snapToGrid w:val="0"/>
                    <w:jc w:val="center"/>
                    <w:rPr>
                      <w:color w:val="auto"/>
                      <w:kern w:val="0"/>
                      <w:szCs w:val="21"/>
                      <w:lang w:bidi="en-US"/>
                    </w:rPr>
                  </w:pPr>
                </w:p>
              </w:tc>
              <w:tc>
                <w:tcPr>
                  <w:tcW w:w="1588" w:type="dxa"/>
                  <w:vAlign w:val="center"/>
                </w:tcPr>
                <w:p w14:paraId="046F7313">
                  <w:pPr>
                    <w:adjustRightInd w:val="0"/>
                    <w:snapToGrid w:val="0"/>
                    <w:jc w:val="center"/>
                    <w:rPr>
                      <w:rFonts w:hint="default" w:eastAsia="宋体"/>
                      <w:color w:val="auto"/>
                      <w:kern w:val="0"/>
                      <w:szCs w:val="21"/>
                      <w:lang w:val="en-US" w:eastAsia="zh-CN" w:bidi="en-US"/>
                    </w:rPr>
                  </w:pPr>
                  <w:r>
                    <w:rPr>
                      <w:rFonts w:hint="eastAsia"/>
                      <w:color w:val="auto"/>
                      <w:kern w:val="0"/>
                      <w:szCs w:val="21"/>
                      <w:lang w:val="en-US" w:eastAsia="zh-CN" w:bidi="en-US"/>
                    </w:rPr>
                    <w:t>环境风险防范</w:t>
                  </w:r>
                </w:p>
              </w:tc>
              <w:tc>
                <w:tcPr>
                  <w:tcW w:w="3377" w:type="dxa"/>
                  <w:vAlign w:val="center"/>
                </w:tcPr>
                <w:p w14:paraId="639B3755">
                  <w:pPr>
                    <w:adjustRightInd w:val="0"/>
                    <w:snapToGrid w:val="0"/>
                    <w:jc w:val="center"/>
                    <w:rPr>
                      <w:rFonts w:hint="eastAsia" w:ascii="Times New Roman" w:hAnsi="Times New Roman" w:cs="Times New Roman"/>
                      <w:color w:val="auto"/>
                      <w:kern w:val="0"/>
                      <w:szCs w:val="21"/>
                      <w:lang w:val="en-US" w:eastAsia="zh-CN" w:bidi="en-US"/>
                    </w:rPr>
                  </w:pPr>
                  <w:r>
                    <w:rPr>
                      <w:rFonts w:hint="eastAsia" w:ascii="Times New Roman" w:hAnsi="Times New Roman" w:cs="Times New Roman"/>
                      <w:color w:val="auto"/>
                      <w:kern w:val="0"/>
                      <w:szCs w:val="21"/>
                      <w:lang w:val="en-US" w:eastAsia="zh-CN" w:bidi="en-US"/>
                    </w:rPr>
                    <w:t>警示标志、敷设防火石棉布、防护板、灭火器、灭火毯、吸油毡等</w:t>
                  </w:r>
                </w:p>
              </w:tc>
              <w:tc>
                <w:tcPr>
                  <w:tcW w:w="1950" w:type="dxa"/>
                  <w:vAlign w:val="center"/>
                </w:tcPr>
                <w:p w14:paraId="007E8182">
                  <w:pPr>
                    <w:jc w:val="center"/>
                    <w:rPr>
                      <w:rFonts w:hint="eastAsia" w:eastAsia="宋体"/>
                      <w:color w:val="auto"/>
                      <w:kern w:val="0"/>
                      <w:szCs w:val="21"/>
                      <w:lang w:val="en-US" w:eastAsia="zh-CN" w:bidi="en-US"/>
                    </w:rPr>
                  </w:pPr>
                  <w:r>
                    <w:rPr>
                      <w:rFonts w:hint="eastAsia"/>
                      <w:color w:val="auto"/>
                      <w:kern w:val="0"/>
                      <w:szCs w:val="21"/>
                      <w:lang w:val="en-US" w:eastAsia="zh-CN" w:bidi="en-US"/>
                    </w:rPr>
                    <w:t>2</w:t>
                  </w:r>
                </w:p>
              </w:tc>
            </w:tr>
            <w:tr w14:paraId="1125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5986" w:type="dxa"/>
                  <w:gridSpan w:val="3"/>
                  <w:vAlign w:val="center"/>
                </w:tcPr>
                <w:p w14:paraId="58DF6A82">
                  <w:pPr>
                    <w:adjustRightInd w:val="0"/>
                    <w:snapToGrid w:val="0"/>
                    <w:jc w:val="center"/>
                    <w:rPr>
                      <w:color w:val="auto"/>
                      <w:kern w:val="0"/>
                      <w:szCs w:val="21"/>
                      <w:lang w:bidi="en-US"/>
                    </w:rPr>
                  </w:pPr>
                  <w:r>
                    <w:rPr>
                      <w:color w:val="auto"/>
                      <w:kern w:val="0"/>
                      <w:szCs w:val="21"/>
                      <w:lang w:bidi="en-US"/>
                    </w:rPr>
                    <w:t>合计</w:t>
                  </w:r>
                </w:p>
              </w:tc>
              <w:tc>
                <w:tcPr>
                  <w:tcW w:w="1950" w:type="dxa"/>
                  <w:vAlign w:val="center"/>
                </w:tcPr>
                <w:p w14:paraId="61E310B1">
                  <w:pPr>
                    <w:jc w:val="center"/>
                    <w:rPr>
                      <w:rFonts w:hint="default" w:eastAsia="宋体"/>
                      <w:color w:val="auto"/>
                      <w:kern w:val="0"/>
                      <w:szCs w:val="21"/>
                      <w:lang w:val="en-US" w:eastAsia="zh-CN" w:bidi="en-US"/>
                    </w:rPr>
                  </w:pPr>
                  <w:r>
                    <w:rPr>
                      <w:rFonts w:hint="eastAsia"/>
                      <w:color w:val="auto"/>
                      <w:kern w:val="0"/>
                      <w:szCs w:val="21"/>
                      <w:lang w:val="en-US" w:eastAsia="zh-CN" w:bidi="en-US"/>
                    </w:rPr>
                    <w:t>11</w:t>
                  </w:r>
                </w:p>
              </w:tc>
            </w:tr>
          </w:tbl>
          <w:p w14:paraId="211C61DB">
            <w:pPr>
              <w:pStyle w:val="2"/>
              <w:rPr>
                <w:rFonts w:ascii="Times New Roman" w:hAnsi="Times New Roman"/>
                <w:color w:val="auto"/>
                <w:sz w:val="24"/>
                <w:szCs w:val="28"/>
              </w:rPr>
            </w:pPr>
            <w:r>
              <w:rPr>
                <w:rFonts w:ascii="Times New Roman" w:hAnsi="Times New Roman"/>
                <w:color w:val="auto"/>
                <w:sz w:val="24"/>
              </w:rPr>
              <w:t>项目投资</w:t>
            </w:r>
            <w:r>
              <w:rPr>
                <w:rFonts w:hint="eastAsia" w:ascii="Times New Roman" w:hAnsi="Times New Roman"/>
                <w:color w:val="auto"/>
                <w:sz w:val="24"/>
              </w:rPr>
              <w:t>317.70</w:t>
            </w:r>
            <w:r>
              <w:rPr>
                <w:rFonts w:ascii="Times New Roman" w:hAnsi="Times New Roman"/>
                <w:color w:val="auto"/>
                <w:sz w:val="24"/>
              </w:rPr>
              <w:t>万元，环保投资预计为</w:t>
            </w:r>
            <w:r>
              <w:rPr>
                <w:rFonts w:hint="eastAsia" w:ascii="Times New Roman" w:hAnsi="Times New Roman"/>
                <w:color w:val="auto"/>
                <w:sz w:val="24"/>
                <w:lang w:val="en-US" w:eastAsia="zh-CN"/>
              </w:rPr>
              <w:t>11</w:t>
            </w:r>
            <w:r>
              <w:rPr>
                <w:rFonts w:ascii="Times New Roman" w:hAnsi="Times New Roman"/>
                <w:color w:val="auto"/>
                <w:sz w:val="24"/>
              </w:rPr>
              <w:t>万元，环保投资占项目总投资的</w:t>
            </w:r>
            <w:r>
              <w:rPr>
                <w:rFonts w:hint="eastAsia" w:ascii="Times New Roman" w:hAnsi="Times New Roman"/>
                <w:color w:val="auto"/>
                <w:sz w:val="24"/>
                <w:lang w:eastAsia="zh-CN"/>
              </w:rPr>
              <w:t>3.4%</w:t>
            </w:r>
            <w:r>
              <w:rPr>
                <w:rFonts w:ascii="Times New Roman" w:hAnsi="Times New Roman"/>
                <w:color w:val="auto"/>
                <w:sz w:val="24"/>
              </w:rPr>
              <w:t>，该部分环保投资的投入，将可以使项目做到各项污染物达标排放，具有良好的环保效益。</w:t>
            </w:r>
          </w:p>
        </w:tc>
      </w:tr>
    </w:tbl>
    <w:p w14:paraId="0F828021">
      <w:pPr>
        <w:pStyle w:val="17"/>
        <w:jc w:val="center"/>
        <w:outlineLvl w:val="0"/>
        <w:rPr>
          <w:rFonts w:ascii="Times New Roman" w:hAnsi="Times New Roman"/>
          <w:b/>
          <w:snapToGrid w:val="0"/>
          <w:color w:val="auto"/>
          <w:sz w:val="30"/>
          <w:szCs w:val="30"/>
        </w:rPr>
      </w:pPr>
      <w:r>
        <w:rPr>
          <w:rFonts w:ascii="Times New Roman" w:hAnsi="Times New Roman"/>
          <w:b/>
          <w:snapToGrid w:val="0"/>
          <w:color w:val="auto"/>
          <w:sz w:val="30"/>
          <w:szCs w:val="30"/>
        </w:rPr>
        <w:br w:type="page"/>
      </w:r>
      <w:bookmarkStart w:id="54" w:name="_Toc152336006"/>
      <w:r>
        <w:rPr>
          <w:rFonts w:hint="eastAsia" w:ascii="Times New Roman" w:hAnsi="Times New Roman"/>
          <w:b/>
          <w:snapToGrid w:val="0"/>
          <w:color w:val="auto"/>
          <w:sz w:val="30"/>
          <w:szCs w:val="30"/>
        </w:rPr>
        <w:t>六</w:t>
      </w:r>
      <w:r>
        <w:rPr>
          <w:rFonts w:ascii="Times New Roman" w:hAnsi="Times New Roman"/>
          <w:b/>
          <w:snapToGrid w:val="0"/>
          <w:color w:val="auto"/>
          <w:sz w:val="30"/>
          <w:szCs w:val="30"/>
        </w:rPr>
        <w:t>、</w:t>
      </w:r>
      <w:bookmarkStart w:id="55" w:name="_Hlk54167917"/>
      <w:r>
        <w:rPr>
          <w:rFonts w:hint="eastAsia" w:ascii="Times New Roman" w:hAnsi="Times New Roman"/>
          <w:b/>
          <w:snapToGrid w:val="0"/>
          <w:color w:val="auto"/>
          <w:sz w:val="30"/>
          <w:szCs w:val="30"/>
        </w:rPr>
        <w:t>生态</w:t>
      </w:r>
      <w:r>
        <w:rPr>
          <w:rFonts w:ascii="Times New Roman" w:hAnsi="Times New Roman"/>
          <w:b/>
          <w:snapToGrid w:val="0"/>
          <w:color w:val="auto"/>
          <w:sz w:val="30"/>
          <w:szCs w:val="30"/>
        </w:rPr>
        <w:t>环境保护措施监督检查清单</w:t>
      </w:r>
      <w:bookmarkEnd w:id="54"/>
      <w:bookmarkEnd w:id="55"/>
    </w:p>
    <w:tbl>
      <w:tblPr>
        <w:tblStyle w:val="22"/>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761"/>
        <w:gridCol w:w="1936"/>
        <w:gridCol w:w="1923"/>
        <w:gridCol w:w="1562"/>
      </w:tblGrid>
      <w:tr w14:paraId="3C2FA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4" w:type="dxa"/>
            <w:vMerge w:val="restart"/>
            <w:tcBorders>
              <w:top w:val="single" w:color="auto" w:sz="4" w:space="0"/>
              <w:left w:val="single" w:color="auto" w:sz="4" w:space="0"/>
              <w:bottom w:val="single" w:color="auto" w:sz="4" w:space="0"/>
              <w:tl2br w:val="single" w:color="auto" w:sz="4" w:space="0"/>
            </w:tcBorders>
            <w:vAlign w:val="center"/>
          </w:tcPr>
          <w:p w14:paraId="4D40CE30">
            <w:pPr>
              <w:adjustRightInd w:val="0"/>
              <w:snapToGrid w:val="0"/>
              <w:ind w:firstLine="241" w:firstLineChars="100"/>
              <w:jc w:val="center"/>
              <w:rPr>
                <w:b/>
                <w:color w:val="auto"/>
                <w:sz w:val="24"/>
              </w:rPr>
            </w:pPr>
            <w:r>
              <w:rPr>
                <w:rFonts w:hint="eastAsia"/>
                <w:b/>
                <w:color w:val="auto"/>
                <w:sz w:val="24"/>
              </w:rPr>
              <w:t xml:space="preserve"> </w:t>
            </w:r>
            <w:r>
              <w:rPr>
                <w:b/>
                <w:color w:val="auto"/>
                <w:sz w:val="24"/>
              </w:rPr>
              <w:t>内容</w:t>
            </w:r>
          </w:p>
          <w:p w14:paraId="16391E6E">
            <w:pPr>
              <w:adjustRightInd w:val="0"/>
              <w:snapToGrid w:val="0"/>
              <w:rPr>
                <w:b/>
                <w:color w:val="auto"/>
                <w:sz w:val="24"/>
              </w:rPr>
            </w:pPr>
            <w:r>
              <w:rPr>
                <w:b/>
                <w:color w:val="auto"/>
                <w:sz w:val="24"/>
              </w:rPr>
              <w:t>要素</w:t>
            </w:r>
          </w:p>
        </w:tc>
        <w:tc>
          <w:tcPr>
            <w:tcW w:w="4697" w:type="dxa"/>
            <w:gridSpan w:val="2"/>
            <w:tcBorders>
              <w:top w:val="single" w:color="auto" w:sz="4" w:space="0"/>
              <w:bottom w:val="single" w:color="auto" w:sz="4" w:space="0"/>
            </w:tcBorders>
            <w:vAlign w:val="center"/>
          </w:tcPr>
          <w:p w14:paraId="2A2C6BAC">
            <w:pPr>
              <w:adjustRightInd w:val="0"/>
              <w:snapToGrid w:val="0"/>
              <w:jc w:val="center"/>
              <w:rPr>
                <w:b/>
                <w:color w:val="auto"/>
                <w:sz w:val="24"/>
              </w:rPr>
            </w:pPr>
            <w:r>
              <w:rPr>
                <w:b/>
                <w:color w:val="auto"/>
                <w:sz w:val="24"/>
              </w:rPr>
              <w:t>施工期</w:t>
            </w:r>
          </w:p>
        </w:tc>
        <w:tc>
          <w:tcPr>
            <w:tcW w:w="3485" w:type="dxa"/>
            <w:gridSpan w:val="2"/>
            <w:tcBorders>
              <w:top w:val="single" w:color="auto" w:sz="4" w:space="0"/>
              <w:bottom w:val="single" w:color="auto" w:sz="4" w:space="0"/>
              <w:right w:val="single" w:color="auto" w:sz="4" w:space="0"/>
            </w:tcBorders>
            <w:vAlign w:val="center"/>
          </w:tcPr>
          <w:p w14:paraId="4E17EB09">
            <w:pPr>
              <w:adjustRightInd w:val="0"/>
              <w:snapToGrid w:val="0"/>
              <w:jc w:val="center"/>
              <w:rPr>
                <w:b/>
                <w:color w:val="auto"/>
                <w:sz w:val="24"/>
              </w:rPr>
            </w:pPr>
            <w:r>
              <w:rPr>
                <w:b/>
                <w:color w:val="auto"/>
                <w:sz w:val="24"/>
              </w:rPr>
              <w:t>运营期</w:t>
            </w:r>
          </w:p>
        </w:tc>
      </w:tr>
      <w:tr w14:paraId="7609E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104" w:type="dxa"/>
            <w:vMerge w:val="continue"/>
            <w:tcBorders>
              <w:top w:val="single" w:color="auto" w:sz="4" w:space="0"/>
              <w:left w:val="single" w:color="auto" w:sz="4" w:space="0"/>
              <w:bottom w:val="single" w:color="auto" w:sz="4" w:space="0"/>
              <w:tl2br w:val="single" w:color="auto" w:sz="4" w:space="0"/>
            </w:tcBorders>
          </w:tcPr>
          <w:p w14:paraId="4667B379">
            <w:pPr>
              <w:adjustRightInd w:val="0"/>
              <w:snapToGrid w:val="0"/>
              <w:ind w:firstLine="602" w:firstLineChars="250"/>
              <w:rPr>
                <w:b/>
                <w:color w:val="auto"/>
                <w:sz w:val="24"/>
              </w:rPr>
            </w:pPr>
          </w:p>
        </w:tc>
        <w:tc>
          <w:tcPr>
            <w:tcW w:w="2761" w:type="dxa"/>
            <w:tcBorders>
              <w:top w:val="single" w:color="auto" w:sz="4" w:space="0"/>
              <w:bottom w:val="single" w:color="auto" w:sz="4" w:space="0"/>
            </w:tcBorders>
            <w:vAlign w:val="center"/>
          </w:tcPr>
          <w:p w14:paraId="2E41CB62">
            <w:pPr>
              <w:adjustRightInd w:val="0"/>
              <w:snapToGrid w:val="0"/>
              <w:jc w:val="center"/>
              <w:rPr>
                <w:b/>
                <w:color w:val="auto"/>
                <w:sz w:val="24"/>
              </w:rPr>
            </w:pPr>
            <w:r>
              <w:rPr>
                <w:b/>
                <w:color w:val="auto"/>
                <w:sz w:val="24"/>
              </w:rPr>
              <w:t>环境保护措施</w:t>
            </w:r>
          </w:p>
        </w:tc>
        <w:tc>
          <w:tcPr>
            <w:tcW w:w="1936" w:type="dxa"/>
            <w:tcBorders>
              <w:top w:val="single" w:color="auto" w:sz="4" w:space="0"/>
              <w:bottom w:val="single" w:color="auto" w:sz="4" w:space="0"/>
            </w:tcBorders>
            <w:vAlign w:val="center"/>
          </w:tcPr>
          <w:p w14:paraId="10121095">
            <w:pPr>
              <w:adjustRightInd w:val="0"/>
              <w:snapToGrid w:val="0"/>
              <w:jc w:val="center"/>
              <w:rPr>
                <w:b/>
                <w:color w:val="auto"/>
                <w:sz w:val="24"/>
              </w:rPr>
            </w:pPr>
            <w:r>
              <w:rPr>
                <w:b/>
                <w:color w:val="auto"/>
                <w:sz w:val="24"/>
              </w:rPr>
              <w:t>验收要求</w:t>
            </w:r>
          </w:p>
        </w:tc>
        <w:tc>
          <w:tcPr>
            <w:tcW w:w="1923" w:type="dxa"/>
            <w:tcBorders>
              <w:top w:val="single" w:color="auto" w:sz="4" w:space="0"/>
              <w:bottom w:val="single" w:color="auto" w:sz="4" w:space="0"/>
            </w:tcBorders>
            <w:vAlign w:val="center"/>
          </w:tcPr>
          <w:p w14:paraId="3B3C25FC">
            <w:pPr>
              <w:adjustRightInd w:val="0"/>
              <w:snapToGrid w:val="0"/>
              <w:jc w:val="center"/>
              <w:rPr>
                <w:b/>
                <w:color w:val="auto"/>
                <w:sz w:val="24"/>
              </w:rPr>
            </w:pPr>
            <w:r>
              <w:rPr>
                <w:b/>
                <w:color w:val="auto"/>
                <w:sz w:val="24"/>
              </w:rPr>
              <w:t>环境保护措施</w:t>
            </w:r>
          </w:p>
        </w:tc>
        <w:tc>
          <w:tcPr>
            <w:tcW w:w="1562" w:type="dxa"/>
            <w:tcBorders>
              <w:top w:val="single" w:color="auto" w:sz="4" w:space="0"/>
              <w:bottom w:val="single" w:color="auto" w:sz="4" w:space="0"/>
              <w:right w:val="single" w:color="auto" w:sz="4" w:space="0"/>
            </w:tcBorders>
            <w:vAlign w:val="center"/>
          </w:tcPr>
          <w:p w14:paraId="4DB4E82E">
            <w:pPr>
              <w:adjustRightInd w:val="0"/>
              <w:snapToGrid w:val="0"/>
              <w:jc w:val="center"/>
              <w:rPr>
                <w:b/>
                <w:color w:val="auto"/>
                <w:sz w:val="24"/>
              </w:rPr>
            </w:pPr>
            <w:r>
              <w:rPr>
                <w:b/>
                <w:color w:val="auto"/>
                <w:sz w:val="24"/>
              </w:rPr>
              <w:t>验收要求</w:t>
            </w:r>
          </w:p>
        </w:tc>
      </w:tr>
      <w:tr w14:paraId="7EA31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104" w:type="dxa"/>
            <w:tcBorders>
              <w:top w:val="single" w:color="auto" w:sz="4" w:space="0"/>
              <w:left w:val="single" w:color="auto" w:sz="4" w:space="0"/>
              <w:bottom w:val="single" w:color="auto" w:sz="4" w:space="0"/>
            </w:tcBorders>
            <w:vAlign w:val="center"/>
          </w:tcPr>
          <w:p w14:paraId="16E7B706">
            <w:pPr>
              <w:adjustRightInd w:val="0"/>
              <w:snapToGrid w:val="0"/>
              <w:jc w:val="center"/>
              <w:rPr>
                <w:b/>
                <w:color w:val="auto"/>
                <w:sz w:val="24"/>
              </w:rPr>
            </w:pPr>
            <w:r>
              <w:rPr>
                <w:b/>
                <w:color w:val="auto"/>
                <w:sz w:val="24"/>
              </w:rPr>
              <w:t>陆生生态</w:t>
            </w:r>
          </w:p>
        </w:tc>
        <w:tc>
          <w:tcPr>
            <w:tcW w:w="2761" w:type="dxa"/>
            <w:tcBorders>
              <w:top w:val="single" w:color="auto" w:sz="4" w:space="0"/>
              <w:bottom w:val="single" w:color="auto" w:sz="4" w:space="0"/>
            </w:tcBorders>
            <w:vAlign w:val="center"/>
          </w:tcPr>
          <w:p w14:paraId="29ABD53B">
            <w:pPr>
              <w:adjustRightInd w:val="0"/>
              <w:snapToGrid w:val="0"/>
              <w:rPr>
                <w:color w:val="auto"/>
                <w:sz w:val="24"/>
              </w:rPr>
            </w:pPr>
            <w:r>
              <w:rPr>
                <w:color w:val="auto"/>
                <w:sz w:val="24"/>
              </w:rPr>
              <w:t>减少施工面的裸露时间，进行及时的防护工作；开挖的土方作为施工场地平整回填之用；</w:t>
            </w:r>
            <w:r>
              <w:rPr>
                <w:rFonts w:hint="eastAsia"/>
                <w:color w:val="auto"/>
                <w:sz w:val="24"/>
                <w:lang w:val="en-US" w:eastAsia="zh-CN"/>
              </w:rPr>
              <w:t>施</w:t>
            </w:r>
            <w:r>
              <w:rPr>
                <w:color w:val="auto"/>
                <w:sz w:val="24"/>
              </w:rPr>
              <w:t>工场地内开挖临时雨水排水沟，避免雨季水土流失。</w:t>
            </w:r>
          </w:p>
        </w:tc>
        <w:tc>
          <w:tcPr>
            <w:tcW w:w="1936" w:type="dxa"/>
            <w:tcBorders>
              <w:top w:val="single" w:color="auto" w:sz="4" w:space="0"/>
              <w:bottom w:val="single" w:color="auto" w:sz="4" w:space="0"/>
            </w:tcBorders>
            <w:vAlign w:val="center"/>
          </w:tcPr>
          <w:p w14:paraId="3FB09EC7">
            <w:pPr>
              <w:adjustRightInd w:val="0"/>
              <w:snapToGrid w:val="0"/>
              <w:jc w:val="center"/>
              <w:rPr>
                <w:rFonts w:hint="eastAsia" w:eastAsia="宋体"/>
                <w:color w:val="auto"/>
                <w:sz w:val="24"/>
                <w:lang w:val="en-US" w:eastAsia="zh-CN"/>
              </w:rPr>
            </w:pPr>
            <w:r>
              <w:rPr>
                <w:rFonts w:hint="eastAsia"/>
                <w:color w:val="auto"/>
                <w:sz w:val="24"/>
              </w:rPr>
              <w:t>施工作业范围控制在允许施工范围内；落实水保措施，水土流失影响可控</w:t>
            </w:r>
            <w:r>
              <w:rPr>
                <w:rFonts w:hint="eastAsia"/>
                <w:color w:val="auto"/>
                <w:sz w:val="24"/>
                <w:lang w:eastAsia="zh-CN"/>
              </w:rPr>
              <w:t>；</w:t>
            </w:r>
            <w:r>
              <w:rPr>
                <w:rFonts w:hint="eastAsia"/>
                <w:color w:val="auto"/>
                <w:sz w:val="24"/>
                <w:lang w:val="en-US" w:eastAsia="zh-CN"/>
              </w:rPr>
              <w:t>施工占用的</w:t>
            </w:r>
            <w:r>
              <w:rPr>
                <w:rFonts w:hint="eastAsia"/>
                <w:color w:val="auto"/>
                <w:sz w:val="24"/>
              </w:rPr>
              <w:t>绿化、植被恢复</w:t>
            </w:r>
            <w:r>
              <w:rPr>
                <w:rFonts w:hint="eastAsia"/>
                <w:color w:val="auto"/>
                <w:sz w:val="24"/>
                <w:lang w:val="en-US" w:eastAsia="zh-CN"/>
              </w:rPr>
              <w:t>良好</w:t>
            </w:r>
          </w:p>
        </w:tc>
        <w:tc>
          <w:tcPr>
            <w:tcW w:w="1923" w:type="dxa"/>
            <w:tcBorders>
              <w:top w:val="single" w:color="auto" w:sz="4" w:space="0"/>
              <w:bottom w:val="single" w:color="auto" w:sz="4" w:space="0"/>
            </w:tcBorders>
            <w:vAlign w:val="center"/>
          </w:tcPr>
          <w:p w14:paraId="41D7CCE9">
            <w:pPr>
              <w:jc w:val="center"/>
              <w:rPr>
                <w:color w:val="auto"/>
                <w:sz w:val="24"/>
              </w:rPr>
            </w:pPr>
            <w:r>
              <w:rPr>
                <w:color w:val="auto"/>
                <w:sz w:val="24"/>
              </w:rPr>
              <w:t>/</w:t>
            </w:r>
          </w:p>
        </w:tc>
        <w:tc>
          <w:tcPr>
            <w:tcW w:w="1562" w:type="dxa"/>
            <w:tcBorders>
              <w:top w:val="single" w:color="auto" w:sz="4" w:space="0"/>
              <w:bottom w:val="single" w:color="auto" w:sz="4" w:space="0"/>
              <w:right w:val="single" w:color="auto" w:sz="4" w:space="0"/>
            </w:tcBorders>
            <w:vAlign w:val="center"/>
          </w:tcPr>
          <w:p w14:paraId="4BDF4DEC">
            <w:pPr>
              <w:jc w:val="center"/>
              <w:rPr>
                <w:color w:val="auto"/>
                <w:sz w:val="24"/>
              </w:rPr>
            </w:pPr>
            <w:r>
              <w:rPr>
                <w:color w:val="auto"/>
                <w:sz w:val="24"/>
              </w:rPr>
              <w:t>/</w:t>
            </w:r>
          </w:p>
        </w:tc>
      </w:tr>
      <w:tr w14:paraId="2C514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104" w:type="dxa"/>
            <w:tcBorders>
              <w:top w:val="single" w:color="auto" w:sz="4" w:space="0"/>
              <w:left w:val="single" w:color="auto" w:sz="4" w:space="0"/>
              <w:bottom w:val="single" w:color="auto" w:sz="4" w:space="0"/>
            </w:tcBorders>
            <w:vAlign w:val="center"/>
          </w:tcPr>
          <w:p w14:paraId="69280F4A">
            <w:pPr>
              <w:adjustRightInd w:val="0"/>
              <w:snapToGrid w:val="0"/>
              <w:jc w:val="center"/>
              <w:rPr>
                <w:b/>
                <w:color w:val="auto"/>
                <w:sz w:val="24"/>
              </w:rPr>
            </w:pPr>
            <w:r>
              <w:rPr>
                <w:b/>
                <w:color w:val="auto"/>
                <w:sz w:val="24"/>
              </w:rPr>
              <w:t>水生生态</w:t>
            </w:r>
          </w:p>
        </w:tc>
        <w:tc>
          <w:tcPr>
            <w:tcW w:w="2761" w:type="dxa"/>
            <w:tcBorders>
              <w:top w:val="single" w:color="auto" w:sz="4" w:space="0"/>
              <w:bottom w:val="single" w:color="auto" w:sz="4" w:space="0"/>
            </w:tcBorders>
            <w:vAlign w:val="center"/>
          </w:tcPr>
          <w:p w14:paraId="673BEAC2">
            <w:pPr>
              <w:adjustRightInd w:val="0"/>
              <w:snapToGrid w:val="0"/>
              <w:jc w:val="center"/>
              <w:rPr>
                <w:color w:val="auto"/>
                <w:sz w:val="24"/>
              </w:rPr>
            </w:pPr>
            <w:r>
              <w:rPr>
                <w:color w:val="auto"/>
                <w:sz w:val="24"/>
              </w:rPr>
              <w:t>本项目无直排废水</w:t>
            </w:r>
          </w:p>
        </w:tc>
        <w:tc>
          <w:tcPr>
            <w:tcW w:w="1936" w:type="dxa"/>
            <w:tcBorders>
              <w:top w:val="single" w:color="auto" w:sz="4" w:space="0"/>
              <w:bottom w:val="single" w:color="auto" w:sz="4" w:space="0"/>
            </w:tcBorders>
            <w:vAlign w:val="center"/>
          </w:tcPr>
          <w:p w14:paraId="5879A4F7">
            <w:pPr>
              <w:jc w:val="center"/>
              <w:rPr>
                <w:color w:val="auto"/>
                <w:sz w:val="24"/>
              </w:rPr>
            </w:pPr>
            <w:r>
              <w:rPr>
                <w:color w:val="auto"/>
                <w:sz w:val="24"/>
              </w:rPr>
              <w:t>/</w:t>
            </w:r>
          </w:p>
        </w:tc>
        <w:tc>
          <w:tcPr>
            <w:tcW w:w="1923" w:type="dxa"/>
            <w:tcBorders>
              <w:top w:val="single" w:color="auto" w:sz="4" w:space="0"/>
              <w:bottom w:val="single" w:color="auto" w:sz="4" w:space="0"/>
            </w:tcBorders>
            <w:vAlign w:val="center"/>
          </w:tcPr>
          <w:p w14:paraId="3C117956">
            <w:pPr>
              <w:jc w:val="center"/>
              <w:rPr>
                <w:color w:val="auto"/>
                <w:sz w:val="24"/>
              </w:rPr>
            </w:pPr>
            <w:r>
              <w:rPr>
                <w:color w:val="auto"/>
                <w:sz w:val="24"/>
              </w:rPr>
              <w:t>/</w:t>
            </w:r>
          </w:p>
        </w:tc>
        <w:tc>
          <w:tcPr>
            <w:tcW w:w="1562" w:type="dxa"/>
            <w:tcBorders>
              <w:top w:val="single" w:color="auto" w:sz="4" w:space="0"/>
              <w:bottom w:val="single" w:color="auto" w:sz="4" w:space="0"/>
              <w:right w:val="single" w:color="auto" w:sz="4" w:space="0"/>
            </w:tcBorders>
            <w:vAlign w:val="center"/>
          </w:tcPr>
          <w:p w14:paraId="2EC03BA4">
            <w:pPr>
              <w:jc w:val="center"/>
              <w:rPr>
                <w:color w:val="auto"/>
                <w:sz w:val="24"/>
              </w:rPr>
            </w:pPr>
            <w:r>
              <w:rPr>
                <w:color w:val="auto"/>
                <w:sz w:val="24"/>
              </w:rPr>
              <w:t>/</w:t>
            </w:r>
          </w:p>
        </w:tc>
      </w:tr>
      <w:tr w14:paraId="25C4E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104" w:type="dxa"/>
            <w:tcBorders>
              <w:top w:val="single" w:color="auto" w:sz="4" w:space="0"/>
              <w:left w:val="single" w:color="auto" w:sz="4" w:space="0"/>
              <w:bottom w:val="single" w:color="auto" w:sz="4" w:space="0"/>
            </w:tcBorders>
            <w:vAlign w:val="center"/>
          </w:tcPr>
          <w:p w14:paraId="48BDEBAF">
            <w:pPr>
              <w:adjustRightInd w:val="0"/>
              <w:snapToGrid w:val="0"/>
              <w:jc w:val="center"/>
              <w:rPr>
                <w:b/>
                <w:color w:val="auto"/>
                <w:sz w:val="24"/>
              </w:rPr>
            </w:pPr>
            <w:r>
              <w:rPr>
                <w:b/>
                <w:color w:val="auto"/>
                <w:sz w:val="24"/>
              </w:rPr>
              <w:t>地表水环境</w:t>
            </w:r>
          </w:p>
        </w:tc>
        <w:tc>
          <w:tcPr>
            <w:tcW w:w="2761" w:type="dxa"/>
            <w:tcBorders>
              <w:top w:val="single" w:color="auto" w:sz="4" w:space="0"/>
              <w:bottom w:val="single" w:color="auto" w:sz="4" w:space="0"/>
            </w:tcBorders>
            <w:vAlign w:val="center"/>
          </w:tcPr>
          <w:p w14:paraId="49609281">
            <w:pPr>
              <w:autoSpaceDE w:val="0"/>
              <w:autoSpaceDN w:val="0"/>
              <w:adjustRightInd w:val="0"/>
              <w:jc w:val="left"/>
              <w:rPr>
                <w:color w:val="auto"/>
                <w:sz w:val="24"/>
              </w:rPr>
            </w:pPr>
            <w:r>
              <w:rPr>
                <w:rFonts w:hint="eastAsia"/>
                <w:color w:val="auto"/>
                <w:sz w:val="24"/>
              </w:rPr>
              <w:t>施工废水：</w:t>
            </w:r>
            <w:r>
              <w:rPr>
                <w:rFonts w:hint="eastAsia"/>
                <w:color w:val="auto"/>
                <w:sz w:val="24"/>
                <w:lang w:val="en-US" w:eastAsia="zh-CN"/>
              </w:rPr>
              <w:t>沉淀池</w:t>
            </w:r>
            <w:r>
              <w:rPr>
                <w:rFonts w:hint="eastAsia"/>
                <w:color w:val="auto"/>
                <w:sz w:val="24"/>
              </w:rPr>
              <w:t>处理后回用于洒水抑尘。生活污水：项目内无施工人员生活污水产生。</w:t>
            </w:r>
          </w:p>
        </w:tc>
        <w:tc>
          <w:tcPr>
            <w:tcW w:w="1936" w:type="dxa"/>
            <w:tcBorders>
              <w:top w:val="single" w:color="auto" w:sz="4" w:space="0"/>
              <w:bottom w:val="single" w:color="auto" w:sz="4" w:space="0"/>
            </w:tcBorders>
            <w:vAlign w:val="center"/>
          </w:tcPr>
          <w:p w14:paraId="3A26612A">
            <w:pPr>
              <w:adjustRightInd w:val="0"/>
              <w:snapToGrid w:val="0"/>
              <w:jc w:val="center"/>
              <w:rPr>
                <w:color w:val="auto"/>
                <w:sz w:val="24"/>
              </w:rPr>
            </w:pPr>
            <w:r>
              <w:rPr>
                <w:rFonts w:hint="eastAsia"/>
                <w:color w:val="auto"/>
                <w:sz w:val="24"/>
              </w:rPr>
              <w:t>未对周边水体产生明显不利影响</w:t>
            </w:r>
          </w:p>
        </w:tc>
        <w:tc>
          <w:tcPr>
            <w:tcW w:w="1923" w:type="dxa"/>
            <w:tcBorders>
              <w:top w:val="single" w:color="auto" w:sz="4" w:space="0"/>
              <w:bottom w:val="single" w:color="auto" w:sz="4" w:space="0"/>
            </w:tcBorders>
            <w:vAlign w:val="center"/>
          </w:tcPr>
          <w:p w14:paraId="5F28A81E">
            <w:pPr>
              <w:jc w:val="center"/>
              <w:rPr>
                <w:color w:val="auto"/>
                <w:sz w:val="24"/>
              </w:rPr>
            </w:pPr>
            <w:r>
              <w:rPr>
                <w:color w:val="auto"/>
                <w:sz w:val="24"/>
              </w:rPr>
              <w:t>/</w:t>
            </w:r>
          </w:p>
        </w:tc>
        <w:tc>
          <w:tcPr>
            <w:tcW w:w="1562" w:type="dxa"/>
            <w:tcBorders>
              <w:top w:val="single" w:color="auto" w:sz="4" w:space="0"/>
              <w:bottom w:val="single" w:color="auto" w:sz="4" w:space="0"/>
              <w:right w:val="single" w:color="auto" w:sz="4" w:space="0"/>
            </w:tcBorders>
            <w:vAlign w:val="center"/>
          </w:tcPr>
          <w:p w14:paraId="1F635929">
            <w:pPr>
              <w:jc w:val="center"/>
              <w:rPr>
                <w:color w:val="auto"/>
                <w:sz w:val="24"/>
              </w:rPr>
            </w:pPr>
            <w:r>
              <w:rPr>
                <w:color w:val="auto"/>
                <w:sz w:val="24"/>
              </w:rPr>
              <w:t>/</w:t>
            </w:r>
          </w:p>
        </w:tc>
      </w:tr>
      <w:tr w14:paraId="54999D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04" w:type="dxa"/>
            <w:tcBorders>
              <w:top w:val="single" w:color="auto" w:sz="4" w:space="0"/>
              <w:left w:val="single" w:color="auto" w:sz="4" w:space="0"/>
              <w:bottom w:val="single" w:color="auto" w:sz="4" w:space="0"/>
            </w:tcBorders>
            <w:vAlign w:val="center"/>
          </w:tcPr>
          <w:p w14:paraId="1C5139D2">
            <w:pPr>
              <w:adjustRightInd w:val="0"/>
              <w:snapToGrid w:val="0"/>
              <w:jc w:val="center"/>
              <w:rPr>
                <w:b/>
                <w:color w:val="auto"/>
                <w:sz w:val="24"/>
              </w:rPr>
            </w:pPr>
            <w:r>
              <w:rPr>
                <w:b/>
                <w:color w:val="auto"/>
                <w:sz w:val="24"/>
              </w:rPr>
              <w:t>地下水及土壤环境</w:t>
            </w:r>
          </w:p>
        </w:tc>
        <w:tc>
          <w:tcPr>
            <w:tcW w:w="2761" w:type="dxa"/>
            <w:tcBorders>
              <w:top w:val="single" w:color="auto" w:sz="4" w:space="0"/>
              <w:bottom w:val="single" w:color="auto" w:sz="4" w:space="0"/>
            </w:tcBorders>
            <w:vAlign w:val="center"/>
          </w:tcPr>
          <w:p w14:paraId="1EF27CEE">
            <w:pPr>
              <w:adjustRightInd w:val="0"/>
              <w:snapToGrid w:val="0"/>
              <w:jc w:val="center"/>
              <w:rPr>
                <w:color w:val="auto"/>
                <w:sz w:val="24"/>
              </w:rPr>
            </w:pPr>
            <w:r>
              <w:rPr>
                <w:color w:val="auto"/>
                <w:sz w:val="24"/>
              </w:rPr>
              <w:t>/</w:t>
            </w:r>
          </w:p>
        </w:tc>
        <w:tc>
          <w:tcPr>
            <w:tcW w:w="1936" w:type="dxa"/>
            <w:tcBorders>
              <w:top w:val="single" w:color="auto" w:sz="4" w:space="0"/>
              <w:bottom w:val="single" w:color="auto" w:sz="4" w:space="0"/>
            </w:tcBorders>
            <w:vAlign w:val="center"/>
          </w:tcPr>
          <w:p w14:paraId="68FA5717">
            <w:pPr>
              <w:adjustRightInd w:val="0"/>
              <w:snapToGrid w:val="0"/>
              <w:jc w:val="center"/>
              <w:rPr>
                <w:color w:val="auto"/>
                <w:sz w:val="24"/>
              </w:rPr>
            </w:pPr>
            <w:r>
              <w:rPr>
                <w:color w:val="auto"/>
                <w:sz w:val="24"/>
              </w:rPr>
              <w:t>/</w:t>
            </w:r>
          </w:p>
        </w:tc>
        <w:tc>
          <w:tcPr>
            <w:tcW w:w="1923" w:type="dxa"/>
            <w:tcBorders>
              <w:top w:val="single" w:color="auto" w:sz="4" w:space="0"/>
              <w:bottom w:val="single" w:color="auto" w:sz="4" w:space="0"/>
            </w:tcBorders>
            <w:vAlign w:val="center"/>
          </w:tcPr>
          <w:p w14:paraId="744773EA">
            <w:pPr>
              <w:jc w:val="center"/>
              <w:rPr>
                <w:color w:val="auto"/>
                <w:sz w:val="24"/>
              </w:rPr>
            </w:pPr>
            <w:r>
              <w:rPr>
                <w:color w:val="auto"/>
                <w:sz w:val="24"/>
              </w:rPr>
              <w:t>/</w:t>
            </w:r>
          </w:p>
        </w:tc>
        <w:tc>
          <w:tcPr>
            <w:tcW w:w="1562" w:type="dxa"/>
            <w:tcBorders>
              <w:top w:val="single" w:color="auto" w:sz="4" w:space="0"/>
              <w:bottom w:val="single" w:color="auto" w:sz="4" w:space="0"/>
              <w:right w:val="single" w:color="auto" w:sz="4" w:space="0"/>
            </w:tcBorders>
            <w:vAlign w:val="center"/>
          </w:tcPr>
          <w:p w14:paraId="2BB91E4F">
            <w:pPr>
              <w:jc w:val="center"/>
              <w:rPr>
                <w:color w:val="auto"/>
                <w:sz w:val="24"/>
              </w:rPr>
            </w:pPr>
            <w:r>
              <w:rPr>
                <w:color w:val="auto"/>
                <w:sz w:val="24"/>
              </w:rPr>
              <w:t>/</w:t>
            </w:r>
          </w:p>
        </w:tc>
      </w:tr>
      <w:tr w14:paraId="72A20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1104" w:type="dxa"/>
            <w:tcBorders>
              <w:top w:val="single" w:color="auto" w:sz="4" w:space="0"/>
              <w:left w:val="single" w:color="auto" w:sz="4" w:space="0"/>
              <w:bottom w:val="single" w:color="auto" w:sz="4" w:space="0"/>
            </w:tcBorders>
            <w:vAlign w:val="center"/>
          </w:tcPr>
          <w:p w14:paraId="5291D041">
            <w:pPr>
              <w:adjustRightInd w:val="0"/>
              <w:snapToGrid w:val="0"/>
              <w:jc w:val="center"/>
              <w:rPr>
                <w:b/>
                <w:color w:val="auto"/>
                <w:sz w:val="24"/>
              </w:rPr>
            </w:pPr>
            <w:r>
              <w:rPr>
                <w:b/>
                <w:color w:val="auto"/>
                <w:sz w:val="24"/>
              </w:rPr>
              <w:t>声环境</w:t>
            </w:r>
          </w:p>
        </w:tc>
        <w:tc>
          <w:tcPr>
            <w:tcW w:w="2761" w:type="dxa"/>
            <w:tcBorders>
              <w:top w:val="single" w:color="auto" w:sz="4" w:space="0"/>
              <w:bottom w:val="single" w:color="auto" w:sz="4" w:space="0"/>
            </w:tcBorders>
            <w:vAlign w:val="center"/>
          </w:tcPr>
          <w:p w14:paraId="79D45812">
            <w:pPr>
              <w:adjustRightInd w:val="0"/>
              <w:snapToGrid w:val="0"/>
              <w:rPr>
                <w:color w:val="auto"/>
                <w:sz w:val="24"/>
              </w:rPr>
            </w:pPr>
            <w:r>
              <w:rPr>
                <w:color w:val="auto"/>
                <w:sz w:val="24"/>
              </w:rPr>
              <w:t>合理布置噪声源位置，并加强施工噪声的管理</w:t>
            </w:r>
          </w:p>
        </w:tc>
        <w:tc>
          <w:tcPr>
            <w:tcW w:w="1936" w:type="dxa"/>
            <w:tcBorders>
              <w:top w:val="single" w:color="auto" w:sz="4" w:space="0"/>
              <w:bottom w:val="single" w:color="auto" w:sz="4" w:space="0"/>
            </w:tcBorders>
            <w:vAlign w:val="center"/>
          </w:tcPr>
          <w:p w14:paraId="265C6B22">
            <w:pPr>
              <w:autoSpaceDE w:val="0"/>
              <w:autoSpaceDN w:val="0"/>
              <w:adjustRightInd w:val="0"/>
              <w:rPr>
                <w:color w:val="auto"/>
                <w:sz w:val="24"/>
              </w:rPr>
            </w:pPr>
            <w:r>
              <w:rPr>
                <w:color w:val="auto"/>
                <w:kern w:val="0"/>
                <w:sz w:val="24"/>
              </w:rPr>
              <w:t>厂界四周噪声执行《建筑施工场界环境噪声排放标准》（GB12523-2011）中规定的限值</w:t>
            </w:r>
          </w:p>
        </w:tc>
        <w:tc>
          <w:tcPr>
            <w:tcW w:w="1923" w:type="dxa"/>
            <w:tcBorders>
              <w:top w:val="single" w:color="auto" w:sz="4" w:space="0"/>
              <w:bottom w:val="single" w:color="auto" w:sz="4" w:space="0"/>
            </w:tcBorders>
            <w:vAlign w:val="center"/>
          </w:tcPr>
          <w:p w14:paraId="7BF75B5E">
            <w:pPr>
              <w:jc w:val="center"/>
              <w:rPr>
                <w:color w:val="auto"/>
                <w:sz w:val="24"/>
              </w:rPr>
            </w:pPr>
            <w:r>
              <w:rPr>
                <w:color w:val="auto"/>
                <w:sz w:val="24"/>
              </w:rPr>
              <w:t>/</w:t>
            </w:r>
          </w:p>
        </w:tc>
        <w:tc>
          <w:tcPr>
            <w:tcW w:w="1562" w:type="dxa"/>
            <w:tcBorders>
              <w:top w:val="single" w:color="auto" w:sz="4" w:space="0"/>
              <w:bottom w:val="single" w:color="auto" w:sz="4" w:space="0"/>
              <w:right w:val="single" w:color="auto" w:sz="4" w:space="0"/>
            </w:tcBorders>
            <w:vAlign w:val="center"/>
          </w:tcPr>
          <w:p w14:paraId="7273C8A1">
            <w:pPr>
              <w:jc w:val="center"/>
              <w:rPr>
                <w:color w:val="auto"/>
                <w:sz w:val="24"/>
              </w:rPr>
            </w:pPr>
            <w:r>
              <w:rPr>
                <w:color w:val="auto"/>
                <w:sz w:val="24"/>
              </w:rPr>
              <w:t>/</w:t>
            </w:r>
          </w:p>
        </w:tc>
      </w:tr>
      <w:tr w14:paraId="409DA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tcBorders>
              <w:top w:val="single" w:color="auto" w:sz="4" w:space="0"/>
              <w:left w:val="single" w:color="auto" w:sz="4" w:space="0"/>
              <w:bottom w:val="single" w:color="auto" w:sz="4" w:space="0"/>
            </w:tcBorders>
            <w:vAlign w:val="center"/>
          </w:tcPr>
          <w:p w14:paraId="6D5ABD66">
            <w:pPr>
              <w:adjustRightInd w:val="0"/>
              <w:snapToGrid w:val="0"/>
              <w:jc w:val="center"/>
              <w:rPr>
                <w:b/>
                <w:color w:val="auto"/>
                <w:sz w:val="24"/>
              </w:rPr>
            </w:pPr>
            <w:r>
              <w:rPr>
                <w:b/>
                <w:color w:val="auto"/>
                <w:sz w:val="24"/>
              </w:rPr>
              <w:t>大气环境</w:t>
            </w:r>
          </w:p>
        </w:tc>
        <w:tc>
          <w:tcPr>
            <w:tcW w:w="2761" w:type="dxa"/>
            <w:tcBorders>
              <w:top w:val="single" w:color="auto" w:sz="4" w:space="0"/>
              <w:bottom w:val="single" w:color="auto" w:sz="4" w:space="0"/>
            </w:tcBorders>
            <w:vAlign w:val="center"/>
          </w:tcPr>
          <w:p w14:paraId="7C163B39">
            <w:pPr>
              <w:rPr>
                <w:color w:val="auto"/>
                <w:sz w:val="24"/>
              </w:rPr>
            </w:pPr>
            <w:r>
              <w:rPr>
                <w:color w:val="auto"/>
                <w:sz w:val="24"/>
              </w:rPr>
              <w:t>规范堆放、遮盖、洒水；运输车辆设置遮挡设施；车辆限速行驶</w:t>
            </w:r>
          </w:p>
        </w:tc>
        <w:tc>
          <w:tcPr>
            <w:tcW w:w="1936" w:type="dxa"/>
            <w:tcBorders>
              <w:top w:val="single" w:color="auto" w:sz="4" w:space="0"/>
              <w:bottom w:val="single" w:color="auto" w:sz="4" w:space="0"/>
            </w:tcBorders>
            <w:vAlign w:val="center"/>
          </w:tcPr>
          <w:p w14:paraId="7A5CD9C8">
            <w:pPr>
              <w:rPr>
                <w:color w:val="auto"/>
                <w:sz w:val="24"/>
              </w:rPr>
            </w:pPr>
            <w:r>
              <w:rPr>
                <w:color w:val="auto"/>
                <w:sz w:val="24"/>
              </w:rPr>
              <w:t>《大气污染物综合排放标准》（GB16297-1996）中无组织排放监控浓度限值</w:t>
            </w:r>
          </w:p>
        </w:tc>
        <w:tc>
          <w:tcPr>
            <w:tcW w:w="1923" w:type="dxa"/>
            <w:tcBorders>
              <w:top w:val="single" w:color="auto" w:sz="4" w:space="0"/>
              <w:bottom w:val="single" w:color="auto" w:sz="4" w:space="0"/>
            </w:tcBorders>
            <w:vAlign w:val="center"/>
          </w:tcPr>
          <w:p w14:paraId="6C6BAEBE">
            <w:pPr>
              <w:jc w:val="center"/>
              <w:rPr>
                <w:color w:val="auto"/>
                <w:sz w:val="24"/>
              </w:rPr>
            </w:pPr>
            <w:r>
              <w:rPr>
                <w:color w:val="auto"/>
                <w:sz w:val="24"/>
              </w:rPr>
              <w:t>/</w:t>
            </w:r>
          </w:p>
        </w:tc>
        <w:tc>
          <w:tcPr>
            <w:tcW w:w="1562" w:type="dxa"/>
            <w:tcBorders>
              <w:top w:val="single" w:color="auto" w:sz="4" w:space="0"/>
              <w:bottom w:val="single" w:color="auto" w:sz="4" w:space="0"/>
              <w:right w:val="single" w:color="auto" w:sz="4" w:space="0"/>
            </w:tcBorders>
            <w:vAlign w:val="center"/>
          </w:tcPr>
          <w:p w14:paraId="13CDE679">
            <w:pPr>
              <w:jc w:val="center"/>
              <w:rPr>
                <w:color w:val="auto"/>
                <w:sz w:val="24"/>
              </w:rPr>
            </w:pPr>
            <w:r>
              <w:rPr>
                <w:color w:val="auto"/>
                <w:sz w:val="24"/>
              </w:rPr>
              <w:t>/</w:t>
            </w:r>
          </w:p>
        </w:tc>
      </w:tr>
      <w:tr w14:paraId="3B8C0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tcBorders>
              <w:top w:val="single" w:color="auto" w:sz="4" w:space="0"/>
              <w:left w:val="single" w:color="auto" w:sz="4" w:space="0"/>
              <w:bottom w:val="single" w:color="auto" w:sz="4" w:space="0"/>
            </w:tcBorders>
            <w:vAlign w:val="center"/>
          </w:tcPr>
          <w:p w14:paraId="088E99F6">
            <w:pPr>
              <w:adjustRightInd w:val="0"/>
              <w:snapToGrid w:val="0"/>
              <w:jc w:val="center"/>
              <w:rPr>
                <w:b/>
                <w:bCs/>
                <w:color w:val="auto"/>
                <w:sz w:val="24"/>
              </w:rPr>
            </w:pPr>
            <w:r>
              <w:rPr>
                <w:b/>
                <w:bCs/>
                <w:color w:val="auto"/>
                <w:sz w:val="24"/>
              </w:rPr>
              <w:t>固体废物</w:t>
            </w:r>
          </w:p>
        </w:tc>
        <w:tc>
          <w:tcPr>
            <w:tcW w:w="2761" w:type="dxa"/>
            <w:tcBorders>
              <w:top w:val="single" w:color="auto" w:sz="4" w:space="0"/>
              <w:bottom w:val="single" w:color="auto" w:sz="4" w:space="0"/>
            </w:tcBorders>
            <w:vAlign w:val="center"/>
          </w:tcPr>
          <w:p w14:paraId="66BBA84C">
            <w:pPr>
              <w:autoSpaceDE w:val="0"/>
              <w:autoSpaceDN w:val="0"/>
              <w:adjustRightInd w:val="0"/>
              <w:rPr>
                <w:color w:val="auto"/>
                <w:sz w:val="24"/>
              </w:rPr>
            </w:pPr>
            <w:r>
              <w:rPr>
                <w:color w:val="auto"/>
                <w:sz w:val="24"/>
              </w:rPr>
              <w:t>土方可在场内平衡</w:t>
            </w:r>
            <w:r>
              <w:rPr>
                <w:rFonts w:hint="eastAsia"/>
                <w:color w:val="auto"/>
                <w:sz w:val="24"/>
                <w:lang w:eastAsia="zh-CN"/>
              </w:rPr>
              <w:t>。</w:t>
            </w:r>
            <w:r>
              <w:rPr>
                <w:rFonts w:hint="eastAsia"/>
                <w:color w:val="auto"/>
                <w:kern w:val="0"/>
                <w:sz w:val="24"/>
              </w:rPr>
              <w:t>废包装物、废支架和管道边角料有利于价值的</w:t>
            </w:r>
            <w:r>
              <w:rPr>
                <w:rFonts w:hint="eastAsia"/>
                <w:color w:val="auto"/>
                <w:kern w:val="0"/>
                <w:sz w:val="24"/>
                <w:lang w:eastAsia="zh-CN"/>
              </w:rPr>
              <w:t>部分</w:t>
            </w:r>
            <w:r>
              <w:rPr>
                <w:rFonts w:hint="eastAsia"/>
                <w:color w:val="auto"/>
                <w:kern w:val="0"/>
                <w:sz w:val="24"/>
              </w:rPr>
              <w:t>进行回收利用，不能回收的部分按一般工业固体废物送至当地主管部门指定的消纳场进行处置</w:t>
            </w:r>
            <w:r>
              <w:rPr>
                <w:color w:val="auto"/>
                <w:kern w:val="0"/>
                <w:sz w:val="24"/>
              </w:rPr>
              <w:t>；生活垃圾集中收集统一。</w:t>
            </w:r>
            <w:r>
              <w:rPr>
                <w:rFonts w:hint="eastAsia"/>
                <w:color w:val="auto"/>
                <w:sz w:val="24"/>
                <w:u w:val="single"/>
              </w:rPr>
              <w:t>废油漆桶、废油漆刷，属于危险废物</w:t>
            </w:r>
            <w:r>
              <w:rPr>
                <w:rFonts w:hint="eastAsia"/>
                <w:color w:val="auto"/>
                <w:sz w:val="24"/>
                <w:u w:val="single"/>
                <w:lang w:val="en-US" w:eastAsia="zh-CN"/>
              </w:rPr>
              <w:t>HW49（900-041-49），由施工单位收集后</w:t>
            </w:r>
            <w:r>
              <w:rPr>
                <w:rFonts w:hint="eastAsia"/>
                <w:color w:val="auto"/>
                <w:sz w:val="24"/>
                <w:u w:val="single"/>
              </w:rPr>
              <w:t>委托有资质单位处理</w:t>
            </w:r>
            <w:r>
              <w:rPr>
                <w:rFonts w:hint="eastAsia"/>
                <w:color w:val="auto"/>
                <w:sz w:val="24"/>
                <w:u w:val="single"/>
                <w:lang w:eastAsia="zh-CN"/>
              </w:rPr>
              <w:t>。凝缩油（属烃类冷凝液）</w:t>
            </w:r>
            <w:r>
              <w:rPr>
                <w:rFonts w:hint="eastAsia"/>
                <w:color w:val="auto"/>
                <w:sz w:val="24"/>
                <w:u w:val="single"/>
              </w:rPr>
              <w:t>废旧管道属于危险废物</w:t>
            </w:r>
            <w:r>
              <w:rPr>
                <w:rFonts w:hint="eastAsia"/>
                <w:color w:val="auto"/>
                <w:sz w:val="24"/>
                <w:u w:val="single"/>
                <w:lang w:val="en-US" w:eastAsia="zh-CN"/>
              </w:rPr>
              <w:t>HW49（900-041-49），</w:t>
            </w:r>
            <w:r>
              <w:rPr>
                <w:rFonts w:hint="eastAsia"/>
                <w:color w:val="auto"/>
                <w:sz w:val="24"/>
                <w:szCs w:val="24"/>
                <w:u w:val="single"/>
              </w:rPr>
              <w:t>由泰兴石化回收并妥善保管，作为备用管材在厂内检修时进行利用</w:t>
            </w:r>
            <w:r>
              <w:rPr>
                <w:rFonts w:hint="eastAsia"/>
                <w:color w:val="auto"/>
                <w:sz w:val="24"/>
                <w:szCs w:val="24"/>
                <w:u w:val="single"/>
                <w:lang w:eastAsia="zh-CN"/>
              </w:rPr>
              <w:t>，其他废管、支架</w:t>
            </w:r>
            <w:r>
              <w:rPr>
                <w:rFonts w:hint="eastAsia"/>
                <w:color w:val="auto"/>
                <w:sz w:val="24"/>
                <w:u w:val="single"/>
                <w:lang w:val="en-US" w:eastAsia="zh-CN"/>
              </w:rPr>
              <w:t>等</w:t>
            </w:r>
            <w:r>
              <w:rPr>
                <w:rFonts w:hint="eastAsia"/>
                <w:color w:val="auto"/>
                <w:sz w:val="24"/>
                <w:szCs w:val="24"/>
                <w:u w:val="single"/>
                <w:lang w:eastAsia="zh-CN"/>
              </w:rPr>
              <w:t>一般固废按照材质不同进行废旧物资回收利用或外售。</w:t>
            </w:r>
            <w:r>
              <w:rPr>
                <w:rFonts w:hint="eastAsia" w:cs="Times New Roman"/>
                <w:color w:val="auto"/>
                <w:kern w:val="2"/>
                <w:sz w:val="24"/>
                <w:szCs w:val="24"/>
                <w:u w:val="single"/>
                <w:lang w:val="en-US" w:eastAsia="zh-CN" w:bidi="ar-SA"/>
              </w:rPr>
              <w:t>沉淀池</w:t>
            </w:r>
            <w:r>
              <w:rPr>
                <w:rFonts w:hint="eastAsia" w:ascii="Times New Roman" w:hAnsi="Times New Roman" w:eastAsia="宋体" w:cs="Times New Roman"/>
                <w:color w:val="auto"/>
                <w:kern w:val="2"/>
                <w:sz w:val="24"/>
                <w:szCs w:val="24"/>
                <w:u w:val="single"/>
                <w:lang w:val="en-US" w:eastAsia="zh-CN" w:bidi="ar-SA"/>
              </w:rPr>
              <w:t>产生</w:t>
            </w:r>
            <w:r>
              <w:rPr>
                <w:rFonts w:hint="eastAsia" w:cs="Times New Roman"/>
                <w:color w:val="auto"/>
                <w:kern w:val="2"/>
                <w:sz w:val="24"/>
                <w:szCs w:val="24"/>
                <w:u w:val="single"/>
                <w:lang w:val="en-US" w:eastAsia="zh-CN" w:bidi="ar-SA"/>
              </w:rPr>
              <w:t>沉渣</w:t>
            </w:r>
            <w:r>
              <w:rPr>
                <w:rFonts w:hint="eastAsia" w:ascii="Times New Roman" w:hAnsi="Times New Roman" w:eastAsia="宋体" w:cs="Times New Roman"/>
                <w:color w:val="auto"/>
                <w:kern w:val="2"/>
                <w:sz w:val="24"/>
                <w:szCs w:val="24"/>
                <w:u w:val="single"/>
                <w:lang w:val="en-US" w:eastAsia="zh-CN" w:bidi="ar-SA"/>
              </w:rPr>
              <w:t>定期清掏自然脱水干化后与建筑垃圾一并清运至当地主管部门指定的消纳场进行处置</w:t>
            </w:r>
            <w:r>
              <w:rPr>
                <w:rFonts w:hint="eastAsia" w:cs="Times New Roman"/>
                <w:color w:val="auto"/>
                <w:kern w:val="2"/>
                <w:sz w:val="24"/>
                <w:szCs w:val="24"/>
                <w:u w:val="single"/>
                <w:lang w:val="en-US" w:eastAsia="zh-CN" w:bidi="ar-SA"/>
              </w:rPr>
              <w:t>。</w:t>
            </w:r>
          </w:p>
        </w:tc>
        <w:tc>
          <w:tcPr>
            <w:tcW w:w="1936" w:type="dxa"/>
            <w:tcBorders>
              <w:top w:val="single" w:color="auto" w:sz="4" w:space="0"/>
              <w:bottom w:val="single" w:color="auto" w:sz="4" w:space="0"/>
            </w:tcBorders>
            <w:vAlign w:val="center"/>
          </w:tcPr>
          <w:p w14:paraId="3BFB4638">
            <w:pPr>
              <w:rPr>
                <w:rFonts w:hint="default" w:eastAsia="宋体"/>
                <w:color w:val="auto"/>
                <w:sz w:val="24"/>
                <w:lang w:val="en-US" w:eastAsia="zh-CN"/>
              </w:rPr>
            </w:pPr>
            <w:r>
              <w:rPr>
                <w:rFonts w:hint="eastAsia"/>
                <w:color w:val="auto"/>
                <w:sz w:val="24"/>
                <w:lang w:val="en-US" w:eastAsia="zh-CN"/>
              </w:rPr>
              <w:t>固体废物妥善处理，未对周边环境产生不利影响。</w:t>
            </w:r>
          </w:p>
        </w:tc>
        <w:tc>
          <w:tcPr>
            <w:tcW w:w="1923" w:type="dxa"/>
            <w:tcBorders>
              <w:top w:val="single" w:color="auto" w:sz="4" w:space="0"/>
              <w:bottom w:val="single" w:color="auto" w:sz="4" w:space="0"/>
            </w:tcBorders>
            <w:vAlign w:val="center"/>
          </w:tcPr>
          <w:p w14:paraId="167752F1">
            <w:pPr>
              <w:jc w:val="center"/>
              <w:rPr>
                <w:color w:val="auto"/>
                <w:sz w:val="24"/>
              </w:rPr>
            </w:pPr>
            <w:r>
              <w:rPr>
                <w:color w:val="auto"/>
                <w:sz w:val="24"/>
              </w:rPr>
              <w:t>/</w:t>
            </w:r>
          </w:p>
        </w:tc>
        <w:tc>
          <w:tcPr>
            <w:tcW w:w="1562" w:type="dxa"/>
            <w:tcBorders>
              <w:top w:val="single" w:color="auto" w:sz="4" w:space="0"/>
              <w:bottom w:val="single" w:color="auto" w:sz="4" w:space="0"/>
              <w:right w:val="single" w:color="auto" w:sz="4" w:space="0"/>
            </w:tcBorders>
            <w:vAlign w:val="center"/>
          </w:tcPr>
          <w:p w14:paraId="5F3CA48F">
            <w:pPr>
              <w:jc w:val="center"/>
              <w:rPr>
                <w:color w:val="auto"/>
                <w:sz w:val="24"/>
              </w:rPr>
            </w:pPr>
            <w:r>
              <w:rPr>
                <w:color w:val="auto"/>
                <w:sz w:val="24"/>
              </w:rPr>
              <w:t>/</w:t>
            </w:r>
          </w:p>
        </w:tc>
      </w:tr>
      <w:tr w14:paraId="3CC88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tcBorders>
              <w:top w:val="single" w:color="auto" w:sz="4" w:space="0"/>
              <w:left w:val="single" w:color="auto" w:sz="4" w:space="0"/>
              <w:bottom w:val="single" w:color="auto" w:sz="4" w:space="0"/>
            </w:tcBorders>
            <w:vAlign w:val="center"/>
          </w:tcPr>
          <w:p w14:paraId="7AD34D8B">
            <w:pPr>
              <w:adjustRightInd w:val="0"/>
              <w:snapToGrid w:val="0"/>
              <w:jc w:val="center"/>
              <w:rPr>
                <w:b/>
                <w:bCs/>
                <w:color w:val="auto"/>
                <w:sz w:val="24"/>
              </w:rPr>
            </w:pPr>
            <w:r>
              <w:rPr>
                <w:b/>
                <w:bCs/>
                <w:color w:val="auto"/>
                <w:sz w:val="24"/>
              </w:rPr>
              <w:t>电磁环境</w:t>
            </w:r>
          </w:p>
        </w:tc>
        <w:tc>
          <w:tcPr>
            <w:tcW w:w="2761" w:type="dxa"/>
            <w:tcBorders>
              <w:top w:val="single" w:color="auto" w:sz="4" w:space="0"/>
              <w:bottom w:val="single" w:color="auto" w:sz="4" w:space="0"/>
            </w:tcBorders>
            <w:vAlign w:val="center"/>
          </w:tcPr>
          <w:p w14:paraId="6BA0F9F4">
            <w:pPr>
              <w:jc w:val="center"/>
              <w:rPr>
                <w:color w:val="auto"/>
                <w:sz w:val="24"/>
              </w:rPr>
            </w:pPr>
            <w:r>
              <w:rPr>
                <w:color w:val="auto"/>
                <w:sz w:val="24"/>
              </w:rPr>
              <w:t>/</w:t>
            </w:r>
          </w:p>
        </w:tc>
        <w:tc>
          <w:tcPr>
            <w:tcW w:w="1936" w:type="dxa"/>
            <w:tcBorders>
              <w:top w:val="single" w:color="auto" w:sz="4" w:space="0"/>
              <w:bottom w:val="single" w:color="auto" w:sz="4" w:space="0"/>
            </w:tcBorders>
            <w:vAlign w:val="center"/>
          </w:tcPr>
          <w:p w14:paraId="4E65C459">
            <w:pPr>
              <w:jc w:val="center"/>
              <w:rPr>
                <w:color w:val="auto"/>
                <w:sz w:val="24"/>
              </w:rPr>
            </w:pPr>
            <w:r>
              <w:rPr>
                <w:color w:val="auto"/>
                <w:sz w:val="24"/>
              </w:rPr>
              <w:t>/</w:t>
            </w:r>
          </w:p>
        </w:tc>
        <w:tc>
          <w:tcPr>
            <w:tcW w:w="1923" w:type="dxa"/>
            <w:tcBorders>
              <w:top w:val="single" w:color="auto" w:sz="4" w:space="0"/>
              <w:bottom w:val="single" w:color="auto" w:sz="4" w:space="0"/>
            </w:tcBorders>
            <w:vAlign w:val="center"/>
          </w:tcPr>
          <w:p w14:paraId="405B1829">
            <w:pPr>
              <w:jc w:val="center"/>
              <w:rPr>
                <w:color w:val="auto"/>
                <w:sz w:val="24"/>
              </w:rPr>
            </w:pPr>
            <w:r>
              <w:rPr>
                <w:color w:val="auto"/>
                <w:sz w:val="24"/>
              </w:rPr>
              <w:t>/</w:t>
            </w:r>
          </w:p>
        </w:tc>
        <w:tc>
          <w:tcPr>
            <w:tcW w:w="1562" w:type="dxa"/>
            <w:tcBorders>
              <w:top w:val="single" w:color="auto" w:sz="4" w:space="0"/>
              <w:bottom w:val="single" w:color="auto" w:sz="4" w:space="0"/>
              <w:right w:val="single" w:color="auto" w:sz="4" w:space="0"/>
            </w:tcBorders>
            <w:vAlign w:val="center"/>
          </w:tcPr>
          <w:p w14:paraId="491E9DFA">
            <w:pPr>
              <w:jc w:val="center"/>
              <w:rPr>
                <w:color w:val="auto"/>
                <w:sz w:val="24"/>
              </w:rPr>
            </w:pPr>
            <w:r>
              <w:rPr>
                <w:color w:val="auto"/>
                <w:sz w:val="24"/>
              </w:rPr>
              <w:t>/</w:t>
            </w:r>
          </w:p>
        </w:tc>
      </w:tr>
      <w:tr w14:paraId="70FB5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tcBorders>
              <w:top w:val="single" w:color="auto" w:sz="4" w:space="0"/>
              <w:left w:val="single" w:color="auto" w:sz="4" w:space="0"/>
              <w:bottom w:val="single" w:color="auto" w:sz="4" w:space="0"/>
            </w:tcBorders>
            <w:vAlign w:val="center"/>
          </w:tcPr>
          <w:p w14:paraId="16154DE0">
            <w:pPr>
              <w:adjustRightInd w:val="0"/>
              <w:snapToGrid w:val="0"/>
              <w:jc w:val="center"/>
              <w:rPr>
                <w:b/>
                <w:bCs/>
                <w:color w:val="auto"/>
                <w:sz w:val="24"/>
              </w:rPr>
            </w:pPr>
            <w:r>
              <w:rPr>
                <w:b/>
                <w:bCs/>
                <w:color w:val="auto"/>
                <w:sz w:val="24"/>
              </w:rPr>
              <w:t>环境风险</w:t>
            </w:r>
          </w:p>
        </w:tc>
        <w:tc>
          <w:tcPr>
            <w:tcW w:w="2761" w:type="dxa"/>
            <w:tcBorders>
              <w:top w:val="single" w:color="auto" w:sz="4" w:space="0"/>
              <w:bottom w:val="single" w:color="auto" w:sz="4" w:space="0"/>
            </w:tcBorders>
            <w:vAlign w:val="center"/>
          </w:tcPr>
          <w:p w14:paraId="59A8243B">
            <w:pPr>
              <w:jc w:val="center"/>
              <w:rPr>
                <w:rFonts w:hint="default"/>
                <w:color w:val="auto"/>
                <w:sz w:val="24"/>
                <w:lang w:val="en-US"/>
              </w:rPr>
            </w:pPr>
            <w:r>
              <w:rPr>
                <w:rFonts w:ascii="Times New Roman" w:hAnsi="Times New Roman"/>
                <w:color w:val="auto"/>
                <w:sz w:val="24"/>
                <w:szCs w:val="24"/>
                <w:u w:val="single"/>
              </w:rPr>
              <w:t>（1）</w:t>
            </w:r>
            <w:r>
              <w:rPr>
                <w:rFonts w:hint="eastAsia"/>
                <w:color w:val="auto"/>
                <w:sz w:val="24"/>
                <w:u w:val="single"/>
                <w:lang w:val="en-US" w:eastAsia="zh-CN"/>
              </w:rPr>
              <w:t>项目管线的设计、施工、监理以及与工程建设有关的重要设备、材料等的采购，应择优选择有资质的单位；</w:t>
            </w:r>
            <w:r>
              <w:rPr>
                <w:rFonts w:ascii="Times New Roman" w:hAnsi="Times New Roman"/>
                <w:color w:val="auto"/>
                <w:sz w:val="24"/>
                <w:szCs w:val="24"/>
                <w:u w:val="single"/>
              </w:rPr>
              <w:t>（2）</w:t>
            </w:r>
            <w:r>
              <w:rPr>
                <w:rFonts w:hint="eastAsia"/>
                <w:color w:val="auto"/>
                <w:sz w:val="24"/>
                <w:u w:val="single"/>
                <w:lang w:val="en-US" w:eastAsia="zh-CN"/>
              </w:rPr>
              <w:t>项目施工前应向当地的建设行政主管部门办理许可手续；</w:t>
            </w:r>
            <w:r>
              <w:rPr>
                <w:rFonts w:ascii="Times New Roman" w:hAnsi="Times New Roman"/>
                <w:color w:val="auto"/>
                <w:sz w:val="24"/>
                <w:szCs w:val="24"/>
                <w:u w:val="single"/>
              </w:rPr>
              <w:t>（</w:t>
            </w:r>
            <w:r>
              <w:rPr>
                <w:rFonts w:hint="eastAsia" w:ascii="Times New Roman" w:hAnsi="Times New Roman"/>
                <w:color w:val="auto"/>
                <w:sz w:val="24"/>
                <w:szCs w:val="24"/>
                <w:u w:val="single"/>
                <w:lang w:val="en-US" w:eastAsia="zh-CN"/>
              </w:rPr>
              <w:t>3</w:t>
            </w:r>
            <w:r>
              <w:rPr>
                <w:rFonts w:ascii="Times New Roman" w:hAnsi="Times New Roman"/>
                <w:color w:val="auto"/>
                <w:sz w:val="24"/>
                <w:szCs w:val="24"/>
                <w:u w:val="single"/>
              </w:rPr>
              <w:t>）</w:t>
            </w:r>
            <w:r>
              <w:rPr>
                <w:rFonts w:hint="eastAsia"/>
                <w:color w:val="auto"/>
                <w:sz w:val="24"/>
                <w:u w:val="single"/>
                <w:lang w:val="en-US" w:eastAsia="zh-CN"/>
              </w:rPr>
              <w:t>进入园区作业的施工单位，应经钦州石化产业园相关职能部门的安全审查并登记备案；</w:t>
            </w:r>
            <w:r>
              <w:rPr>
                <w:rFonts w:ascii="Times New Roman" w:hAnsi="Times New Roman"/>
                <w:color w:val="auto"/>
                <w:sz w:val="24"/>
                <w:szCs w:val="24"/>
                <w:u w:val="single"/>
              </w:rPr>
              <w:t>（</w:t>
            </w:r>
            <w:r>
              <w:rPr>
                <w:rFonts w:hint="eastAsia" w:ascii="Times New Roman" w:hAnsi="Times New Roman"/>
                <w:color w:val="auto"/>
                <w:sz w:val="24"/>
                <w:szCs w:val="24"/>
                <w:u w:val="single"/>
                <w:lang w:val="en-US" w:eastAsia="zh-CN"/>
              </w:rPr>
              <w:t>4</w:t>
            </w:r>
            <w:r>
              <w:rPr>
                <w:rFonts w:ascii="Times New Roman" w:hAnsi="Times New Roman"/>
                <w:color w:val="auto"/>
                <w:sz w:val="24"/>
                <w:szCs w:val="24"/>
                <w:u w:val="single"/>
              </w:rPr>
              <w:t>）</w:t>
            </w:r>
            <w:r>
              <w:rPr>
                <w:rFonts w:hint="eastAsia"/>
                <w:color w:val="auto"/>
                <w:sz w:val="24"/>
                <w:u w:val="single"/>
                <w:lang w:val="en-US" w:eastAsia="zh-CN"/>
              </w:rPr>
              <w:t>正式焊接前检查作业下方及周围是否有易燃易爆物，作业面是否有诸如油漆类防腐物质，如果有应事先做好妥善处理。现有焊接、动火作业必须根据要求办理作业票证；（5）在现有管道10m外设置集中切割区和焊接区；</w:t>
            </w:r>
            <w:r>
              <w:rPr>
                <w:rFonts w:ascii="Times New Roman" w:hAnsi="Times New Roman"/>
                <w:color w:val="auto"/>
                <w:sz w:val="24"/>
                <w:szCs w:val="24"/>
                <w:u w:val="single"/>
              </w:rPr>
              <w:t>（</w:t>
            </w:r>
            <w:r>
              <w:rPr>
                <w:rFonts w:hint="eastAsia"/>
                <w:color w:val="auto"/>
                <w:sz w:val="24"/>
                <w:szCs w:val="24"/>
                <w:u w:val="single"/>
                <w:lang w:val="en-US" w:eastAsia="zh-CN"/>
              </w:rPr>
              <w:t>6</w:t>
            </w:r>
            <w:r>
              <w:rPr>
                <w:rFonts w:ascii="Times New Roman" w:hAnsi="Times New Roman"/>
                <w:color w:val="auto"/>
                <w:sz w:val="24"/>
                <w:szCs w:val="24"/>
                <w:u w:val="single"/>
              </w:rPr>
              <w:t>）</w:t>
            </w:r>
            <w:r>
              <w:rPr>
                <w:rFonts w:hint="eastAsia"/>
                <w:color w:val="auto"/>
                <w:sz w:val="24"/>
                <w:u w:val="single"/>
                <w:lang w:val="en-US" w:eastAsia="zh-CN"/>
              </w:rPr>
              <w:t>在对临近现有管线进行焊接作业时，应做好防火、防高温措施；（7）在吊装、焊接、切割作业前，对临近的输油管道设置管道保护措施，如使用厚实的防护材料或硬质挡板对现有管道进行保护（8）施工单位应在现场准备一定的应急物资，如灭火器、灭火毯、吸油毡等</w:t>
            </w:r>
          </w:p>
        </w:tc>
        <w:tc>
          <w:tcPr>
            <w:tcW w:w="1936" w:type="dxa"/>
            <w:tcBorders>
              <w:top w:val="single" w:color="auto" w:sz="4" w:space="0"/>
              <w:bottom w:val="single" w:color="auto" w:sz="4" w:space="0"/>
            </w:tcBorders>
            <w:vAlign w:val="center"/>
          </w:tcPr>
          <w:p w14:paraId="463B2512">
            <w:pPr>
              <w:jc w:val="center"/>
              <w:rPr>
                <w:color w:val="auto"/>
                <w:sz w:val="24"/>
              </w:rPr>
            </w:pPr>
            <w:r>
              <w:rPr>
                <w:color w:val="auto"/>
                <w:sz w:val="24"/>
              </w:rPr>
              <w:t>/</w:t>
            </w:r>
          </w:p>
        </w:tc>
        <w:tc>
          <w:tcPr>
            <w:tcW w:w="1923" w:type="dxa"/>
            <w:tcBorders>
              <w:top w:val="single" w:color="auto" w:sz="4" w:space="0"/>
              <w:bottom w:val="single" w:color="auto" w:sz="4" w:space="0"/>
            </w:tcBorders>
            <w:vAlign w:val="center"/>
          </w:tcPr>
          <w:p w14:paraId="0158DA7F">
            <w:pPr>
              <w:jc w:val="center"/>
              <w:rPr>
                <w:color w:val="auto"/>
                <w:sz w:val="24"/>
              </w:rPr>
            </w:pPr>
            <w:r>
              <w:rPr>
                <w:rFonts w:hint="eastAsia"/>
                <w:color w:val="auto"/>
                <w:sz w:val="24"/>
              </w:rPr>
              <w:t>（1）定期清管，排除管内的积水和污物，以减轻管道内腐蚀；（</w:t>
            </w:r>
            <w:r>
              <w:rPr>
                <w:rFonts w:hint="eastAsia"/>
                <w:color w:val="auto"/>
                <w:sz w:val="24"/>
                <w:lang w:val="en-US" w:eastAsia="zh-CN"/>
              </w:rPr>
              <w:t>2</w:t>
            </w:r>
            <w:r>
              <w:rPr>
                <w:rFonts w:hint="eastAsia"/>
                <w:color w:val="auto"/>
                <w:sz w:val="24"/>
              </w:rPr>
              <w:t>）加大巡线频率，提高巡线的有效性</w:t>
            </w:r>
            <w:r>
              <w:rPr>
                <w:rFonts w:hint="eastAsia"/>
                <w:color w:val="auto"/>
                <w:sz w:val="24"/>
                <w:lang w:eastAsia="zh-CN"/>
              </w:rPr>
              <w:t>；</w:t>
            </w:r>
            <w:r>
              <w:rPr>
                <w:rFonts w:hint="eastAsia"/>
                <w:color w:val="auto"/>
                <w:sz w:val="24"/>
              </w:rPr>
              <w:t>（</w:t>
            </w:r>
            <w:r>
              <w:rPr>
                <w:rFonts w:hint="eastAsia"/>
                <w:color w:val="auto"/>
                <w:sz w:val="24"/>
                <w:lang w:val="en-US" w:eastAsia="zh-CN"/>
              </w:rPr>
              <w:t>3</w:t>
            </w:r>
            <w:r>
              <w:rPr>
                <w:rFonts w:hint="eastAsia"/>
                <w:color w:val="auto"/>
                <w:sz w:val="24"/>
              </w:rPr>
              <w:t>）遵守安全管理规章制度和技术操作规程；（</w:t>
            </w:r>
            <w:r>
              <w:rPr>
                <w:rFonts w:hint="eastAsia"/>
                <w:color w:val="auto"/>
                <w:sz w:val="24"/>
                <w:lang w:val="en-US" w:eastAsia="zh-CN"/>
              </w:rPr>
              <w:t>4</w:t>
            </w:r>
            <w:r>
              <w:rPr>
                <w:rFonts w:hint="eastAsia"/>
                <w:color w:val="auto"/>
                <w:sz w:val="24"/>
              </w:rPr>
              <w:t>）纳入</w:t>
            </w:r>
            <w:r>
              <w:rPr>
                <w:rFonts w:hint="eastAsia"/>
                <w:color w:val="auto"/>
                <w:sz w:val="24"/>
                <w:lang w:val="en-US" w:eastAsia="zh-CN"/>
              </w:rPr>
              <w:t>泰兴石化</w:t>
            </w:r>
            <w:r>
              <w:rPr>
                <w:rFonts w:hint="eastAsia"/>
                <w:color w:val="auto"/>
                <w:sz w:val="24"/>
              </w:rPr>
              <w:t>现有的应急预案体系中进行管理。</w:t>
            </w:r>
          </w:p>
        </w:tc>
        <w:tc>
          <w:tcPr>
            <w:tcW w:w="1562" w:type="dxa"/>
            <w:tcBorders>
              <w:top w:val="single" w:color="auto" w:sz="4" w:space="0"/>
              <w:bottom w:val="single" w:color="auto" w:sz="4" w:space="0"/>
              <w:right w:val="single" w:color="auto" w:sz="4" w:space="0"/>
            </w:tcBorders>
            <w:vAlign w:val="center"/>
          </w:tcPr>
          <w:p w14:paraId="6D5A08A6">
            <w:pPr>
              <w:jc w:val="center"/>
              <w:rPr>
                <w:color w:val="auto"/>
                <w:sz w:val="24"/>
              </w:rPr>
            </w:pPr>
            <w:r>
              <w:rPr>
                <w:rFonts w:hint="eastAsia"/>
                <w:color w:val="auto"/>
                <w:sz w:val="24"/>
              </w:rPr>
              <w:t>落实巡检制度；加强维护管理警示标识；将本项目纳入现有应急管理体系；项目环境风险可控。</w:t>
            </w:r>
          </w:p>
        </w:tc>
      </w:tr>
      <w:tr w14:paraId="6374D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tcBorders>
              <w:top w:val="single" w:color="auto" w:sz="4" w:space="0"/>
              <w:left w:val="single" w:color="auto" w:sz="4" w:space="0"/>
              <w:bottom w:val="single" w:color="auto" w:sz="4" w:space="0"/>
            </w:tcBorders>
            <w:vAlign w:val="center"/>
          </w:tcPr>
          <w:p w14:paraId="3ACDD27A">
            <w:pPr>
              <w:adjustRightInd w:val="0"/>
              <w:snapToGrid w:val="0"/>
              <w:jc w:val="center"/>
              <w:rPr>
                <w:b/>
                <w:bCs/>
                <w:color w:val="auto"/>
                <w:sz w:val="24"/>
              </w:rPr>
            </w:pPr>
            <w:r>
              <w:rPr>
                <w:b/>
                <w:bCs/>
                <w:color w:val="auto"/>
                <w:sz w:val="24"/>
              </w:rPr>
              <w:t>环境监测</w:t>
            </w:r>
          </w:p>
        </w:tc>
        <w:tc>
          <w:tcPr>
            <w:tcW w:w="2761" w:type="dxa"/>
            <w:tcBorders>
              <w:top w:val="single" w:color="auto" w:sz="4" w:space="0"/>
              <w:bottom w:val="single" w:color="auto" w:sz="4" w:space="0"/>
            </w:tcBorders>
            <w:vAlign w:val="center"/>
          </w:tcPr>
          <w:p w14:paraId="2DA6B9F0">
            <w:pPr>
              <w:jc w:val="center"/>
              <w:rPr>
                <w:color w:val="auto"/>
                <w:sz w:val="24"/>
              </w:rPr>
            </w:pPr>
            <w:r>
              <w:rPr>
                <w:color w:val="auto"/>
                <w:sz w:val="24"/>
              </w:rPr>
              <w:t>/</w:t>
            </w:r>
          </w:p>
        </w:tc>
        <w:tc>
          <w:tcPr>
            <w:tcW w:w="1936" w:type="dxa"/>
            <w:tcBorders>
              <w:top w:val="single" w:color="auto" w:sz="4" w:space="0"/>
              <w:bottom w:val="single" w:color="auto" w:sz="4" w:space="0"/>
            </w:tcBorders>
            <w:vAlign w:val="center"/>
          </w:tcPr>
          <w:p w14:paraId="04632E28">
            <w:pPr>
              <w:jc w:val="center"/>
              <w:rPr>
                <w:color w:val="auto"/>
                <w:sz w:val="24"/>
              </w:rPr>
            </w:pPr>
            <w:r>
              <w:rPr>
                <w:color w:val="auto"/>
                <w:sz w:val="24"/>
              </w:rPr>
              <w:t>/</w:t>
            </w:r>
          </w:p>
        </w:tc>
        <w:tc>
          <w:tcPr>
            <w:tcW w:w="1923" w:type="dxa"/>
            <w:tcBorders>
              <w:top w:val="single" w:color="auto" w:sz="4" w:space="0"/>
              <w:bottom w:val="single" w:color="auto" w:sz="4" w:space="0"/>
            </w:tcBorders>
            <w:vAlign w:val="center"/>
          </w:tcPr>
          <w:p w14:paraId="5435A490">
            <w:pPr>
              <w:jc w:val="center"/>
              <w:rPr>
                <w:color w:val="auto"/>
                <w:kern w:val="0"/>
                <w:sz w:val="24"/>
              </w:rPr>
            </w:pPr>
            <w:r>
              <w:rPr>
                <w:color w:val="auto"/>
                <w:sz w:val="24"/>
              </w:rPr>
              <w:t>/</w:t>
            </w:r>
          </w:p>
        </w:tc>
        <w:tc>
          <w:tcPr>
            <w:tcW w:w="1562" w:type="dxa"/>
            <w:tcBorders>
              <w:top w:val="single" w:color="auto" w:sz="4" w:space="0"/>
              <w:bottom w:val="single" w:color="auto" w:sz="4" w:space="0"/>
              <w:right w:val="single" w:color="auto" w:sz="4" w:space="0"/>
            </w:tcBorders>
            <w:vAlign w:val="center"/>
          </w:tcPr>
          <w:p w14:paraId="61412BCD">
            <w:pPr>
              <w:jc w:val="center"/>
              <w:rPr>
                <w:color w:val="auto"/>
                <w:sz w:val="24"/>
              </w:rPr>
            </w:pPr>
            <w:r>
              <w:rPr>
                <w:color w:val="auto"/>
                <w:sz w:val="24"/>
              </w:rPr>
              <w:t>/</w:t>
            </w:r>
          </w:p>
        </w:tc>
      </w:tr>
      <w:tr w14:paraId="68FA8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110FA054">
            <w:pPr>
              <w:adjustRightInd w:val="0"/>
              <w:snapToGrid w:val="0"/>
              <w:jc w:val="center"/>
              <w:rPr>
                <w:color w:val="auto"/>
                <w:spacing w:val="-8"/>
                <w:sz w:val="24"/>
              </w:rPr>
            </w:pPr>
            <w:r>
              <w:rPr>
                <w:b/>
                <w:color w:val="auto"/>
                <w:spacing w:val="-8"/>
                <w:sz w:val="24"/>
              </w:rPr>
              <w:t>其他</w:t>
            </w:r>
          </w:p>
        </w:tc>
        <w:tc>
          <w:tcPr>
            <w:tcW w:w="8182" w:type="dxa"/>
            <w:gridSpan w:val="4"/>
            <w:tcBorders>
              <w:top w:val="single" w:color="auto" w:sz="4" w:space="0"/>
              <w:left w:val="single" w:color="auto" w:sz="4" w:space="0"/>
              <w:bottom w:val="single" w:color="auto" w:sz="4" w:space="0"/>
              <w:right w:val="single" w:color="auto" w:sz="4" w:space="0"/>
            </w:tcBorders>
            <w:vAlign w:val="center"/>
          </w:tcPr>
          <w:p w14:paraId="4EC90157">
            <w:pPr>
              <w:pStyle w:val="2"/>
              <w:rPr>
                <w:rFonts w:ascii="Times New Roman" w:hAnsi="Times New Roman"/>
                <w:color w:val="auto"/>
                <w:sz w:val="24"/>
                <w:szCs w:val="24"/>
              </w:rPr>
            </w:pPr>
            <w:r>
              <w:rPr>
                <w:rFonts w:hint="eastAsia" w:ascii="Times New Roman" w:hAnsi="Times New Roman"/>
                <w:color w:val="auto"/>
                <w:sz w:val="24"/>
                <w:szCs w:val="24"/>
              </w:rPr>
              <w:t>无</w:t>
            </w:r>
          </w:p>
        </w:tc>
      </w:tr>
    </w:tbl>
    <w:p w14:paraId="2CADA322">
      <w:pPr>
        <w:pStyle w:val="17"/>
        <w:spacing w:before="0" w:beforeAutospacing="0" w:after="0" w:afterAutospacing="0" w:line="360" w:lineRule="auto"/>
        <w:jc w:val="center"/>
        <w:outlineLvl w:val="0"/>
        <w:rPr>
          <w:rFonts w:ascii="Times New Roman" w:hAnsi="Times New Roman"/>
          <w:b/>
          <w:snapToGrid w:val="0"/>
          <w:color w:val="auto"/>
          <w:sz w:val="30"/>
          <w:szCs w:val="30"/>
        </w:rPr>
      </w:pPr>
      <w:r>
        <w:rPr>
          <w:rFonts w:ascii="Times New Roman" w:hAnsi="Times New Roman"/>
          <w:snapToGrid w:val="0"/>
          <w:color w:val="auto"/>
        </w:rPr>
        <w:br w:type="page"/>
      </w:r>
      <w:bookmarkStart w:id="56" w:name="_Toc152336007"/>
      <w:r>
        <w:rPr>
          <w:rFonts w:hint="eastAsia" w:ascii="Times New Roman" w:hAnsi="Times New Roman"/>
          <w:b/>
          <w:snapToGrid w:val="0"/>
          <w:color w:val="auto"/>
          <w:sz w:val="30"/>
          <w:szCs w:val="30"/>
        </w:rPr>
        <w:t>七</w:t>
      </w:r>
      <w:r>
        <w:rPr>
          <w:rFonts w:ascii="Times New Roman" w:hAnsi="Times New Roman"/>
          <w:b/>
          <w:snapToGrid w:val="0"/>
          <w:color w:val="auto"/>
          <w:sz w:val="30"/>
          <w:szCs w:val="30"/>
        </w:rPr>
        <w:t>、结论</w:t>
      </w:r>
      <w:bookmarkEnd w:id="56"/>
    </w:p>
    <w:tbl>
      <w:tblPr>
        <w:tblStyle w:val="22"/>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2E1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0" w:hRule="atLeast"/>
          <w:jc w:val="center"/>
        </w:trPr>
        <w:tc>
          <w:tcPr>
            <w:tcW w:w="8865" w:type="dxa"/>
          </w:tcPr>
          <w:p w14:paraId="5EBE8925">
            <w:pPr>
              <w:spacing w:line="360" w:lineRule="auto"/>
              <w:ind w:firstLine="480" w:firstLineChars="200"/>
              <w:rPr>
                <w:color w:val="auto"/>
                <w:sz w:val="24"/>
              </w:rPr>
            </w:pPr>
            <w:r>
              <w:rPr>
                <w:rFonts w:hint="eastAsia"/>
                <w:color w:val="auto"/>
                <w:sz w:val="24"/>
              </w:rPr>
              <w:t>本项目的建设符合国家产业政策，符合钦州石化园区总体规划，符合各项环保相关规划的要求。虽然项目在建设阶段将会对工程范围内的生态环境、水环境、声环境、环境空气等产生一定的不利的影响，但只要认真落实环境影响报告表中提出的各项环保措施，真正落实环保措施与主体工程建设的“三同时”制度，确保各项环保资金落实到位，本工程建设所产生的负面影响可以得到有效控制。综上，从环境保护的角度，本项目建设是可行的。</w:t>
            </w:r>
          </w:p>
        </w:tc>
      </w:tr>
    </w:tbl>
    <w:p w14:paraId="41E9F9B0">
      <w:pPr>
        <w:rPr>
          <w:snapToGrid w:val="0"/>
          <w:color w:val="auto"/>
        </w:rPr>
      </w:pPr>
    </w:p>
    <w:sectPr>
      <w:pgSz w:w="11906" w:h="16838"/>
      <w:pgMar w:top="1418" w:right="1418" w:bottom="1418" w:left="1418"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2" w:usb3="00000000" w:csb0="4002009F" w:csb1="DFD70000"/>
  </w:font>
  <w:font w:name="Wingdings 2">
    <w:panose1 w:val="05020102010507070707"/>
    <w:charset w:val="00"/>
    <w:family w:val="auto"/>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5706839"/>
    </w:sdtPr>
    <w:sdtContent>
      <w:p w14:paraId="7F9BBCEA">
        <w:pPr>
          <w:pStyle w:val="14"/>
          <w:jc w:val="center"/>
        </w:pPr>
        <w:r>
          <w:fldChar w:fldCharType="begin"/>
        </w:r>
        <w:r>
          <w:instrText xml:space="preserve">PAGE   \* MERGEFORMAT</w:instrText>
        </w:r>
        <w:r>
          <w:fldChar w:fldCharType="separate"/>
        </w:r>
        <w:r>
          <w:rPr>
            <w:lang w:val="zh-CN"/>
          </w:rPr>
          <w:t>4</w:t>
        </w:r>
        <w:r>
          <w:fldChar w:fldCharType="end"/>
        </w:r>
      </w:p>
    </w:sdtContent>
  </w:sdt>
  <w:p w14:paraId="31AB6221">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488FA">
    <w:pPr>
      <w:pStyle w:val="14"/>
      <w:framePr w:wrap="around" w:vAnchor="text" w:hAnchor="margin" w:xAlign="center" w:y="1"/>
      <w:rPr>
        <w:rStyle w:val="25"/>
      </w:rPr>
    </w:pPr>
    <w:r>
      <w:fldChar w:fldCharType="begin"/>
    </w:r>
    <w:r>
      <w:rPr>
        <w:rStyle w:val="25"/>
      </w:rPr>
      <w:instrText xml:space="preserve">PAGE  </w:instrText>
    </w:r>
    <w:r>
      <w:fldChar w:fldCharType="end"/>
    </w:r>
  </w:p>
  <w:p w14:paraId="351159EF">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69BD6">
    <w:pPr>
      <w:pStyle w:val="14"/>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4424787"/>
    </w:sdtPr>
    <w:sdtContent>
      <w:p w14:paraId="2C0C43B2">
        <w:pPr>
          <w:pStyle w:val="14"/>
          <w:jc w:val="center"/>
        </w:pPr>
        <w:r>
          <w:fldChar w:fldCharType="begin"/>
        </w:r>
        <w:r>
          <w:instrText xml:space="preserve">PAGE   \* MERGEFORMAT</w:instrText>
        </w:r>
        <w:r>
          <w:fldChar w:fldCharType="separate"/>
        </w:r>
        <w:r>
          <w:rPr>
            <w:lang w:val="zh-CN"/>
          </w:rPr>
          <w:t>6</w:t>
        </w:r>
        <w:r>
          <w:fldChar w:fldCharType="end"/>
        </w:r>
      </w:p>
    </w:sdtContent>
  </w:sdt>
  <w:p w14:paraId="4DB17A0C">
    <w:pPr>
      <w:pStyle w:val="1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D07FA"/>
    <w:multiLevelType w:val="singleLevel"/>
    <w:tmpl w:val="B86D07FA"/>
    <w:lvl w:ilvl="0" w:tentative="0">
      <w:start w:val="1"/>
      <w:numFmt w:val="decimal"/>
      <w:suff w:val="nothing"/>
      <w:lvlText w:val="（%1）"/>
      <w:lvlJc w:val="left"/>
    </w:lvl>
  </w:abstractNum>
  <w:abstractNum w:abstractNumId="1">
    <w:nsid w:val="F2B4999F"/>
    <w:multiLevelType w:val="singleLevel"/>
    <w:tmpl w:val="F2B4999F"/>
    <w:lvl w:ilvl="0" w:tentative="0">
      <w:start w:val="1"/>
      <w:numFmt w:val="decimal"/>
      <w:suff w:val="nothing"/>
      <w:lvlText w:val="（%1）"/>
      <w:lvlJc w:val="left"/>
    </w:lvl>
  </w:abstractNum>
  <w:abstractNum w:abstractNumId="2">
    <w:nsid w:val="1E777A20"/>
    <w:multiLevelType w:val="multilevel"/>
    <w:tmpl w:val="1E777A20"/>
    <w:lvl w:ilvl="0" w:tentative="0">
      <w:start w:val="1"/>
      <w:numFmt w:val="chineseCountingThousand"/>
      <w:suff w:val="space"/>
      <w:lvlText w:val="%1、"/>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32"/>
        <w:u w:val="none"/>
        <w:vertAlign w:val="baseline"/>
      </w:rPr>
    </w:lvl>
    <w:lvl w:ilvl="1" w:tentative="0">
      <w:start w:val="1"/>
      <w:numFmt w:val="decimal"/>
      <w:isLgl/>
      <w:suff w:val="space"/>
      <w:lvlText w:val="%1.%2"/>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30"/>
        <w:u w:val="none"/>
        <w:vertAlign w:val="baseline"/>
      </w:rPr>
    </w:lvl>
    <w:lvl w:ilvl="2" w:tentative="0">
      <w:start w:val="1"/>
      <w:numFmt w:val="decimal"/>
      <w:isLgl/>
      <w:suff w:val="space"/>
      <w:lvlText w:val="%1.%2.%3"/>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position w:val="0"/>
        <w:sz w:val="28"/>
        <w:u w:val="none"/>
        <w:vertAlign w:val="baseline"/>
      </w:rPr>
    </w:lvl>
    <w:lvl w:ilvl="3" w:tentative="0">
      <w:start w:val="1"/>
      <w:numFmt w:val="decimal"/>
      <w:pStyle w:val="65"/>
      <w:isLgl/>
      <w:suff w:val="space"/>
      <w:lvlText w:val="%1.%2.%3.%4"/>
      <w:lvlJc w:val="left"/>
      <w:pPr>
        <w:ind w:left="0"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4"/>
        <w:u w:val="none"/>
        <w:vertAlign w:val="baseline"/>
      </w:rPr>
    </w:lvl>
    <w:lvl w:ilvl="4" w:tentative="0">
      <w:start w:val="1"/>
      <w:numFmt w:val="decimal"/>
      <w:lvlRestart w:val="2"/>
      <w:pStyle w:val="66"/>
      <w:isLgl/>
      <w:suff w:val="space"/>
      <w:lvlText w:val="表%1.%2-%5"/>
      <w:lvlJc w:val="center"/>
      <w:pPr>
        <w:ind w:left="2268"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1"/>
        <w:u w:val="none"/>
        <w:vertAlign w:val="baseline"/>
        <w:lang w:val="en-US"/>
      </w:rPr>
    </w:lvl>
    <w:lvl w:ilvl="5" w:tentative="0">
      <w:start w:val="1"/>
      <w:numFmt w:val="decimal"/>
      <w:lvlRestart w:val="2"/>
      <w:isLgl/>
      <w:suff w:val="space"/>
      <w:lvlText w:val="图%1.%2-%6"/>
      <w:lvlJc w:val="center"/>
      <w:pPr>
        <w:ind w:left="0" w:firstLine="0"/>
      </w:pPr>
      <w:rPr>
        <w:rFonts w:hint="default" w:ascii="Times New Roman" w:hAnsi="Times New Roman" w:eastAsia="黑体"/>
        <w:b w:val="0"/>
        <w:bCs w:val="0"/>
        <w:i w:val="0"/>
        <w:iCs w:val="0"/>
        <w:caps w:val="0"/>
        <w:smallCaps w:val="0"/>
        <w:strike w:val="0"/>
        <w:dstrike w:val="0"/>
        <w:vanish w:val="0"/>
        <w:color w:val="000000"/>
        <w:spacing w:val="0"/>
        <w:kern w:val="0"/>
        <w:position w:val="0"/>
        <w:sz w:val="21"/>
        <w:u w:val="none"/>
        <w:vertAlign w:val="baseline"/>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24BD5270"/>
    <w:multiLevelType w:val="multilevel"/>
    <w:tmpl w:val="24BD5270"/>
    <w:lvl w:ilvl="0" w:tentative="0">
      <w:start w:val="1"/>
      <w:numFmt w:val="decimal"/>
      <w:suff w:val="space"/>
      <w:lvlText w:val="%1"/>
      <w:lvlJc w:val="left"/>
      <w:pPr>
        <w:ind w:left="432" w:hanging="432"/>
      </w:pPr>
      <w:rPr>
        <w:rFonts w:hint="default" w:ascii="Times New Roman" w:hAnsi="Times New Roman" w:eastAsia="宋体" w:cs="宋体"/>
      </w:rPr>
    </w:lvl>
    <w:lvl w:ilvl="1" w:tentative="0">
      <w:start w:val="1"/>
      <w:numFmt w:val="decimal"/>
      <w:suff w:val="space"/>
      <w:lvlText w:val="%1.%2"/>
      <w:lvlJc w:val="left"/>
      <w:pPr>
        <w:ind w:left="575" w:hanging="575"/>
      </w:pPr>
      <w:rPr>
        <w:rFonts w:hint="default" w:ascii="Times New Roman" w:hAnsi="Times New Roman" w:eastAsia="宋体" w:cs="宋体"/>
      </w:rPr>
    </w:lvl>
    <w:lvl w:ilvl="2" w:tentative="0">
      <w:start w:val="1"/>
      <w:numFmt w:val="decimal"/>
      <w:suff w:val="space"/>
      <w:lvlText w:val="%1.%2.%3"/>
      <w:lvlJc w:val="left"/>
      <w:pPr>
        <w:ind w:left="720" w:hanging="720"/>
      </w:pPr>
      <w:rPr>
        <w:rFonts w:hint="default" w:ascii="Times New Roman" w:hAnsi="Times New Roman" w:eastAsia="宋体" w:cs="宋体"/>
      </w:rPr>
    </w:lvl>
    <w:lvl w:ilvl="3" w:tentative="0">
      <w:start w:val="1"/>
      <w:numFmt w:val="decimal"/>
      <w:lvlText w:val="%1.%2.%3.%4"/>
      <w:lvlJc w:val="left"/>
      <w:pPr>
        <w:ind w:left="864" w:hanging="864"/>
      </w:pPr>
      <w:rPr>
        <w:rFonts w:hint="default" w:ascii="Times New Roman" w:hAnsi="Times New Roman" w:eastAsia="宋体" w:cs="宋体"/>
        <w:b/>
        <w:bCs/>
      </w:rPr>
    </w:lvl>
    <w:lvl w:ilvl="4" w:tentative="0">
      <w:start w:val="1"/>
      <w:numFmt w:val="decimal"/>
      <w:lvlRestart w:val="2"/>
      <w:pStyle w:val="31"/>
      <w:suff w:val="space"/>
      <w:lvlText w:val="表%1.%2-%5"/>
      <w:lvlJc w:val="left"/>
      <w:pPr>
        <w:ind w:left="0" w:firstLine="0"/>
      </w:pPr>
      <w:rPr>
        <w:rFonts w:hint="default" w:ascii="Times New Roman" w:hAnsi="Times New Roman" w:eastAsia="宋体" w:cs="宋体"/>
        <w:b/>
        <w:sz w:val="21"/>
        <w:szCs w:val="21"/>
      </w:rPr>
    </w:lvl>
    <w:lvl w:ilvl="5" w:tentative="0">
      <w:start w:val="1"/>
      <w:numFmt w:val="decimal"/>
      <w:lvlRestart w:val="2"/>
      <w:suff w:val="space"/>
      <w:lvlText w:val="图%1.%2-%6"/>
      <w:lvlJc w:val="center"/>
      <w:pPr>
        <w:ind w:left="1151" w:hanging="1151"/>
      </w:pPr>
      <w:rPr>
        <w:rFonts w:hint="default" w:ascii="Times New Roman" w:hAnsi="Times New Roman" w:eastAsia="宋体" w:cs="宋体"/>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34F66D74"/>
    <w:multiLevelType w:val="multilevel"/>
    <w:tmpl w:val="34F66D74"/>
    <w:lvl w:ilvl="0" w:tentative="0">
      <w:start w:val="1"/>
      <w:numFmt w:val="decimal"/>
      <w:lvlText w:val="表1-%1"/>
      <w:lvlJc w:val="center"/>
      <w:pPr>
        <w:ind w:left="420" w:hanging="420"/>
      </w:pPr>
      <w:rPr>
        <w:rFonts w:hint="eastAsia" w:eastAsia="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77291747"/>
    <w:multiLevelType w:val="singleLevel"/>
    <w:tmpl w:val="77291747"/>
    <w:lvl w:ilvl="0" w:tentative="0">
      <w:start w:val="2"/>
      <w:numFmt w:val="decimal"/>
      <w:suff w:val="nothing"/>
      <w:lvlText w:val="%1）"/>
      <w:lvlJc w:val="left"/>
    </w:lvl>
  </w:abstractNum>
  <w:abstractNum w:abstractNumId="6">
    <w:nsid w:val="784B1403"/>
    <w:multiLevelType w:val="singleLevel"/>
    <w:tmpl w:val="784B1403"/>
    <w:lvl w:ilvl="0" w:tentative="0">
      <w:start w:val="1"/>
      <w:numFmt w:val="decimal"/>
      <w:suff w:val="nothing"/>
      <w:lvlText w:val="（%1）"/>
      <w:lvlJc w:val="left"/>
    </w:lvl>
  </w:abstractNum>
  <w:abstractNum w:abstractNumId="7">
    <w:nsid w:val="7D95A4D7"/>
    <w:multiLevelType w:val="multilevel"/>
    <w:tmpl w:val="7D95A4D7"/>
    <w:lvl w:ilvl="0" w:tentative="0">
      <w:start w:val="1"/>
      <w:numFmt w:val="decimal"/>
      <w:lvlText w:val="%1."/>
      <w:lvlJc w:val="left"/>
      <w:pPr>
        <w:ind w:left="432" w:hanging="432"/>
      </w:pPr>
      <w:rPr>
        <w:rFonts w:hint="default"/>
      </w:rPr>
    </w:lvl>
    <w:lvl w:ilvl="1" w:tentative="0">
      <w:start w:val="1"/>
      <w:numFmt w:val="decimal"/>
      <w:suff w:val="space"/>
      <w:lvlText w:val="%1.%2"/>
      <w:lvlJc w:val="left"/>
      <w:pPr>
        <w:tabs>
          <w:tab w:val="left" w:pos="0"/>
        </w:tabs>
        <w:ind w:left="0" w:firstLine="0"/>
      </w:pPr>
      <w:rPr>
        <w:rFonts w:hint="default" w:ascii="Times New Roman" w:hAnsi="Times New Roman" w:eastAsia="宋体" w:cs="宋体"/>
      </w:rPr>
    </w:lvl>
    <w:lvl w:ilvl="2" w:tentative="0">
      <w:start w:val="1"/>
      <w:numFmt w:val="decimal"/>
      <w:pStyle w:val="5"/>
      <w:suff w:val="space"/>
      <w:lvlText w:val="%1.%2.%3"/>
      <w:lvlJc w:val="left"/>
      <w:pPr>
        <w:tabs>
          <w:tab w:val="left" w:pos="0"/>
        </w:tabs>
        <w:ind w:left="0" w:firstLine="0"/>
      </w:pPr>
      <w:rPr>
        <w:rFonts w:hint="default" w:ascii="Times New Roman" w:hAnsi="Times New Roman" w:eastAsia="宋体" w:cs="宋体"/>
      </w:rPr>
    </w:lvl>
    <w:lvl w:ilvl="3" w:tentative="0">
      <w:start w:val="1"/>
      <w:numFmt w:val="decimal"/>
      <w:suff w:val="space"/>
      <w:lvlText w:val="%1.%2.%3.%4"/>
      <w:lvlJc w:val="left"/>
      <w:pPr>
        <w:tabs>
          <w:tab w:val="left" w:pos="0"/>
        </w:tabs>
        <w:ind w:left="0" w:firstLine="0"/>
      </w:pPr>
      <w:rPr>
        <w:rFonts w:hint="default" w:ascii="Times New Roman" w:hAnsi="Times New Roman" w:eastAsia="宋体" w:cs="宋体"/>
      </w:rPr>
    </w:lvl>
    <w:lvl w:ilvl="4" w:tentative="0">
      <w:start w:val="1"/>
      <w:numFmt w:val="decimal"/>
      <w:suff w:val="space"/>
      <w:lvlText w:val="表%1.%2-%5"/>
      <w:lvlJc w:val="left"/>
      <w:pPr>
        <w:tabs>
          <w:tab w:val="left" w:pos="420"/>
        </w:tabs>
        <w:ind w:left="1008" w:hanging="1008"/>
      </w:pPr>
      <w:rPr>
        <w:rFonts w:hint="default" w:ascii="Times New Roman" w:hAnsi="Times New Roman" w:eastAsia="宋体" w:cs="宋体"/>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7"/>
  </w:num>
  <w:num w:numId="2">
    <w:abstractNumId w:val="3"/>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156"/>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hZDFmOTE1ZmE0OWQ0NzJhNGEwYThmNDUxZTQ2YTAifQ=="/>
    <w:docVar w:name="KSO_WPS_MARK_KEY" w:val="954fa0dc-82aa-43a5-bade-f3cc24e0943c"/>
  </w:docVars>
  <w:rsids>
    <w:rsidRoot w:val="00172A27"/>
    <w:rsid w:val="0000051A"/>
    <w:rsid w:val="0000308F"/>
    <w:rsid w:val="000053BA"/>
    <w:rsid w:val="000060B3"/>
    <w:rsid w:val="00007E24"/>
    <w:rsid w:val="00010801"/>
    <w:rsid w:val="00010CA5"/>
    <w:rsid w:val="00012D39"/>
    <w:rsid w:val="00024C2D"/>
    <w:rsid w:val="00030F45"/>
    <w:rsid w:val="0003641F"/>
    <w:rsid w:val="0004364B"/>
    <w:rsid w:val="00045C25"/>
    <w:rsid w:val="00047178"/>
    <w:rsid w:val="00054B3F"/>
    <w:rsid w:val="00055E6D"/>
    <w:rsid w:val="000563C4"/>
    <w:rsid w:val="00056847"/>
    <w:rsid w:val="0006132D"/>
    <w:rsid w:val="000613A2"/>
    <w:rsid w:val="00061B1F"/>
    <w:rsid w:val="00061E44"/>
    <w:rsid w:val="00064228"/>
    <w:rsid w:val="0007099E"/>
    <w:rsid w:val="000733C4"/>
    <w:rsid w:val="000741E6"/>
    <w:rsid w:val="00074783"/>
    <w:rsid w:val="000774A4"/>
    <w:rsid w:val="0008070B"/>
    <w:rsid w:val="000810AC"/>
    <w:rsid w:val="00081186"/>
    <w:rsid w:val="00081A02"/>
    <w:rsid w:val="00082231"/>
    <w:rsid w:val="00083561"/>
    <w:rsid w:val="00083C5E"/>
    <w:rsid w:val="000843C6"/>
    <w:rsid w:val="0009022E"/>
    <w:rsid w:val="00091075"/>
    <w:rsid w:val="00092D38"/>
    <w:rsid w:val="0009371F"/>
    <w:rsid w:val="0009377B"/>
    <w:rsid w:val="000948E5"/>
    <w:rsid w:val="00094944"/>
    <w:rsid w:val="00096516"/>
    <w:rsid w:val="00096817"/>
    <w:rsid w:val="00097F41"/>
    <w:rsid w:val="000A1D7A"/>
    <w:rsid w:val="000A20C9"/>
    <w:rsid w:val="000A39BE"/>
    <w:rsid w:val="000A4E4E"/>
    <w:rsid w:val="000B0295"/>
    <w:rsid w:val="000B0565"/>
    <w:rsid w:val="000B058F"/>
    <w:rsid w:val="000B0DD4"/>
    <w:rsid w:val="000B11F9"/>
    <w:rsid w:val="000B3B71"/>
    <w:rsid w:val="000B4467"/>
    <w:rsid w:val="000B4DB9"/>
    <w:rsid w:val="000B67D6"/>
    <w:rsid w:val="000B7395"/>
    <w:rsid w:val="000C09AC"/>
    <w:rsid w:val="000C0B7C"/>
    <w:rsid w:val="000C767F"/>
    <w:rsid w:val="000D0228"/>
    <w:rsid w:val="000D5A44"/>
    <w:rsid w:val="000E065E"/>
    <w:rsid w:val="000E302B"/>
    <w:rsid w:val="000E31BD"/>
    <w:rsid w:val="000E3ED2"/>
    <w:rsid w:val="000E4762"/>
    <w:rsid w:val="000E68DB"/>
    <w:rsid w:val="000F1388"/>
    <w:rsid w:val="000F191F"/>
    <w:rsid w:val="000F2E4B"/>
    <w:rsid w:val="00100749"/>
    <w:rsid w:val="0010178F"/>
    <w:rsid w:val="0010467B"/>
    <w:rsid w:val="00105359"/>
    <w:rsid w:val="00107B20"/>
    <w:rsid w:val="00107D28"/>
    <w:rsid w:val="00116CDF"/>
    <w:rsid w:val="00123415"/>
    <w:rsid w:val="001260B6"/>
    <w:rsid w:val="001305B1"/>
    <w:rsid w:val="001318A9"/>
    <w:rsid w:val="00131F42"/>
    <w:rsid w:val="001356B1"/>
    <w:rsid w:val="001357F1"/>
    <w:rsid w:val="001364D0"/>
    <w:rsid w:val="00140FA8"/>
    <w:rsid w:val="00142578"/>
    <w:rsid w:val="00142FEB"/>
    <w:rsid w:val="00143A2D"/>
    <w:rsid w:val="00144EAD"/>
    <w:rsid w:val="0014580F"/>
    <w:rsid w:val="00145A41"/>
    <w:rsid w:val="00151675"/>
    <w:rsid w:val="00157374"/>
    <w:rsid w:val="00157435"/>
    <w:rsid w:val="00161759"/>
    <w:rsid w:val="00166332"/>
    <w:rsid w:val="00167716"/>
    <w:rsid w:val="00172A27"/>
    <w:rsid w:val="00174212"/>
    <w:rsid w:val="0017504D"/>
    <w:rsid w:val="0017671A"/>
    <w:rsid w:val="00177422"/>
    <w:rsid w:val="00182BAC"/>
    <w:rsid w:val="00184590"/>
    <w:rsid w:val="00184A5E"/>
    <w:rsid w:val="0018647D"/>
    <w:rsid w:val="001870D1"/>
    <w:rsid w:val="0018781E"/>
    <w:rsid w:val="00190023"/>
    <w:rsid w:val="001911E4"/>
    <w:rsid w:val="0019262D"/>
    <w:rsid w:val="0019278E"/>
    <w:rsid w:val="00195EE4"/>
    <w:rsid w:val="00196470"/>
    <w:rsid w:val="001979B2"/>
    <w:rsid w:val="001A0A99"/>
    <w:rsid w:val="001A1B35"/>
    <w:rsid w:val="001A48A2"/>
    <w:rsid w:val="001A4AF3"/>
    <w:rsid w:val="001A6F61"/>
    <w:rsid w:val="001A798B"/>
    <w:rsid w:val="001A7C8E"/>
    <w:rsid w:val="001B18C3"/>
    <w:rsid w:val="001B3F05"/>
    <w:rsid w:val="001B5C2E"/>
    <w:rsid w:val="001B72B8"/>
    <w:rsid w:val="001C04C9"/>
    <w:rsid w:val="001C06D5"/>
    <w:rsid w:val="001C554A"/>
    <w:rsid w:val="001C69B3"/>
    <w:rsid w:val="001D033F"/>
    <w:rsid w:val="001D43AF"/>
    <w:rsid w:val="001D5390"/>
    <w:rsid w:val="001D5595"/>
    <w:rsid w:val="001D7874"/>
    <w:rsid w:val="001D7B45"/>
    <w:rsid w:val="001D7F22"/>
    <w:rsid w:val="001E4B87"/>
    <w:rsid w:val="001E4C27"/>
    <w:rsid w:val="001E56F0"/>
    <w:rsid w:val="001F0B00"/>
    <w:rsid w:val="001F0F17"/>
    <w:rsid w:val="001F1167"/>
    <w:rsid w:val="001F2FD1"/>
    <w:rsid w:val="001F3347"/>
    <w:rsid w:val="001F6474"/>
    <w:rsid w:val="001F69E4"/>
    <w:rsid w:val="00202681"/>
    <w:rsid w:val="00203DFA"/>
    <w:rsid w:val="00203F79"/>
    <w:rsid w:val="00204FD4"/>
    <w:rsid w:val="002125B4"/>
    <w:rsid w:val="00214279"/>
    <w:rsid w:val="002155B8"/>
    <w:rsid w:val="0021650A"/>
    <w:rsid w:val="00217613"/>
    <w:rsid w:val="00222FD7"/>
    <w:rsid w:val="00224839"/>
    <w:rsid w:val="002249B2"/>
    <w:rsid w:val="0022614B"/>
    <w:rsid w:val="00226574"/>
    <w:rsid w:val="002278EC"/>
    <w:rsid w:val="0023280E"/>
    <w:rsid w:val="002377D1"/>
    <w:rsid w:val="00246CA8"/>
    <w:rsid w:val="002506BC"/>
    <w:rsid w:val="00251BE4"/>
    <w:rsid w:val="0025227A"/>
    <w:rsid w:val="00253324"/>
    <w:rsid w:val="0025406A"/>
    <w:rsid w:val="00254345"/>
    <w:rsid w:val="00256FFF"/>
    <w:rsid w:val="00260683"/>
    <w:rsid w:val="0026387A"/>
    <w:rsid w:val="00264557"/>
    <w:rsid w:val="00266DDA"/>
    <w:rsid w:val="0027353D"/>
    <w:rsid w:val="00276CCD"/>
    <w:rsid w:val="00277215"/>
    <w:rsid w:val="002775E8"/>
    <w:rsid w:val="002805AB"/>
    <w:rsid w:val="00281462"/>
    <w:rsid w:val="00283F54"/>
    <w:rsid w:val="00284204"/>
    <w:rsid w:val="00285374"/>
    <w:rsid w:val="00287729"/>
    <w:rsid w:val="002914B8"/>
    <w:rsid w:val="00291773"/>
    <w:rsid w:val="00291AD0"/>
    <w:rsid w:val="0029340A"/>
    <w:rsid w:val="00295F75"/>
    <w:rsid w:val="002A00D1"/>
    <w:rsid w:val="002A145C"/>
    <w:rsid w:val="002A168C"/>
    <w:rsid w:val="002A32BD"/>
    <w:rsid w:val="002A3DC7"/>
    <w:rsid w:val="002A5660"/>
    <w:rsid w:val="002B49E2"/>
    <w:rsid w:val="002B4D33"/>
    <w:rsid w:val="002B588E"/>
    <w:rsid w:val="002B7B00"/>
    <w:rsid w:val="002B7C44"/>
    <w:rsid w:val="002C2B17"/>
    <w:rsid w:val="002C45FE"/>
    <w:rsid w:val="002C4718"/>
    <w:rsid w:val="002C570E"/>
    <w:rsid w:val="002C748E"/>
    <w:rsid w:val="002D141C"/>
    <w:rsid w:val="002D32BE"/>
    <w:rsid w:val="002D3DD0"/>
    <w:rsid w:val="002D5BDC"/>
    <w:rsid w:val="002E0D37"/>
    <w:rsid w:val="002E1AE5"/>
    <w:rsid w:val="002E1F3A"/>
    <w:rsid w:val="002E27A3"/>
    <w:rsid w:val="002E298A"/>
    <w:rsid w:val="002E5D00"/>
    <w:rsid w:val="002E7EA3"/>
    <w:rsid w:val="002F48A2"/>
    <w:rsid w:val="002F5D01"/>
    <w:rsid w:val="002F6AB7"/>
    <w:rsid w:val="002F7AE8"/>
    <w:rsid w:val="00301978"/>
    <w:rsid w:val="00301DF1"/>
    <w:rsid w:val="0030332C"/>
    <w:rsid w:val="003033AC"/>
    <w:rsid w:val="003033D3"/>
    <w:rsid w:val="003051C2"/>
    <w:rsid w:val="00310C88"/>
    <w:rsid w:val="00312296"/>
    <w:rsid w:val="00314F0E"/>
    <w:rsid w:val="0031788F"/>
    <w:rsid w:val="00321D8E"/>
    <w:rsid w:val="00322D30"/>
    <w:rsid w:val="00325928"/>
    <w:rsid w:val="00332863"/>
    <w:rsid w:val="0033452D"/>
    <w:rsid w:val="0033684D"/>
    <w:rsid w:val="00337B42"/>
    <w:rsid w:val="00341159"/>
    <w:rsid w:val="00341B42"/>
    <w:rsid w:val="0034348F"/>
    <w:rsid w:val="00344EEE"/>
    <w:rsid w:val="00350CC2"/>
    <w:rsid w:val="003560A1"/>
    <w:rsid w:val="00356653"/>
    <w:rsid w:val="0035743F"/>
    <w:rsid w:val="00357BE2"/>
    <w:rsid w:val="003612BA"/>
    <w:rsid w:val="0036170C"/>
    <w:rsid w:val="00361959"/>
    <w:rsid w:val="00362C0C"/>
    <w:rsid w:val="003634F7"/>
    <w:rsid w:val="00366E0F"/>
    <w:rsid w:val="00367EB0"/>
    <w:rsid w:val="003741EA"/>
    <w:rsid w:val="00374960"/>
    <w:rsid w:val="00375DDC"/>
    <w:rsid w:val="00381A72"/>
    <w:rsid w:val="00382046"/>
    <w:rsid w:val="00383C74"/>
    <w:rsid w:val="00384676"/>
    <w:rsid w:val="00386B4F"/>
    <w:rsid w:val="00390857"/>
    <w:rsid w:val="00390A10"/>
    <w:rsid w:val="003920F5"/>
    <w:rsid w:val="00392AEF"/>
    <w:rsid w:val="00394881"/>
    <w:rsid w:val="003A4BF3"/>
    <w:rsid w:val="003B21A9"/>
    <w:rsid w:val="003B2A96"/>
    <w:rsid w:val="003B420D"/>
    <w:rsid w:val="003C227C"/>
    <w:rsid w:val="003C23D4"/>
    <w:rsid w:val="003C6C16"/>
    <w:rsid w:val="003D1C1D"/>
    <w:rsid w:val="003D1D9B"/>
    <w:rsid w:val="003D7418"/>
    <w:rsid w:val="003D794D"/>
    <w:rsid w:val="003E3058"/>
    <w:rsid w:val="003E69BD"/>
    <w:rsid w:val="003E76A9"/>
    <w:rsid w:val="003F0809"/>
    <w:rsid w:val="003F695B"/>
    <w:rsid w:val="003F6A8C"/>
    <w:rsid w:val="003F74B9"/>
    <w:rsid w:val="003F755C"/>
    <w:rsid w:val="003F7801"/>
    <w:rsid w:val="00406F01"/>
    <w:rsid w:val="0040717F"/>
    <w:rsid w:val="00413FC1"/>
    <w:rsid w:val="00415CE8"/>
    <w:rsid w:val="00416D25"/>
    <w:rsid w:val="00416D50"/>
    <w:rsid w:val="00416FD5"/>
    <w:rsid w:val="00417772"/>
    <w:rsid w:val="00420E6A"/>
    <w:rsid w:val="00422026"/>
    <w:rsid w:val="00425A9E"/>
    <w:rsid w:val="00426D6B"/>
    <w:rsid w:val="00431E6C"/>
    <w:rsid w:val="00433CE7"/>
    <w:rsid w:val="00434B22"/>
    <w:rsid w:val="004367D7"/>
    <w:rsid w:val="00443AA5"/>
    <w:rsid w:val="00444888"/>
    <w:rsid w:val="00452738"/>
    <w:rsid w:val="00456091"/>
    <w:rsid w:val="0045674A"/>
    <w:rsid w:val="00457F1B"/>
    <w:rsid w:val="00462891"/>
    <w:rsid w:val="00464EA0"/>
    <w:rsid w:val="00466321"/>
    <w:rsid w:val="00476F5A"/>
    <w:rsid w:val="00480918"/>
    <w:rsid w:val="004812ED"/>
    <w:rsid w:val="00484B9B"/>
    <w:rsid w:val="004855F6"/>
    <w:rsid w:val="0048661E"/>
    <w:rsid w:val="00494670"/>
    <w:rsid w:val="004A18A1"/>
    <w:rsid w:val="004A3728"/>
    <w:rsid w:val="004A3823"/>
    <w:rsid w:val="004A4ADF"/>
    <w:rsid w:val="004C035B"/>
    <w:rsid w:val="004C1161"/>
    <w:rsid w:val="004C37A3"/>
    <w:rsid w:val="004C4377"/>
    <w:rsid w:val="004C7047"/>
    <w:rsid w:val="004D063E"/>
    <w:rsid w:val="004D4A57"/>
    <w:rsid w:val="004D5164"/>
    <w:rsid w:val="004D544F"/>
    <w:rsid w:val="004D5D4B"/>
    <w:rsid w:val="004D7B06"/>
    <w:rsid w:val="004E09B9"/>
    <w:rsid w:val="004E420C"/>
    <w:rsid w:val="004E4919"/>
    <w:rsid w:val="004E6946"/>
    <w:rsid w:val="004F1AD8"/>
    <w:rsid w:val="004F2AD6"/>
    <w:rsid w:val="005004AD"/>
    <w:rsid w:val="00503660"/>
    <w:rsid w:val="005039CB"/>
    <w:rsid w:val="00503E4E"/>
    <w:rsid w:val="0050558F"/>
    <w:rsid w:val="00506286"/>
    <w:rsid w:val="005064D3"/>
    <w:rsid w:val="00510813"/>
    <w:rsid w:val="00511990"/>
    <w:rsid w:val="00511DE0"/>
    <w:rsid w:val="00512A0A"/>
    <w:rsid w:val="00514870"/>
    <w:rsid w:val="00514B9B"/>
    <w:rsid w:val="005162A7"/>
    <w:rsid w:val="005173C2"/>
    <w:rsid w:val="00517F02"/>
    <w:rsid w:val="0052149C"/>
    <w:rsid w:val="00522411"/>
    <w:rsid w:val="00524303"/>
    <w:rsid w:val="005249DF"/>
    <w:rsid w:val="005258A2"/>
    <w:rsid w:val="005320AE"/>
    <w:rsid w:val="005340D8"/>
    <w:rsid w:val="00535BFD"/>
    <w:rsid w:val="00536530"/>
    <w:rsid w:val="005401AE"/>
    <w:rsid w:val="00542E07"/>
    <w:rsid w:val="005432B2"/>
    <w:rsid w:val="00544A22"/>
    <w:rsid w:val="00545424"/>
    <w:rsid w:val="005456A3"/>
    <w:rsid w:val="005547AF"/>
    <w:rsid w:val="00554A7B"/>
    <w:rsid w:val="0055572C"/>
    <w:rsid w:val="0055598D"/>
    <w:rsid w:val="00556771"/>
    <w:rsid w:val="0055760F"/>
    <w:rsid w:val="0056106A"/>
    <w:rsid w:val="00561D04"/>
    <w:rsid w:val="00561DBF"/>
    <w:rsid w:val="00570C99"/>
    <w:rsid w:val="005720AE"/>
    <w:rsid w:val="005738C8"/>
    <w:rsid w:val="00586CDA"/>
    <w:rsid w:val="0059169B"/>
    <w:rsid w:val="005925CB"/>
    <w:rsid w:val="00594522"/>
    <w:rsid w:val="00594D77"/>
    <w:rsid w:val="005969E4"/>
    <w:rsid w:val="00596D1C"/>
    <w:rsid w:val="005A0387"/>
    <w:rsid w:val="005A06B7"/>
    <w:rsid w:val="005A1759"/>
    <w:rsid w:val="005A5DBB"/>
    <w:rsid w:val="005A68A7"/>
    <w:rsid w:val="005A6EC6"/>
    <w:rsid w:val="005B1D85"/>
    <w:rsid w:val="005B6249"/>
    <w:rsid w:val="005C0C7D"/>
    <w:rsid w:val="005C7B43"/>
    <w:rsid w:val="005D36AB"/>
    <w:rsid w:val="005D526B"/>
    <w:rsid w:val="005E1083"/>
    <w:rsid w:val="005E5599"/>
    <w:rsid w:val="005E65B9"/>
    <w:rsid w:val="005F693B"/>
    <w:rsid w:val="00600DD4"/>
    <w:rsid w:val="00602210"/>
    <w:rsid w:val="006043ED"/>
    <w:rsid w:val="00607787"/>
    <w:rsid w:val="00607D87"/>
    <w:rsid w:val="00611553"/>
    <w:rsid w:val="006119C4"/>
    <w:rsid w:val="00612068"/>
    <w:rsid w:val="006151E8"/>
    <w:rsid w:val="0061690D"/>
    <w:rsid w:val="00617CC3"/>
    <w:rsid w:val="00621521"/>
    <w:rsid w:val="006226B0"/>
    <w:rsid w:val="0063036F"/>
    <w:rsid w:val="0063149F"/>
    <w:rsid w:val="006377A6"/>
    <w:rsid w:val="00637A3D"/>
    <w:rsid w:val="006411EF"/>
    <w:rsid w:val="0064126D"/>
    <w:rsid w:val="006413DD"/>
    <w:rsid w:val="00645208"/>
    <w:rsid w:val="00645C2F"/>
    <w:rsid w:val="0064681D"/>
    <w:rsid w:val="00647B59"/>
    <w:rsid w:val="006552A7"/>
    <w:rsid w:val="00660C8A"/>
    <w:rsid w:val="00662BFD"/>
    <w:rsid w:val="00666CF3"/>
    <w:rsid w:val="006748B8"/>
    <w:rsid w:val="00675161"/>
    <w:rsid w:val="00676689"/>
    <w:rsid w:val="00676CA3"/>
    <w:rsid w:val="006775C3"/>
    <w:rsid w:val="00682568"/>
    <w:rsid w:val="00684A26"/>
    <w:rsid w:val="00690170"/>
    <w:rsid w:val="006911B2"/>
    <w:rsid w:val="00692527"/>
    <w:rsid w:val="0069290A"/>
    <w:rsid w:val="0069405C"/>
    <w:rsid w:val="0069775A"/>
    <w:rsid w:val="00697813"/>
    <w:rsid w:val="006A10CA"/>
    <w:rsid w:val="006A3EE8"/>
    <w:rsid w:val="006A72BF"/>
    <w:rsid w:val="006A76DB"/>
    <w:rsid w:val="006B03F2"/>
    <w:rsid w:val="006B37DC"/>
    <w:rsid w:val="006B4F68"/>
    <w:rsid w:val="006B60EF"/>
    <w:rsid w:val="006C0094"/>
    <w:rsid w:val="006C0592"/>
    <w:rsid w:val="006C272E"/>
    <w:rsid w:val="006C30C5"/>
    <w:rsid w:val="006C335E"/>
    <w:rsid w:val="006C4688"/>
    <w:rsid w:val="006C51C7"/>
    <w:rsid w:val="006C5479"/>
    <w:rsid w:val="006C565F"/>
    <w:rsid w:val="006D13B5"/>
    <w:rsid w:val="006D5804"/>
    <w:rsid w:val="006E09FC"/>
    <w:rsid w:val="006E12FF"/>
    <w:rsid w:val="006E3229"/>
    <w:rsid w:val="006E607E"/>
    <w:rsid w:val="006F0207"/>
    <w:rsid w:val="006F06EA"/>
    <w:rsid w:val="006F2579"/>
    <w:rsid w:val="006F2EB8"/>
    <w:rsid w:val="006F4979"/>
    <w:rsid w:val="006F4C7E"/>
    <w:rsid w:val="00701272"/>
    <w:rsid w:val="00702ACE"/>
    <w:rsid w:val="00702D06"/>
    <w:rsid w:val="00706C5D"/>
    <w:rsid w:val="00712352"/>
    <w:rsid w:val="00712496"/>
    <w:rsid w:val="007140B5"/>
    <w:rsid w:val="00720477"/>
    <w:rsid w:val="007219FE"/>
    <w:rsid w:val="0072715F"/>
    <w:rsid w:val="007274D3"/>
    <w:rsid w:val="00732922"/>
    <w:rsid w:val="00736FF3"/>
    <w:rsid w:val="00737C7A"/>
    <w:rsid w:val="00741A14"/>
    <w:rsid w:val="007425A3"/>
    <w:rsid w:val="007432A6"/>
    <w:rsid w:val="0074572A"/>
    <w:rsid w:val="00747577"/>
    <w:rsid w:val="00750425"/>
    <w:rsid w:val="00750D6F"/>
    <w:rsid w:val="0075162E"/>
    <w:rsid w:val="00754034"/>
    <w:rsid w:val="0075599F"/>
    <w:rsid w:val="00756556"/>
    <w:rsid w:val="007618C4"/>
    <w:rsid w:val="007665C0"/>
    <w:rsid w:val="00766DC2"/>
    <w:rsid w:val="00767980"/>
    <w:rsid w:val="00767F87"/>
    <w:rsid w:val="00770B19"/>
    <w:rsid w:val="00771CD1"/>
    <w:rsid w:val="0077463F"/>
    <w:rsid w:val="00774C1F"/>
    <w:rsid w:val="007836EA"/>
    <w:rsid w:val="00784CDA"/>
    <w:rsid w:val="0078586A"/>
    <w:rsid w:val="007906C4"/>
    <w:rsid w:val="00790D1A"/>
    <w:rsid w:val="007927A6"/>
    <w:rsid w:val="00793DE3"/>
    <w:rsid w:val="007940EA"/>
    <w:rsid w:val="007967E8"/>
    <w:rsid w:val="007A2170"/>
    <w:rsid w:val="007A22BF"/>
    <w:rsid w:val="007A3323"/>
    <w:rsid w:val="007A3344"/>
    <w:rsid w:val="007A4968"/>
    <w:rsid w:val="007A49F2"/>
    <w:rsid w:val="007A504C"/>
    <w:rsid w:val="007B2D18"/>
    <w:rsid w:val="007B72B8"/>
    <w:rsid w:val="007B7A58"/>
    <w:rsid w:val="007B7BB6"/>
    <w:rsid w:val="007C21B5"/>
    <w:rsid w:val="007C2406"/>
    <w:rsid w:val="007C3E4F"/>
    <w:rsid w:val="007C5DF9"/>
    <w:rsid w:val="007D1D28"/>
    <w:rsid w:val="007D3280"/>
    <w:rsid w:val="007D48AD"/>
    <w:rsid w:val="007D515D"/>
    <w:rsid w:val="007E4BD2"/>
    <w:rsid w:val="007E7873"/>
    <w:rsid w:val="007F4B57"/>
    <w:rsid w:val="007F6E99"/>
    <w:rsid w:val="007F7609"/>
    <w:rsid w:val="00801393"/>
    <w:rsid w:val="00802F88"/>
    <w:rsid w:val="00806708"/>
    <w:rsid w:val="00807BA1"/>
    <w:rsid w:val="00811C6A"/>
    <w:rsid w:val="0081293E"/>
    <w:rsid w:val="00813AAB"/>
    <w:rsid w:val="00815465"/>
    <w:rsid w:val="00817364"/>
    <w:rsid w:val="00817E9A"/>
    <w:rsid w:val="00820418"/>
    <w:rsid w:val="00820C17"/>
    <w:rsid w:val="008211C4"/>
    <w:rsid w:val="00824712"/>
    <w:rsid w:val="00825346"/>
    <w:rsid w:val="008306BD"/>
    <w:rsid w:val="00831A80"/>
    <w:rsid w:val="00833743"/>
    <w:rsid w:val="00833B0D"/>
    <w:rsid w:val="008340A4"/>
    <w:rsid w:val="00837B21"/>
    <w:rsid w:val="00842717"/>
    <w:rsid w:val="008437AC"/>
    <w:rsid w:val="008511C9"/>
    <w:rsid w:val="00852F03"/>
    <w:rsid w:val="008533E9"/>
    <w:rsid w:val="00860693"/>
    <w:rsid w:val="008650B2"/>
    <w:rsid w:val="00865B5A"/>
    <w:rsid w:val="0086779D"/>
    <w:rsid w:val="0087135F"/>
    <w:rsid w:val="00872A59"/>
    <w:rsid w:val="00872D94"/>
    <w:rsid w:val="0087398A"/>
    <w:rsid w:val="008743D0"/>
    <w:rsid w:val="00880364"/>
    <w:rsid w:val="00891592"/>
    <w:rsid w:val="00891E9E"/>
    <w:rsid w:val="008A1E66"/>
    <w:rsid w:val="008A2C67"/>
    <w:rsid w:val="008A2F68"/>
    <w:rsid w:val="008A3B2A"/>
    <w:rsid w:val="008A4CAE"/>
    <w:rsid w:val="008A6C89"/>
    <w:rsid w:val="008B320B"/>
    <w:rsid w:val="008B4FA6"/>
    <w:rsid w:val="008B5282"/>
    <w:rsid w:val="008B5D43"/>
    <w:rsid w:val="008B7C17"/>
    <w:rsid w:val="008C289F"/>
    <w:rsid w:val="008C2D01"/>
    <w:rsid w:val="008C40E6"/>
    <w:rsid w:val="008C4999"/>
    <w:rsid w:val="008C6846"/>
    <w:rsid w:val="008D0F7A"/>
    <w:rsid w:val="008D143C"/>
    <w:rsid w:val="008D1D1D"/>
    <w:rsid w:val="008D205D"/>
    <w:rsid w:val="008D432D"/>
    <w:rsid w:val="008D5ECA"/>
    <w:rsid w:val="008D68E4"/>
    <w:rsid w:val="008D7D84"/>
    <w:rsid w:val="008E0506"/>
    <w:rsid w:val="008E0CFF"/>
    <w:rsid w:val="008E5D6B"/>
    <w:rsid w:val="008E7361"/>
    <w:rsid w:val="008E76F0"/>
    <w:rsid w:val="008F15FE"/>
    <w:rsid w:val="008F23DB"/>
    <w:rsid w:val="008F2D29"/>
    <w:rsid w:val="008F31FB"/>
    <w:rsid w:val="008F5187"/>
    <w:rsid w:val="008F60D8"/>
    <w:rsid w:val="00900146"/>
    <w:rsid w:val="00900F9C"/>
    <w:rsid w:val="00902727"/>
    <w:rsid w:val="0090312B"/>
    <w:rsid w:val="0090748C"/>
    <w:rsid w:val="00910251"/>
    <w:rsid w:val="009163EE"/>
    <w:rsid w:val="00916D53"/>
    <w:rsid w:val="0091736D"/>
    <w:rsid w:val="00922CB9"/>
    <w:rsid w:val="00924F98"/>
    <w:rsid w:val="0092633D"/>
    <w:rsid w:val="0092721C"/>
    <w:rsid w:val="00927ACA"/>
    <w:rsid w:val="0093032B"/>
    <w:rsid w:val="0093037A"/>
    <w:rsid w:val="00936988"/>
    <w:rsid w:val="00937159"/>
    <w:rsid w:val="009406B2"/>
    <w:rsid w:val="00940CD6"/>
    <w:rsid w:val="00940D91"/>
    <w:rsid w:val="0094132D"/>
    <w:rsid w:val="0094147B"/>
    <w:rsid w:val="0094154D"/>
    <w:rsid w:val="00943748"/>
    <w:rsid w:val="00947D2F"/>
    <w:rsid w:val="00951512"/>
    <w:rsid w:val="0095155F"/>
    <w:rsid w:val="009521C5"/>
    <w:rsid w:val="00954429"/>
    <w:rsid w:val="009563CE"/>
    <w:rsid w:val="00966904"/>
    <w:rsid w:val="00967182"/>
    <w:rsid w:val="00967CA8"/>
    <w:rsid w:val="0097339C"/>
    <w:rsid w:val="0097383A"/>
    <w:rsid w:val="009753F1"/>
    <w:rsid w:val="00976328"/>
    <w:rsid w:val="0097680D"/>
    <w:rsid w:val="00981D33"/>
    <w:rsid w:val="00982438"/>
    <w:rsid w:val="009828EB"/>
    <w:rsid w:val="0098404C"/>
    <w:rsid w:val="00984918"/>
    <w:rsid w:val="00985016"/>
    <w:rsid w:val="00985283"/>
    <w:rsid w:val="009902F5"/>
    <w:rsid w:val="00990891"/>
    <w:rsid w:val="00992852"/>
    <w:rsid w:val="00992BC7"/>
    <w:rsid w:val="00993330"/>
    <w:rsid w:val="00995992"/>
    <w:rsid w:val="00996771"/>
    <w:rsid w:val="00997CD5"/>
    <w:rsid w:val="009A03E5"/>
    <w:rsid w:val="009A0F3B"/>
    <w:rsid w:val="009A1BB4"/>
    <w:rsid w:val="009A21A9"/>
    <w:rsid w:val="009A2628"/>
    <w:rsid w:val="009A3200"/>
    <w:rsid w:val="009A5BB0"/>
    <w:rsid w:val="009B0897"/>
    <w:rsid w:val="009B5217"/>
    <w:rsid w:val="009B7BD9"/>
    <w:rsid w:val="009C0103"/>
    <w:rsid w:val="009C0CDE"/>
    <w:rsid w:val="009C6E11"/>
    <w:rsid w:val="009C6F31"/>
    <w:rsid w:val="009C71A7"/>
    <w:rsid w:val="009C7DD5"/>
    <w:rsid w:val="009D1E89"/>
    <w:rsid w:val="009D6EEE"/>
    <w:rsid w:val="009E227D"/>
    <w:rsid w:val="009E4058"/>
    <w:rsid w:val="009E5019"/>
    <w:rsid w:val="009F289E"/>
    <w:rsid w:val="009F7E2D"/>
    <w:rsid w:val="00A012D8"/>
    <w:rsid w:val="00A01D95"/>
    <w:rsid w:val="00A04620"/>
    <w:rsid w:val="00A04F1B"/>
    <w:rsid w:val="00A0501B"/>
    <w:rsid w:val="00A10F52"/>
    <w:rsid w:val="00A1468C"/>
    <w:rsid w:val="00A14947"/>
    <w:rsid w:val="00A23B1C"/>
    <w:rsid w:val="00A2421B"/>
    <w:rsid w:val="00A251F1"/>
    <w:rsid w:val="00A258E4"/>
    <w:rsid w:val="00A32A83"/>
    <w:rsid w:val="00A330B1"/>
    <w:rsid w:val="00A337B4"/>
    <w:rsid w:val="00A35C54"/>
    <w:rsid w:val="00A368DB"/>
    <w:rsid w:val="00A41515"/>
    <w:rsid w:val="00A423AA"/>
    <w:rsid w:val="00A449FC"/>
    <w:rsid w:val="00A458A6"/>
    <w:rsid w:val="00A4789F"/>
    <w:rsid w:val="00A506F3"/>
    <w:rsid w:val="00A51593"/>
    <w:rsid w:val="00A52227"/>
    <w:rsid w:val="00A53EC6"/>
    <w:rsid w:val="00A55C0F"/>
    <w:rsid w:val="00A56FEB"/>
    <w:rsid w:val="00A5740A"/>
    <w:rsid w:val="00A60A31"/>
    <w:rsid w:val="00A62F50"/>
    <w:rsid w:val="00A6448A"/>
    <w:rsid w:val="00A65517"/>
    <w:rsid w:val="00A665A5"/>
    <w:rsid w:val="00A667D6"/>
    <w:rsid w:val="00A71171"/>
    <w:rsid w:val="00A7327A"/>
    <w:rsid w:val="00A74018"/>
    <w:rsid w:val="00A8043F"/>
    <w:rsid w:val="00A8368A"/>
    <w:rsid w:val="00A85407"/>
    <w:rsid w:val="00A8713F"/>
    <w:rsid w:val="00A90BA1"/>
    <w:rsid w:val="00A92661"/>
    <w:rsid w:val="00A93E12"/>
    <w:rsid w:val="00A97593"/>
    <w:rsid w:val="00A97A9A"/>
    <w:rsid w:val="00AA0671"/>
    <w:rsid w:val="00AA1DE9"/>
    <w:rsid w:val="00AA2531"/>
    <w:rsid w:val="00AA2A85"/>
    <w:rsid w:val="00AA30B1"/>
    <w:rsid w:val="00AA50DC"/>
    <w:rsid w:val="00AA5B16"/>
    <w:rsid w:val="00AB1E09"/>
    <w:rsid w:val="00AB2309"/>
    <w:rsid w:val="00AB5330"/>
    <w:rsid w:val="00AB6F5E"/>
    <w:rsid w:val="00AB73C0"/>
    <w:rsid w:val="00AB7747"/>
    <w:rsid w:val="00AC1456"/>
    <w:rsid w:val="00AC14AF"/>
    <w:rsid w:val="00AC14CE"/>
    <w:rsid w:val="00AC22F3"/>
    <w:rsid w:val="00AC2A56"/>
    <w:rsid w:val="00AC3182"/>
    <w:rsid w:val="00AC3DC8"/>
    <w:rsid w:val="00AC5EEE"/>
    <w:rsid w:val="00AC6042"/>
    <w:rsid w:val="00AD055E"/>
    <w:rsid w:val="00AD47A7"/>
    <w:rsid w:val="00AD56B1"/>
    <w:rsid w:val="00AE5A89"/>
    <w:rsid w:val="00AF0C6F"/>
    <w:rsid w:val="00AF0CBF"/>
    <w:rsid w:val="00AF257F"/>
    <w:rsid w:val="00AF3029"/>
    <w:rsid w:val="00AF33CF"/>
    <w:rsid w:val="00AF4D50"/>
    <w:rsid w:val="00AF6179"/>
    <w:rsid w:val="00AF69F8"/>
    <w:rsid w:val="00B00CAB"/>
    <w:rsid w:val="00B01AD0"/>
    <w:rsid w:val="00B01CCE"/>
    <w:rsid w:val="00B021E4"/>
    <w:rsid w:val="00B061EB"/>
    <w:rsid w:val="00B0754E"/>
    <w:rsid w:val="00B1295A"/>
    <w:rsid w:val="00B15407"/>
    <w:rsid w:val="00B16DF9"/>
    <w:rsid w:val="00B20591"/>
    <w:rsid w:val="00B206D0"/>
    <w:rsid w:val="00B20A45"/>
    <w:rsid w:val="00B22C5C"/>
    <w:rsid w:val="00B2424D"/>
    <w:rsid w:val="00B24F30"/>
    <w:rsid w:val="00B3022C"/>
    <w:rsid w:val="00B31ABF"/>
    <w:rsid w:val="00B3395C"/>
    <w:rsid w:val="00B33BE3"/>
    <w:rsid w:val="00B37C21"/>
    <w:rsid w:val="00B4088B"/>
    <w:rsid w:val="00B41246"/>
    <w:rsid w:val="00B4165B"/>
    <w:rsid w:val="00B428B9"/>
    <w:rsid w:val="00B4761C"/>
    <w:rsid w:val="00B47F17"/>
    <w:rsid w:val="00B510AC"/>
    <w:rsid w:val="00B53B5D"/>
    <w:rsid w:val="00B56F6C"/>
    <w:rsid w:val="00B57F2D"/>
    <w:rsid w:val="00B6055E"/>
    <w:rsid w:val="00B6317D"/>
    <w:rsid w:val="00B70044"/>
    <w:rsid w:val="00B74906"/>
    <w:rsid w:val="00B76EE1"/>
    <w:rsid w:val="00B7723F"/>
    <w:rsid w:val="00B80534"/>
    <w:rsid w:val="00B83604"/>
    <w:rsid w:val="00B8433C"/>
    <w:rsid w:val="00B87491"/>
    <w:rsid w:val="00B919D7"/>
    <w:rsid w:val="00BA29E9"/>
    <w:rsid w:val="00BA4B12"/>
    <w:rsid w:val="00BA5C60"/>
    <w:rsid w:val="00BA7142"/>
    <w:rsid w:val="00BB096B"/>
    <w:rsid w:val="00BB237C"/>
    <w:rsid w:val="00BB41A3"/>
    <w:rsid w:val="00BB7E46"/>
    <w:rsid w:val="00BC0C8E"/>
    <w:rsid w:val="00BC2F59"/>
    <w:rsid w:val="00BC32DC"/>
    <w:rsid w:val="00BC35B6"/>
    <w:rsid w:val="00BC746D"/>
    <w:rsid w:val="00BD1B51"/>
    <w:rsid w:val="00BD4596"/>
    <w:rsid w:val="00BD5188"/>
    <w:rsid w:val="00BD7168"/>
    <w:rsid w:val="00BE1405"/>
    <w:rsid w:val="00BE2BD6"/>
    <w:rsid w:val="00BE312D"/>
    <w:rsid w:val="00BE67BC"/>
    <w:rsid w:val="00BF094A"/>
    <w:rsid w:val="00BF1C20"/>
    <w:rsid w:val="00BF3582"/>
    <w:rsid w:val="00BF3728"/>
    <w:rsid w:val="00BF6C39"/>
    <w:rsid w:val="00BF6D28"/>
    <w:rsid w:val="00C002A7"/>
    <w:rsid w:val="00C07163"/>
    <w:rsid w:val="00C10578"/>
    <w:rsid w:val="00C1175F"/>
    <w:rsid w:val="00C128EF"/>
    <w:rsid w:val="00C12D10"/>
    <w:rsid w:val="00C13200"/>
    <w:rsid w:val="00C135BC"/>
    <w:rsid w:val="00C15C95"/>
    <w:rsid w:val="00C20891"/>
    <w:rsid w:val="00C22DB3"/>
    <w:rsid w:val="00C2596A"/>
    <w:rsid w:val="00C26B32"/>
    <w:rsid w:val="00C27537"/>
    <w:rsid w:val="00C32365"/>
    <w:rsid w:val="00C328FE"/>
    <w:rsid w:val="00C33507"/>
    <w:rsid w:val="00C33C51"/>
    <w:rsid w:val="00C427E1"/>
    <w:rsid w:val="00C4409D"/>
    <w:rsid w:val="00C44E72"/>
    <w:rsid w:val="00C45232"/>
    <w:rsid w:val="00C45A06"/>
    <w:rsid w:val="00C45DC4"/>
    <w:rsid w:val="00C47E5B"/>
    <w:rsid w:val="00C50E91"/>
    <w:rsid w:val="00C50FC7"/>
    <w:rsid w:val="00C52D72"/>
    <w:rsid w:val="00C61E4B"/>
    <w:rsid w:val="00C64BFF"/>
    <w:rsid w:val="00C65BF4"/>
    <w:rsid w:val="00C704E9"/>
    <w:rsid w:val="00C75D9B"/>
    <w:rsid w:val="00C763C9"/>
    <w:rsid w:val="00C80057"/>
    <w:rsid w:val="00C82232"/>
    <w:rsid w:val="00C82913"/>
    <w:rsid w:val="00C85260"/>
    <w:rsid w:val="00C86A76"/>
    <w:rsid w:val="00C8739B"/>
    <w:rsid w:val="00C92DB3"/>
    <w:rsid w:val="00C9688E"/>
    <w:rsid w:val="00C96F39"/>
    <w:rsid w:val="00C972B1"/>
    <w:rsid w:val="00CA2CCE"/>
    <w:rsid w:val="00CA2FDB"/>
    <w:rsid w:val="00CA3863"/>
    <w:rsid w:val="00CA402E"/>
    <w:rsid w:val="00CA43FD"/>
    <w:rsid w:val="00CA5326"/>
    <w:rsid w:val="00CA7EF8"/>
    <w:rsid w:val="00CB083D"/>
    <w:rsid w:val="00CB0C5F"/>
    <w:rsid w:val="00CB41B0"/>
    <w:rsid w:val="00CB4DDD"/>
    <w:rsid w:val="00CC21B8"/>
    <w:rsid w:val="00CC23B1"/>
    <w:rsid w:val="00CC489B"/>
    <w:rsid w:val="00CC75F5"/>
    <w:rsid w:val="00CD1D7E"/>
    <w:rsid w:val="00CD2BCD"/>
    <w:rsid w:val="00CD3A4C"/>
    <w:rsid w:val="00CD4BEC"/>
    <w:rsid w:val="00CD53D7"/>
    <w:rsid w:val="00CE08D4"/>
    <w:rsid w:val="00CE10E9"/>
    <w:rsid w:val="00CE2910"/>
    <w:rsid w:val="00CE48E3"/>
    <w:rsid w:val="00CE5393"/>
    <w:rsid w:val="00CE5A67"/>
    <w:rsid w:val="00CF2DE3"/>
    <w:rsid w:val="00CF36BE"/>
    <w:rsid w:val="00CF3EC7"/>
    <w:rsid w:val="00CF6000"/>
    <w:rsid w:val="00D003F3"/>
    <w:rsid w:val="00D010BD"/>
    <w:rsid w:val="00D02F50"/>
    <w:rsid w:val="00D0364F"/>
    <w:rsid w:val="00D06195"/>
    <w:rsid w:val="00D06834"/>
    <w:rsid w:val="00D06910"/>
    <w:rsid w:val="00D108D5"/>
    <w:rsid w:val="00D124A5"/>
    <w:rsid w:val="00D132B2"/>
    <w:rsid w:val="00D142C7"/>
    <w:rsid w:val="00D2562B"/>
    <w:rsid w:val="00D308ED"/>
    <w:rsid w:val="00D30AF5"/>
    <w:rsid w:val="00D31D0E"/>
    <w:rsid w:val="00D32AF7"/>
    <w:rsid w:val="00D33B96"/>
    <w:rsid w:val="00D3522C"/>
    <w:rsid w:val="00D358A2"/>
    <w:rsid w:val="00D36D86"/>
    <w:rsid w:val="00D40D7B"/>
    <w:rsid w:val="00D40E87"/>
    <w:rsid w:val="00D428AA"/>
    <w:rsid w:val="00D45553"/>
    <w:rsid w:val="00D47EAA"/>
    <w:rsid w:val="00D50A34"/>
    <w:rsid w:val="00D51274"/>
    <w:rsid w:val="00D53EFA"/>
    <w:rsid w:val="00D55BA2"/>
    <w:rsid w:val="00D56F0E"/>
    <w:rsid w:val="00D62D18"/>
    <w:rsid w:val="00D65EF3"/>
    <w:rsid w:val="00D66853"/>
    <w:rsid w:val="00D66B01"/>
    <w:rsid w:val="00D764A4"/>
    <w:rsid w:val="00D9314E"/>
    <w:rsid w:val="00D94A7C"/>
    <w:rsid w:val="00D95896"/>
    <w:rsid w:val="00D96DA2"/>
    <w:rsid w:val="00DA01F1"/>
    <w:rsid w:val="00DA469B"/>
    <w:rsid w:val="00DA587C"/>
    <w:rsid w:val="00DA5E06"/>
    <w:rsid w:val="00DB01FF"/>
    <w:rsid w:val="00DB2983"/>
    <w:rsid w:val="00DB2E2A"/>
    <w:rsid w:val="00DB5AC5"/>
    <w:rsid w:val="00DB6D8A"/>
    <w:rsid w:val="00DC1257"/>
    <w:rsid w:val="00DC1F41"/>
    <w:rsid w:val="00DC2297"/>
    <w:rsid w:val="00DC3DC0"/>
    <w:rsid w:val="00DC5B2B"/>
    <w:rsid w:val="00DC5CFE"/>
    <w:rsid w:val="00DC5DC0"/>
    <w:rsid w:val="00DC7A52"/>
    <w:rsid w:val="00DD17A9"/>
    <w:rsid w:val="00DD318D"/>
    <w:rsid w:val="00DD4849"/>
    <w:rsid w:val="00DE4E17"/>
    <w:rsid w:val="00DF02BE"/>
    <w:rsid w:val="00DF2E12"/>
    <w:rsid w:val="00DF514A"/>
    <w:rsid w:val="00DF6690"/>
    <w:rsid w:val="00DF6804"/>
    <w:rsid w:val="00DF6A40"/>
    <w:rsid w:val="00E01972"/>
    <w:rsid w:val="00E02F74"/>
    <w:rsid w:val="00E0358D"/>
    <w:rsid w:val="00E04323"/>
    <w:rsid w:val="00E069E7"/>
    <w:rsid w:val="00E070A2"/>
    <w:rsid w:val="00E10642"/>
    <w:rsid w:val="00E118AB"/>
    <w:rsid w:val="00E1339F"/>
    <w:rsid w:val="00E13CF1"/>
    <w:rsid w:val="00E14BF3"/>
    <w:rsid w:val="00E23B22"/>
    <w:rsid w:val="00E260C3"/>
    <w:rsid w:val="00E2656A"/>
    <w:rsid w:val="00E36953"/>
    <w:rsid w:val="00E412D0"/>
    <w:rsid w:val="00E42023"/>
    <w:rsid w:val="00E42E37"/>
    <w:rsid w:val="00E467A1"/>
    <w:rsid w:val="00E467A7"/>
    <w:rsid w:val="00E46F2E"/>
    <w:rsid w:val="00E501DA"/>
    <w:rsid w:val="00E51483"/>
    <w:rsid w:val="00E5438A"/>
    <w:rsid w:val="00E559FA"/>
    <w:rsid w:val="00E56322"/>
    <w:rsid w:val="00E5678F"/>
    <w:rsid w:val="00E5733E"/>
    <w:rsid w:val="00E60982"/>
    <w:rsid w:val="00E62C62"/>
    <w:rsid w:val="00E62F1A"/>
    <w:rsid w:val="00E654C1"/>
    <w:rsid w:val="00E65C87"/>
    <w:rsid w:val="00E65D97"/>
    <w:rsid w:val="00E66059"/>
    <w:rsid w:val="00E66A6B"/>
    <w:rsid w:val="00E72A5A"/>
    <w:rsid w:val="00E72ACC"/>
    <w:rsid w:val="00E72CA7"/>
    <w:rsid w:val="00E73354"/>
    <w:rsid w:val="00E73B37"/>
    <w:rsid w:val="00E75800"/>
    <w:rsid w:val="00E9242D"/>
    <w:rsid w:val="00E937F8"/>
    <w:rsid w:val="00E97972"/>
    <w:rsid w:val="00EA16DB"/>
    <w:rsid w:val="00EA24D7"/>
    <w:rsid w:val="00EA3AB1"/>
    <w:rsid w:val="00EA4DEE"/>
    <w:rsid w:val="00EA570A"/>
    <w:rsid w:val="00EA7D1D"/>
    <w:rsid w:val="00EB0D5F"/>
    <w:rsid w:val="00EB5255"/>
    <w:rsid w:val="00EB5C47"/>
    <w:rsid w:val="00EB6AF6"/>
    <w:rsid w:val="00EB6EE3"/>
    <w:rsid w:val="00EC088A"/>
    <w:rsid w:val="00EC5C85"/>
    <w:rsid w:val="00ED0639"/>
    <w:rsid w:val="00ED0A43"/>
    <w:rsid w:val="00ED26B0"/>
    <w:rsid w:val="00ED2D87"/>
    <w:rsid w:val="00ED74AE"/>
    <w:rsid w:val="00EE01B8"/>
    <w:rsid w:val="00EE153B"/>
    <w:rsid w:val="00EE5E8F"/>
    <w:rsid w:val="00EE61D8"/>
    <w:rsid w:val="00EF0535"/>
    <w:rsid w:val="00EF26CA"/>
    <w:rsid w:val="00EF4755"/>
    <w:rsid w:val="00EF7056"/>
    <w:rsid w:val="00EF7135"/>
    <w:rsid w:val="00F01941"/>
    <w:rsid w:val="00F027DB"/>
    <w:rsid w:val="00F051A2"/>
    <w:rsid w:val="00F14A7A"/>
    <w:rsid w:val="00F14E05"/>
    <w:rsid w:val="00F16792"/>
    <w:rsid w:val="00F174A4"/>
    <w:rsid w:val="00F20957"/>
    <w:rsid w:val="00F22985"/>
    <w:rsid w:val="00F25BA0"/>
    <w:rsid w:val="00F30387"/>
    <w:rsid w:val="00F30BEF"/>
    <w:rsid w:val="00F331ED"/>
    <w:rsid w:val="00F3383E"/>
    <w:rsid w:val="00F409AD"/>
    <w:rsid w:val="00F4285D"/>
    <w:rsid w:val="00F465A7"/>
    <w:rsid w:val="00F50199"/>
    <w:rsid w:val="00F50281"/>
    <w:rsid w:val="00F50B7C"/>
    <w:rsid w:val="00F53B59"/>
    <w:rsid w:val="00F550E6"/>
    <w:rsid w:val="00F617A8"/>
    <w:rsid w:val="00F6258B"/>
    <w:rsid w:val="00F62E57"/>
    <w:rsid w:val="00F65E88"/>
    <w:rsid w:val="00F66CB2"/>
    <w:rsid w:val="00F71F13"/>
    <w:rsid w:val="00F72B6D"/>
    <w:rsid w:val="00F74345"/>
    <w:rsid w:val="00F7500D"/>
    <w:rsid w:val="00F750B4"/>
    <w:rsid w:val="00F80A0A"/>
    <w:rsid w:val="00F82B19"/>
    <w:rsid w:val="00F9212D"/>
    <w:rsid w:val="00F926C5"/>
    <w:rsid w:val="00F940B0"/>
    <w:rsid w:val="00F95CC7"/>
    <w:rsid w:val="00F965DA"/>
    <w:rsid w:val="00F96606"/>
    <w:rsid w:val="00FA0398"/>
    <w:rsid w:val="00FA07AA"/>
    <w:rsid w:val="00FA406A"/>
    <w:rsid w:val="00FA4BDD"/>
    <w:rsid w:val="00FA7276"/>
    <w:rsid w:val="00FB0588"/>
    <w:rsid w:val="00FB503A"/>
    <w:rsid w:val="00FB516C"/>
    <w:rsid w:val="00FB69D0"/>
    <w:rsid w:val="00FC1B5E"/>
    <w:rsid w:val="00FC47AF"/>
    <w:rsid w:val="00FC4880"/>
    <w:rsid w:val="00FC5E50"/>
    <w:rsid w:val="00FC7F2E"/>
    <w:rsid w:val="00FD0236"/>
    <w:rsid w:val="00FD18F4"/>
    <w:rsid w:val="00FD3972"/>
    <w:rsid w:val="00FD54DB"/>
    <w:rsid w:val="00FD619F"/>
    <w:rsid w:val="00FE53DA"/>
    <w:rsid w:val="00FF6CE4"/>
    <w:rsid w:val="010B4C0B"/>
    <w:rsid w:val="01244C80"/>
    <w:rsid w:val="01290F7E"/>
    <w:rsid w:val="012C40BF"/>
    <w:rsid w:val="015D1E09"/>
    <w:rsid w:val="017B73E0"/>
    <w:rsid w:val="01BC0B6A"/>
    <w:rsid w:val="02273666"/>
    <w:rsid w:val="02697903"/>
    <w:rsid w:val="02825084"/>
    <w:rsid w:val="02F414F1"/>
    <w:rsid w:val="02F96569"/>
    <w:rsid w:val="0300265F"/>
    <w:rsid w:val="03095844"/>
    <w:rsid w:val="03197A9B"/>
    <w:rsid w:val="03305C40"/>
    <w:rsid w:val="03526E84"/>
    <w:rsid w:val="03795449"/>
    <w:rsid w:val="038A207F"/>
    <w:rsid w:val="038A2C64"/>
    <w:rsid w:val="03CD3706"/>
    <w:rsid w:val="03EA7B21"/>
    <w:rsid w:val="03F743EC"/>
    <w:rsid w:val="04221FDB"/>
    <w:rsid w:val="042D59C7"/>
    <w:rsid w:val="044E498E"/>
    <w:rsid w:val="045D0CFC"/>
    <w:rsid w:val="045E7E22"/>
    <w:rsid w:val="046A3160"/>
    <w:rsid w:val="04814306"/>
    <w:rsid w:val="0498432D"/>
    <w:rsid w:val="04AB40F3"/>
    <w:rsid w:val="04CF7FDA"/>
    <w:rsid w:val="04FA21A1"/>
    <w:rsid w:val="05034F99"/>
    <w:rsid w:val="05050BA8"/>
    <w:rsid w:val="0526132D"/>
    <w:rsid w:val="052913C8"/>
    <w:rsid w:val="053731A7"/>
    <w:rsid w:val="05413F38"/>
    <w:rsid w:val="05500444"/>
    <w:rsid w:val="05F17CAA"/>
    <w:rsid w:val="05F83EAE"/>
    <w:rsid w:val="063E7D85"/>
    <w:rsid w:val="064D7269"/>
    <w:rsid w:val="06532C83"/>
    <w:rsid w:val="066F26C8"/>
    <w:rsid w:val="068714A1"/>
    <w:rsid w:val="06F7534C"/>
    <w:rsid w:val="06F960E5"/>
    <w:rsid w:val="070B18A6"/>
    <w:rsid w:val="071E18DE"/>
    <w:rsid w:val="07264A30"/>
    <w:rsid w:val="07293586"/>
    <w:rsid w:val="07295285"/>
    <w:rsid w:val="074D6B50"/>
    <w:rsid w:val="07636392"/>
    <w:rsid w:val="07684B63"/>
    <w:rsid w:val="07770C56"/>
    <w:rsid w:val="07993D4D"/>
    <w:rsid w:val="07B73838"/>
    <w:rsid w:val="08724075"/>
    <w:rsid w:val="087E1269"/>
    <w:rsid w:val="092217DD"/>
    <w:rsid w:val="093A7294"/>
    <w:rsid w:val="099C5ECE"/>
    <w:rsid w:val="09B3331E"/>
    <w:rsid w:val="09BB28B0"/>
    <w:rsid w:val="09D84B59"/>
    <w:rsid w:val="09FA69DA"/>
    <w:rsid w:val="0A045A7A"/>
    <w:rsid w:val="0A1500A5"/>
    <w:rsid w:val="0A263993"/>
    <w:rsid w:val="0A2D3AC2"/>
    <w:rsid w:val="0A5A57A6"/>
    <w:rsid w:val="0A603684"/>
    <w:rsid w:val="0A7E1D45"/>
    <w:rsid w:val="0A8006FE"/>
    <w:rsid w:val="0AA755DF"/>
    <w:rsid w:val="0AFB0806"/>
    <w:rsid w:val="0B120D44"/>
    <w:rsid w:val="0B132449"/>
    <w:rsid w:val="0B386CEF"/>
    <w:rsid w:val="0B4D070E"/>
    <w:rsid w:val="0B680A2B"/>
    <w:rsid w:val="0B8027C4"/>
    <w:rsid w:val="0B866473"/>
    <w:rsid w:val="0BBA7411"/>
    <w:rsid w:val="0BC11EE9"/>
    <w:rsid w:val="0BCB4B4D"/>
    <w:rsid w:val="0BD27BF6"/>
    <w:rsid w:val="0C060A55"/>
    <w:rsid w:val="0C3B3C7D"/>
    <w:rsid w:val="0C681322"/>
    <w:rsid w:val="0CA33E56"/>
    <w:rsid w:val="0CA72372"/>
    <w:rsid w:val="0CAB2EAE"/>
    <w:rsid w:val="0CCA3F52"/>
    <w:rsid w:val="0CF94177"/>
    <w:rsid w:val="0D234D2D"/>
    <w:rsid w:val="0D494AAE"/>
    <w:rsid w:val="0D621C7D"/>
    <w:rsid w:val="0DCD2046"/>
    <w:rsid w:val="0DF95F8A"/>
    <w:rsid w:val="0E2F6815"/>
    <w:rsid w:val="0E605914"/>
    <w:rsid w:val="0E73034D"/>
    <w:rsid w:val="0E9B1896"/>
    <w:rsid w:val="0EA0228A"/>
    <w:rsid w:val="0EC10CCA"/>
    <w:rsid w:val="0F13775A"/>
    <w:rsid w:val="0F3C5D5B"/>
    <w:rsid w:val="0F5B33AE"/>
    <w:rsid w:val="0F5F45FE"/>
    <w:rsid w:val="0F660FBC"/>
    <w:rsid w:val="0F77579C"/>
    <w:rsid w:val="0F914F0F"/>
    <w:rsid w:val="0F9A112B"/>
    <w:rsid w:val="0FD752ED"/>
    <w:rsid w:val="10090F9D"/>
    <w:rsid w:val="106D2F64"/>
    <w:rsid w:val="1075641B"/>
    <w:rsid w:val="10B63710"/>
    <w:rsid w:val="10F10820"/>
    <w:rsid w:val="10F86157"/>
    <w:rsid w:val="11171563"/>
    <w:rsid w:val="11197992"/>
    <w:rsid w:val="111C2F7A"/>
    <w:rsid w:val="114F23F9"/>
    <w:rsid w:val="11535072"/>
    <w:rsid w:val="115D2F46"/>
    <w:rsid w:val="11665CA1"/>
    <w:rsid w:val="118C564C"/>
    <w:rsid w:val="11E8174C"/>
    <w:rsid w:val="1201651A"/>
    <w:rsid w:val="122824FA"/>
    <w:rsid w:val="128475FF"/>
    <w:rsid w:val="12CF69C5"/>
    <w:rsid w:val="12E70D01"/>
    <w:rsid w:val="131948A4"/>
    <w:rsid w:val="133265F0"/>
    <w:rsid w:val="13951726"/>
    <w:rsid w:val="13A62586"/>
    <w:rsid w:val="13BD463A"/>
    <w:rsid w:val="13DC0215"/>
    <w:rsid w:val="140E2271"/>
    <w:rsid w:val="14161FD3"/>
    <w:rsid w:val="14396509"/>
    <w:rsid w:val="14675E8A"/>
    <w:rsid w:val="147503CE"/>
    <w:rsid w:val="14DD2C3C"/>
    <w:rsid w:val="151768B1"/>
    <w:rsid w:val="151E6BAD"/>
    <w:rsid w:val="153774BF"/>
    <w:rsid w:val="15771F23"/>
    <w:rsid w:val="157D09DF"/>
    <w:rsid w:val="1589268F"/>
    <w:rsid w:val="15D72A95"/>
    <w:rsid w:val="15E400A6"/>
    <w:rsid w:val="15ED0F55"/>
    <w:rsid w:val="16087E1D"/>
    <w:rsid w:val="161102A2"/>
    <w:rsid w:val="163B1838"/>
    <w:rsid w:val="166D3F7B"/>
    <w:rsid w:val="16797724"/>
    <w:rsid w:val="16875D3E"/>
    <w:rsid w:val="16B7389F"/>
    <w:rsid w:val="16F936CA"/>
    <w:rsid w:val="172A5283"/>
    <w:rsid w:val="17412CBB"/>
    <w:rsid w:val="17701D14"/>
    <w:rsid w:val="17735226"/>
    <w:rsid w:val="177C7567"/>
    <w:rsid w:val="178B4F6D"/>
    <w:rsid w:val="180B5E50"/>
    <w:rsid w:val="18160449"/>
    <w:rsid w:val="186A3EB8"/>
    <w:rsid w:val="187F1D0B"/>
    <w:rsid w:val="189F624C"/>
    <w:rsid w:val="18AD52F4"/>
    <w:rsid w:val="18D9099B"/>
    <w:rsid w:val="190966BD"/>
    <w:rsid w:val="192A020C"/>
    <w:rsid w:val="193B6D50"/>
    <w:rsid w:val="1963742B"/>
    <w:rsid w:val="1969665B"/>
    <w:rsid w:val="19943418"/>
    <w:rsid w:val="19E14A04"/>
    <w:rsid w:val="19EF76A5"/>
    <w:rsid w:val="1A1C66C0"/>
    <w:rsid w:val="1A336419"/>
    <w:rsid w:val="1A42393B"/>
    <w:rsid w:val="1A5D1028"/>
    <w:rsid w:val="1A667C46"/>
    <w:rsid w:val="1A70747B"/>
    <w:rsid w:val="1A96136E"/>
    <w:rsid w:val="1AAD45DE"/>
    <w:rsid w:val="1ACA1607"/>
    <w:rsid w:val="1ACF48E0"/>
    <w:rsid w:val="1B046F80"/>
    <w:rsid w:val="1B3267B5"/>
    <w:rsid w:val="1B40161D"/>
    <w:rsid w:val="1B420776"/>
    <w:rsid w:val="1B441859"/>
    <w:rsid w:val="1B4B31C0"/>
    <w:rsid w:val="1B6606B1"/>
    <w:rsid w:val="1B7958A6"/>
    <w:rsid w:val="1B8C2DC7"/>
    <w:rsid w:val="1B9B6361"/>
    <w:rsid w:val="1BA657A2"/>
    <w:rsid w:val="1BD56742"/>
    <w:rsid w:val="1C020B2C"/>
    <w:rsid w:val="1C5E7925"/>
    <w:rsid w:val="1C7E25EE"/>
    <w:rsid w:val="1CB14A9B"/>
    <w:rsid w:val="1CB804B6"/>
    <w:rsid w:val="1CCF3327"/>
    <w:rsid w:val="1CDD436C"/>
    <w:rsid w:val="1CFD070F"/>
    <w:rsid w:val="1D1C3A7D"/>
    <w:rsid w:val="1D372651"/>
    <w:rsid w:val="1D5F6196"/>
    <w:rsid w:val="1D6132A5"/>
    <w:rsid w:val="1D6E065C"/>
    <w:rsid w:val="1D8E56D5"/>
    <w:rsid w:val="1D8F5680"/>
    <w:rsid w:val="1DAA37CA"/>
    <w:rsid w:val="1DE4711E"/>
    <w:rsid w:val="1DF51E60"/>
    <w:rsid w:val="1DF621DB"/>
    <w:rsid w:val="1E0C27D3"/>
    <w:rsid w:val="1E4227BC"/>
    <w:rsid w:val="1E4D111F"/>
    <w:rsid w:val="1E591438"/>
    <w:rsid w:val="1E685C99"/>
    <w:rsid w:val="1E7A43DA"/>
    <w:rsid w:val="1E80032C"/>
    <w:rsid w:val="1EA73B1D"/>
    <w:rsid w:val="1F257AE6"/>
    <w:rsid w:val="1F2A09E8"/>
    <w:rsid w:val="1F4473BE"/>
    <w:rsid w:val="1F805321"/>
    <w:rsid w:val="1FDD74EB"/>
    <w:rsid w:val="1FE7539E"/>
    <w:rsid w:val="1FEC2D34"/>
    <w:rsid w:val="20502AF2"/>
    <w:rsid w:val="20671BE0"/>
    <w:rsid w:val="20690E0D"/>
    <w:rsid w:val="20767EF7"/>
    <w:rsid w:val="20963CB8"/>
    <w:rsid w:val="20A81A1B"/>
    <w:rsid w:val="20B07FB6"/>
    <w:rsid w:val="20B646FB"/>
    <w:rsid w:val="212347FA"/>
    <w:rsid w:val="21306F78"/>
    <w:rsid w:val="213B74B1"/>
    <w:rsid w:val="2142156A"/>
    <w:rsid w:val="21477254"/>
    <w:rsid w:val="215A2310"/>
    <w:rsid w:val="218345A3"/>
    <w:rsid w:val="21B300CF"/>
    <w:rsid w:val="21B711E2"/>
    <w:rsid w:val="21CD7882"/>
    <w:rsid w:val="21DE318A"/>
    <w:rsid w:val="21EF5B80"/>
    <w:rsid w:val="21FA6F30"/>
    <w:rsid w:val="224A59AE"/>
    <w:rsid w:val="22576990"/>
    <w:rsid w:val="227C3AC2"/>
    <w:rsid w:val="229005A7"/>
    <w:rsid w:val="22D11F71"/>
    <w:rsid w:val="22DF0E43"/>
    <w:rsid w:val="22F47480"/>
    <w:rsid w:val="23413CA1"/>
    <w:rsid w:val="23445592"/>
    <w:rsid w:val="236C1F03"/>
    <w:rsid w:val="23D068E0"/>
    <w:rsid w:val="23DE1C48"/>
    <w:rsid w:val="23ED3D6C"/>
    <w:rsid w:val="23EF17BC"/>
    <w:rsid w:val="240210CD"/>
    <w:rsid w:val="24077CCF"/>
    <w:rsid w:val="245142FB"/>
    <w:rsid w:val="24BF09F7"/>
    <w:rsid w:val="24E17B97"/>
    <w:rsid w:val="250772FA"/>
    <w:rsid w:val="250B6DEC"/>
    <w:rsid w:val="252D53FE"/>
    <w:rsid w:val="25650B0E"/>
    <w:rsid w:val="25710679"/>
    <w:rsid w:val="258B3154"/>
    <w:rsid w:val="258D30CD"/>
    <w:rsid w:val="259F40A6"/>
    <w:rsid w:val="25AB77A9"/>
    <w:rsid w:val="25B20298"/>
    <w:rsid w:val="25C50E26"/>
    <w:rsid w:val="25EC2D81"/>
    <w:rsid w:val="260F7C5D"/>
    <w:rsid w:val="2615574F"/>
    <w:rsid w:val="26397A1A"/>
    <w:rsid w:val="264A4508"/>
    <w:rsid w:val="265E102D"/>
    <w:rsid w:val="26755F20"/>
    <w:rsid w:val="268D04F8"/>
    <w:rsid w:val="269D32D6"/>
    <w:rsid w:val="26EE1B75"/>
    <w:rsid w:val="26FE4B35"/>
    <w:rsid w:val="27252C4F"/>
    <w:rsid w:val="27402F0B"/>
    <w:rsid w:val="277057A2"/>
    <w:rsid w:val="279E7C8B"/>
    <w:rsid w:val="27AA3824"/>
    <w:rsid w:val="27C204DA"/>
    <w:rsid w:val="282B06D6"/>
    <w:rsid w:val="282C6282"/>
    <w:rsid w:val="283B6A20"/>
    <w:rsid w:val="287E4F0D"/>
    <w:rsid w:val="28852D19"/>
    <w:rsid w:val="28C9155D"/>
    <w:rsid w:val="290128DF"/>
    <w:rsid w:val="290423D7"/>
    <w:rsid w:val="29206EB8"/>
    <w:rsid w:val="29595666"/>
    <w:rsid w:val="29874881"/>
    <w:rsid w:val="29E325E0"/>
    <w:rsid w:val="29F46B7D"/>
    <w:rsid w:val="2A2A050A"/>
    <w:rsid w:val="2A452503"/>
    <w:rsid w:val="2A4E2846"/>
    <w:rsid w:val="2A570F8D"/>
    <w:rsid w:val="2A6548D3"/>
    <w:rsid w:val="2A811CC8"/>
    <w:rsid w:val="2A8920E2"/>
    <w:rsid w:val="2A9604EE"/>
    <w:rsid w:val="2A9E7B6E"/>
    <w:rsid w:val="2AB422C1"/>
    <w:rsid w:val="2ABF1A16"/>
    <w:rsid w:val="2AC95050"/>
    <w:rsid w:val="2B29244F"/>
    <w:rsid w:val="2B5D6C18"/>
    <w:rsid w:val="2B5F42D0"/>
    <w:rsid w:val="2B8E7764"/>
    <w:rsid w:val="2BA936A8"/>
    <w:rsid w:val="2BDC55D7"/>
    <w:rsid w:val="2BFE43F0"/>
    <w:rsid w:val="2C315A5A"/>
    <w:rsid w:val="2C4B1C25"/>
    <w:rsid w:val="2C526370"/>
    <w:rsid w:val="2C6530E0"/>
    <w:rsid w:val="2C83526D"/>
    <w:rsid w:val="2C897DF1"/>
    <w:rsid w:val="2C9C3624"/>
    <w:rsid w:val="2CF83DBB"/>
    <w:rsid w:val="2D475316"/>
    <w:rsid w:val="2D7A63C6"/>
    <w:rsid w:val="2D8D7A26"/>
    <w:rsid w:val="2D9E56F5"/>
    <w:rsid w:val="2DD569F0"/>
    <w:rsid w:val="2E2427EA"/>
    <w:rsid w:val="2E2B05D7"/>
    <w:rsid w:val="2E3B1061"/>
    <w:rsid w:val="2E501085"/>
    <w:rsid w:val="2E561E2F"/>
    <w:rsid w:val="2E63166C"/>
    <w:rsid w:val="2E667F96"/>
    <w:rsid w:val="2E8226AB"/>
    <w:rsid w:val="2E900964"/>
    <w:rsid w:val="2EE37BA5"/>
    <w:rsid w:val="2EEC227D"/>
    <w:rsid w:val="2EFC5727"/>
    <w:rsid w:val="2F0C33F1"/>
    <w:rsid w:val="2F1F300A"/>
    <w:rsid w:val="2F351C8A"/>
    <w:rsid w:val="2F5C4615"/>
    <w:rsid w:val="2F6C233C"/>
    <w:rsid w:val="2F6F3F1D"/>
    <w:rsid w:val="2FCC0CB2"/>
    <w:rsid w:val="2FD065E6"/>
    <w:rsid w:val="2FD2048A"/>
    <w:rsid w:val="2FD96870"/>
    <w:rsid w:val="2FE40792"/>
    <w:rsid w:val="2FF93F8C"/>
    <w:rsid w:val="2FFF3185"/>
    <w:rsid w:val="30063D4F"/>
    <w:rsid w:val="301146E2"/>
    <w:rsid w:val="304E7871"/>
    <w:rsid w:val="30580BC9"/>
    <w:rsid w:val="305863B0"/>
    <w:rsid w:val="309F5D2B"/>
    <w:rsid w:val="30A3004B"/>
    <w:rsid w:val="30C03761"/>
    <w:rsid w:val="30D84FC0"/>
    <w:rsid w:val="30ED1444"/>
    <w:rsid w:val="30FE450B"/>
    <w:rsid w:val="31115856"/>
    <w:rsid w:val="311E2ED7"/>
    <w:rsid w:val="315619EE"/>
    <w:rsid w:val="315C449C"/>
    <w:rsid w:val="31676810"/>
    <w:rsid w:val="317133C4"/>
    <w:rsid w:val="31837D48"/>
    <w:rsid w:val="318E0971"/>
    <w:rsid w:val="319F1734"/>
    <w:rsid w:val="31B82709"/>
    <w:rsid w:val="31D05482"/>
    <w:rsid w:val="31F56C25"/>
    <w:rsid w:val="32066352"/>
    <w:rsid w:val="32320C39"/>
    <w:rsid w:val="32400B34"/>
    <w:rsid w:val="324B549D"/>
    <w:rsid w:val="325F41EE"/>
    <w:rsid w:val="326A6B8A"/>
    <w:rsid w:val="32780CA9"/>
    <w:rsid w:val="328B571A"/>
    <w:rsid w:val="329E6876"/>
    <w:rsid w:val="32A000FA"/>
    <w:rsid w:val="32BF25DA"/>
    <w:rsid w:val="32DF7292"/>
    <w:rsid w:val="333015F2"/>
    <w:rsid w:val="334B6320"/>
    <w:rsid w:val="33602951"/>
    <w:rsid w:val="337D0205"/>
    <w:rsid w:val="338072B9"/>
    <w:rsid w:val="33AD1145"/>
    <w:rsid w:val="33D934D4"/>
    <w:rsid w:val="33FC2783"/>
    <w:rsid w:val="33FE2F6A"/>
    <w:rsid w:val="340E07E5"/>
    <w:rsid w:val="34210071"/>
    <w:rsid w:val="34235BF7"/>
    <w:rsid w:val="343C0449"/>
    <w:rsid w:val="345820B1"/>
    <w:rsid w:val="34837FBD"/>
    <w:rsid w:val="348E11B3"/>
    <w:rsid w:val="34972B07"/>
    <w:rsid w:val="349E28A0"/>
    <w:rsid w:val="34A0108F"/>
    <w:rsid w:val="34A06DB1"/>
    <w:rsid w:val="34A40997"/>
    <w:rsid w:val="34C11AAC"/>
    <w:rsid w:val="34CF242C"/>
    <w:rsid w:val="35026F4B"/>
    <w:rsid w:val="35087C03"/>
    <w:rsid w:val="3522459F"/>
    <w:rsid w:val="358079E2"/>
    <w:rsid w:val="358C5FA8"/>
    <w:rsid w:val="35902BEF"/>
    <w:rsid w:val="35B66221"/>
    <w:rsid w:val="35C15DF1"/>
    <w:rsid w:val="35D7585D"/>
    <w:rsid w:val="35FE5DD8"/>
    <w:rsid w:val="36074A7F"/>
    <w:rsid w:val="361A696F"/>
    <w:rsid w:val="362870C5"/>
    <w:rsid w:val="362A12C4"/>
    <w:rsid w:val="366D1E63"/>
    <w:rsid w:val="36923549"/>
    <w:rsid w:val="36B26BA6"/>
    <w:rsid w:val="36B3748B"/>
    <w:rsid w:val="36B75FBF"/>
    <w:rsid w:val="36BD0C45"/>
    <w:rsid w:val="36EF7962"/>
    <w:rsid w:val="370F208D"/>
    <w:rsid w:val="37137CAA"/>
    <w:rsid w:val="372B3CF7"/>
    <w:rsid w:val="373D6228"/>
    <w:rsid w:val="37496540"/>
    <w:rsid w:val="376C3738"/>
    <w:rsid w:val="376D0119"/>
    <w:rsid w:val="37726382"/>
    <w:rsid w:val="377C6730"/>
    <w:rsid w:val="37CB60F7"/>
    <w:rsid w:val="37DA596C"/>
    <w:rsid w:val="37E00298"/>
    <w:rsid w:val="37FC45FA"/>
    <w:rsid w:val="382C7E90"/>
    <w:rsid w:val="3831689A"/>
    <w:rsid w:val="38317FB1"/>
    <w:rsid w:val="386E5C16"/>
    <w:rsid w:val="388528DF"/>
    <w:rsid w:val="38B302F9"/>
    <w:rsid w:val="38DC7CEE"/>
    <w:rsid w:val="38F12CD3"/>
    <w:rsid w:val="38F94775"/>
    <w:rsid w:val="390D6EFB"/>
    <w:rsid w:val="391B2A15"/>
    <w:rsid w:val="392971ED"/>
    <w:rsid w:val="39325651"/>
    <w:rsid w:val="393E33A8"/>
    <w:rsid w:val="39487289"/>
    <w:rsid w:val="397F44DD"/>
    <w:rsid w:val="398628E6"/>
    <w:rsid w:val="39892382"/>
    <w:rsid w:val="39DF3077"/>
    <w:rsid w:val="39EF737D"/>
    <w:rsid w:val="3A09572A"/>
    <w:rsid w:val="3A0965F4"/>
    <w:rsid w:val="3A137EED"/>
    <w:rsid w:val="3A872856"/>
    <w:rsid w:val="3A9F7B9E"/>
    <w:rsid w:val="3B331748"/>
    <w:rsid w:val="3B3763D1"/>
    <w:rsid w:val="3B394D6F"/>
    <w:rsid w:val="3B44115B"/>
    <w:rsid w:val="3B9238B6"/>
    <w:rsid w:val="3BB95FDB"/>
    <w:rsid w:val="3BDA771C"/>
    <w:rsid w:val="3BDF5DC9"/>
    <w:rsid w:val="3BEE0E30"/>
    <w:rsid w:val="3C2C2BCE"/>
    <w:rsid w:val="3C2F6E1E"/>
    <w:rsid w:val="3C376CEE"/>
    <w:rsid w:val="3C4F64BA"/>
    <w:rsid w:val="3C67222D"/>
    <w:rsid w:val="3C757EF3"/>
    <w:rsid w:val="3C7826A0"/>
    <w:rsid w:val="3C850CCA"/>
    <w:rsid w:val="3C880C15"/>
    <w:rsid w:val="3C8F37BA"/>
    <w:rsid w:val="3CBA2C8C"/>
    <w:rsid w:val="3CBC4A0E"/>
    <w:rsid w:val="3CDA245A"/>
    <w:rsid w:val="3D1E06B7"/>
    <w:rsid w:val="3D1F0EDD"/>
    <w:rsid w:val="3D3564A7"/>
    <w:rsid w:val="3D6B1A57"/>
    <w:rsid w:val="3D832DEC"/>
    <w:rsid w:val="3D8856B3"/>
    <w:rsid w:val="3DB65168"/>
    <w:rsid w:val="3DE358EA"/>
    <w:rsid w:val="3DFA1F65"/>
    <w:rsid w:val="3E5D51F2"/>
    <w:rsid w:val="3EDA0523"/>
    <w:rsid w:val="3F325155"/>
    <w:rsid w:val="3F422A04"/>
    <w:rsid w:val="3F715B83"/>
    <w:rsid w:val="3F7C74AF"/>
    <w:rsid w:val="3FAC071D"/>
    <w:rsid w:val="3FC70545"/>
    <w:rsid w:val="3FED0E13"/>
    <w:rsid w:val="3FF46AAA"/>
    <w:rsid w:val="3FF776D9"/>
    <w:rsid w:val="401E4F09"/>
    <w:rsid w:val="40367B83"/>
    <w:rsid w:val="403D006E"/>
    <w:rsid w:val="40403602"/>
    <w:rsid w:val="40483362"/>
    <w:rsid w:val="404E4F80"/>
    <w:rsid w:val="407A6407"/>
    <w:rsid w:val="40D840FE"/>
    <w:rsid w:val="40EA477E"/>
    <w:rsid w:val="40F80FB1"/>
    <w:rsid w:val="41030EB7"/>
    <w:rsid w:val="410D2F00"/>
    <w:rsid w:val="41307D2D"/>
    <w:rsid w:val="413F0509"/>
    <w:rsid w:val="41765BB7"/>
    <w:rsid w:val="418115A6"/>
    <w:rsid w:val="41823D4E"/>
    <w:rsid w:val="41920B81"/>
    <w:rsid w:val="41E65694"/>
    <w:rsid w:val="4200449D"/>
    <w:rsid w:val="42020F00"/>
    <w:rsid w:val="423A3BCC"/>
    <w:rsid w:val="424E57D2"/>
    <w:rsid w:val="425E7242"/>
    <w:rsid w:val="429B19AD"/>
    <w:rsid w:val="42B26C49"/>
    <w:rsid w:val="42F97892"/>
    <w:rsid w:val="430B5175"/>
    <w:rsid w:val="431F6097"/>
    <w:rsid w:val="433A6FE6"/>
    <w:rsid w:val="43480868"/>
    <w:rsid w:val="4350713C"/>
    <w:rsid w:val="436653E0"/>
    <w:rsid w:val="43755DE5"/>
    <w:rsid w:val="43777CE1"/>
    <w:rsid w:val="439142BE"/>
    <w:rsid w:val="439667BE"/>
    <w:rsid w:val="43AF4742"/>
    <w:rsid w:val="43B30BD3"/>
    <w:rsid w:val="43C35D0C"/>
    <w:rsid w:val="43C4431A"/>
    <w:rsid w:val="43F829C4"/>
    <w:rsid w:val="44111978"/>
    <w:rsid w:val="44172425"/>
    <w:rsid w:val="44311BAD"/>
    <w:rsid w:val="443A2A51"/>
    <w:rsid w:val="4442410C"/>
    <w:rsid w:val="44566DE6"/>
    <w:rsid w:val="44702D3E"/>
    <w:rsid w:val="44797930"/>
    <w:rsid w:val="44827DBE"/>
    <w:rsid w:val="44B66150"/>
    <w:rsid w:val="44B951CC"/>
    <w:rsid w:val="44CD14E0"/>
    <w:rsid w:val="44F20B0B"/>
    <w:rsid w:val="45121FB6"/>
    <w:rsid w:val="452E5F4C"/>
    <w:rsid w:val="45315F16"/>
    <w:rsid w:val="455B509D"/>
    <w:rsid w:val="45612018"/>
    <w:rsid w:val="457B6B99"/>
    <w:rsid w:val="457E13A8"/>
    <w:rsid w:val="458946E9"/>
    <w:rsid w:val="459E3E1C"/>
    <w:rsid w:val="45A007E6"/>
    <w:rsid w:val="45A47C0E"/>
    <w:rsid w:val="45B81F28"/>
    <w:rsid w:val="45CE52CE"/>
    <w:rsid w:val="45F70878"/>
    <w:rsid w:val="460D0908"/>
    <w:rsid w:val="460D4B35"/>
    <w:rsid w:val="46577FD6"/>
    <w:rsid w:val="46A253FC"/>
    <w:rsid w:val="46D955A7"/>
    <w:rsid w:val="46E359A5"/>
    <w:rsid w:val="47070530"/>
    <w:rsid w:val="47133957"/>
    <w:rsid w:val="47600286"/>
    <w:rsid w:val="479E2BBD"/>
    <w:rsid w:val="47A07E0C"/>
    <w:rsid w:val="47D02307"/>
    <w:rsid w:val="47DB78B4"/>
    <w:rsid w:val="4843073B"/>
    <w:rsid w:val="4870272E"/>
    <w:rsid w:val="48870CB2"/>
    <w:rsid w:val="489C10A0"/>
    <w:rsid w:val="48E03610"/>
    <w:rsid w:val="48F50E49"/>
    <w:rsid w:val="490E6533"/>
    <w:rsid w:val="49167A68"/>
    <w:rsid w:val="492D2C44"/>
    <w:rsid w:val="495931EF"/>
    <w:rsid w:val="496C09DF"/>
    <w:rsid w:val="496C28D5"/>
    <w:rsid w:val="498C4DB9"/>
    <w:rsid w:val="499450B1"/>
    <w:rsid w:val="49B660F4"/>
    <w:rsid w:val="49CE6A3A"/>
    <w:rsid w:val="49DC7715"/>
    <w:rsid w:val="4A023139"/>
    <w:rsid w:val="4A2D2E95"/>
    <w:rsid w:val="4A4A0647"/>
    <w:rsid w:val="4A616AC3"/>
    <w:rsid w:val="4A7B576F"/>
    <w:rsid w:val="4A820AE6"/>
    <w:rsid w:val="4AD25DE3"/>
    <w:rsid w:val="4AD85F70"/>
    <w:rsid w:val="4ADF3BB7"/>
    <w:rsid w:val="4AF561A9"/>
    <w:rsid w:val="4B61470D"/>
    <w:rsid w:val="4BDE571E"/>
    <w:rsid w:val="4C330572"/>
    <w:rsid w:val="4C4A0649"/>
    <w:rsid w:val="4C4E26B0"/>
    <w:rsid w:val="4C5B7A03"/>
    <w:rsid w:val="4C6879F3"/>
    <w:rsid w:val="4C715440"/>
    <w:rsid w:val="4C722F3B"/>
    <w:rsid w:val="4C7E5ECA"/>
    <w:rsid w:val="4C876AA5"/>
    <w:rsid w:val="4CA6068C"/>
    <w:rsid w:val="4CBC2EAF"/>
    <w:rsid w:val="4CCF5404"/>
    <w:rsid w:val="4CF831F8"/>
    <w:rsid w:val="4CF84536"/>
    <w:rsid w:val="4D0E00FB"/>
    <w:rsid w:val="4D176606"/>
    <w:rsid w:val="4D370EF8"/>
    <w:rsid w:val="4D4737BE"/>
    <w:rsid w:val="4D61085B"/>
    <w:rsid w:val="4D7F7F6D"/>
    <w:rsid w:val="4D8027FB"/>
    <w:rsid w:val="4D9A3CD9"/>
    <w:rsid w:val="4DBF2443"/>
    <w:rsid w:val="4DE11987"/>
    <w:rsid w:val="4DE42E80"/>
    <w:rsid w:val="4DEC4FB0"/>
    <w:rsid w:val="4E075D8A"/>
    <w:rsid w:val="4E204D98"/>
    <w:rsid w:val="4E20735F"/>
    <w:rsid w:val="4E2A061C"/>
    <w:rsid w:val="4E7E58FB"/>
    <w:rsid w:val="4E806989"/>
    <w:rsid w:val="4EAA25A8"/>
    <w:rsid w:val="4EC00FAD"/>
    <w:rsid w:val="4EFA3CCB"/>
    <w:rsid w:val="4F0C523D"/>
    <w:rsid w:val="4F54674E"/>
    <w:rsid w:val="4F9600F2"/>
    <w:rsid w:val="4F9843DC"/>
    <w:rsid w:val="4F987FBF"/>
    <w:rsid w:val="4FC62A8C"/>
    <w:rsid w:val="4FDD1C15"/>
    <w:rsid w:val="4FE20F0D"/>
    <w:rsid w:val="4FE51552"/>
    <w:rsid w:val="4FFD1FF7"/>
    <w:rsid w:val="50504C4B"/>
    <w:rsid w:val="50511172"/>
    <w:rsid w:val="509C6E7C"/>
    <w:rsid w:val="50BD52B1"/>
    <w:rsid w:val="50C22BAF"/>
    <w:rsid w:val="50D00CE4"/>
    <w:rsid w:val="50DE48E6"/>
    <w:rsid w:val="50FC060E"/>
    <w:rsid w:val="51083506"/>
    <w:rsid w:val="510A30F3"/>
    <w:rsid w:val="51465BE6"/>
    <w:rsid w:val="514B2273"/>
    <w:rsid w:val="515D7A53"/>
    <w:rsid w:val="516003E3"/>
    <w:rsid w:val="5162104E"/>
    <w:rsid w:val="51AB26D4"/>
    <w:rsid w:val="51B15998"/>
    <w:rsid w:val="51D22057"/>
    <w:rsid w:val="51E35785"/>
    <w:rsid w:val="51FA096E"/>
    <w:rsid w:val="52560952"/>
    <w:rsid w:val="53270EF7"/>
    <w:rsid w:val="535D242E"/>
    <w:rsid w:val="536B13EE"/>
    <w:rsid w:val="537105A8"/>
    <w:rsid w:val="538364EA"/>
    <w:rsid w:val="53A039CC"/>
    <w:rsid w:val="53A1505A"/>
    <w:rsid w:val="53AD12FA"/>
    <w:rsid w:val="54022892"/>
    <w:rsid w:val="54063E08"/>
    <w:rsid w:val="541A2902"/>
    <w:rsid w:val="54267374"/>
    <w:rsid w:val="543437E8"/>
    <w:rsid w:val="544720F2"/>
    <w:rsid w:val="545172D1"/>
    <w:rsid w:val="54894A97"/>
    <w:rsid w:val="54BB129C"/>
    <w:rsid w:val="54CE2961"/>
    <w:rsid w:val="54F12FD2"/>
    <w:rsid w:val="54F73313"/>
    <w:rsid w:val="54F80955"/>
    <w:rsid w:val="551E75C9"/>
    <w:rsid w:val="552C0107"/>
    <w:rsid w:val="553224ED"/>
    <w:rsid w:val="553D3610"/>
    <w:rsid w:val="553F6126"/>
    <w:rsid w:val="55420C62"/>
    <w:rsid w:val="555170A7"/>
    <w:rsid w:val="55591AA2"/>
    <w:rsid w:val="556302A9"/>
    <w:rsid w:val="5587536D"/>
    <w:rsid w:val="558C4976"/>
    <w:rsid w:val="55984ACB"/>
    <w:rsid w:val="559B174B"/>
    <w:rsid w:val="55B775D5"/>
    <w:rsid w:val="55CE0CF4"/>
    <w:rsid w:val="55E527DD"/>
    <w:rsid w:val="55E65256"/>
    <w:rsid w:val="55EC4A6A"/>
    <w:rsid w:val="55FB1663"/>
    <w:rsid w:val="56105606"/>
    <w:rsid w:val="562B32FD"/>
    <w:rsid w:val="563D5DDF"/>
    <w:rsid w:val="564B4A19"/>
    <w:rsid w:val="56B148E9"/>
    <w:rsid w:val="56B22A9C"/>
    <w:rsid w:val="56C0055F"/>
    <w:rsid w:val="570F7529"/>
    <w:rsid w:val="57B72A76"/>
    <w:rsid w:val="57BE768F"/>
    <w:rsid w:val="57C3426C"/>
    <w:rsid w:val="57CE1F93"/>
    <w:rsid w:val="57E33CB8"/>
    <w:rsid w:val="588743D1"/>
    <w:rsid w:val="5887701A"/>
    <w:rsid w:val="58B85F51"/>
    <w:rsid w:val="58F929C1"/>
    <w:rsid w:val="59495B05"/>
    <w:rsid w:val="59A61DCA"/>
    <w:rsid w:val="59B70188"/>
    <w:rsid w:val="59C0439F"/>
    <w:rsid w:val="59CA69A0"/>
    <w:rsid w:val="59D51458"/>
    <w:rsid w:val="59D65F3F"/>
    <w:rsid w:val="59FB6ABC"/>
    <w:rsid w:val="5A0A4028"/>
    <w:rsid w:val="5A2C08AF"/>
    <w:rsid w:val="5A446132"/>
    <w:rsid w:val="5A4D1292"/>
    <w:rsid w:val="5ABE2233"/>
    <w:rsid w:val="5AC91351"/>
    <w:rsid w:val="5ACC7BBF"/>
    <w:rsid w:val="5B232B3E"/>
    <w:rsid w:val="5B2F704E"/>
    <w:rsid w:val="5B4C3D14"/>
    <w:rsid w:val="5BAA5C22"/>
    <w:rsid w:val="5BDF5D95"/>
    <w:rsid w:val="5BFC2252"/>
    <w:rsid w:val="5BFE7528"/>
    <w:rsid w:val="5C340A6A"/>
    <w:rsid w:val="5C4A28D5"/>
    <w:rsid w:val="5C4C2504"/>
    <w:rsid w:val="5C4E4754"/>
    <w:rsid w:val="5C501205"/>
    <w:rsid w:val="5C526CEC"/>
    <w:rsid w:val="5C6C74F2"/>
    <w:rsid w:val="5CEF3205"/>
    <w:rsid w:val="5CF50AB2"/>
    <w:rsid w:val="5D031054"/>
    <w:rsid w:val="5D201578"/>
    <w:rsid w:val="5D976738"/>
    <w:rsid w:val="5DA64A64"/>
    <w:rsid w:val="5DBA25CC"/>
    <w:rsid w:val="5E244EC8"/>
    <w:rsid w:val="5E2467F1"/>
    <w:rsid w:val="5E2879BE"/>
    <w:rsid w:val="5E2A45A8"/>
    <w:rsid w:val="5E3C7F20"/>
    <w:rsid w:val="5E790D45"/>
    <w:rsid w:val="5ED17A37"/>
    <w:rsid w:val="5EFE7314"/>
    <w:rsid w:val="5F011E3E"/>
    <w:rsid w:val="5F1A2B43"/>
    <w:rsid w:val="5F48143B"/>
    <w:rsid w:val="5F48507D"/>
    <w:rsid w:val="5FB837BB"/>
    <w:rsid w:val="5FD43B2E"/>
    <w:rsid w:val="5FFD53CE"/>
    <w:rsid w:val="60086B78"/>
    <w:rsid w:val="60097B5E"/>
    <w:rsid w:val="60423A4D"/>
    <w:rsid w:val="60681064"/>
    <w:rsid w:val="6094063F"/>
    <w:rsid w:val="60A75C28"/>
    <w:rsid w:val="60A95CD7"/>
    <w:rsid w:val="60CC405A"/>
    <w:rsid w:val="61212079"/>
    <w:rsid w:val="615B32D9"/>
    <w:rsid w:val="617525E2"/>
    <w:rsid w:val="617A733E"/>
    <w:rsid w:val="617E099C"/>
    <w:rsid w:val="617F0F77"/>
    <w:rsid w:val="619E3291"/>
    <w:rsid w:val="61B34AF3"/>
    <w:rsid w:val="61B57626"/>
    <w:rsid w:val="61BC0530"/>
    <w:rsid w:val="61BF06C1"/>
    <w:rsid w:val="61C113C1"/>
    <w:rsid w:val="61E215D8"/>
    <w:rsid w:val="61E664C3"/>
    <w:rsid w:val="61F46B2F"/>
    <w:rsid w:val="621214F1"/>
    <w:rsid w:val="621B3775"/>
    <w:rsid w:val="62232478"/>
    <w:rsid w:val="62364782"/>
    <w:rsid w:val="62711AB0"/>
    <w:rsid w:val="627668E5"/>
    <w:rsid w:val="629F30B4"/>
    <w:rsid w:val="62A45F94"/>
    <w:rsid w:val="62E96600"/>
    <w:rsid w:val="62EB5AB4"/>
    <w:rsid w:val="62F90D69"/>
    <w:rsid w:val="6312403A"/>
    <w:rsid w:val="6318609D"/>
    <w:rsid w:val="63451936"/>
    <w:rsid w:val="6349715B"/>
    <w:rsid w:val="63721B91"/>
    <w:rsid w:val="6394356A"/>
    <w:rsid w:val="639B1328"/>
    <w:rsid w:val="63C61B2C"/>
    <w:rsid w:val="63D40BE9"/>
    <w:rsid w:val="63E414BD"/>
    <w:rsid w:val="64102431"/>
    <w:rsid w:val="64315E08"/>
    <w:rsid w:val="64511778"/>
    <w:rsid w:val="64A11E9C"/>
    <w:rsid w:val="64A5243A"/>
    <w:rsid w:val="64C54432"/>
    <w:rsid w:val="64CC7DA3"/>
    <w:rsid w:val="64E51178"/>
    <w:rsid w:val="64F531DE"/>
    <w:rsid w:val="6512572B"/>
    <w:rsid w:val="65373578"/>
    <w:rsid w:val="6582000A"/>
    <w:rsid w:val="65823397"/>
    <w:rsid w:val="65AB21A2"/>
    <w:rsid w:val="65AE1E15"/>
    <w:rsid w:val="65CE7056"/>
    <w:rsid w:val="661D211D"/>
    <w:rsid w:val="66822B64"/>
    <w:rsid w:val="66933612"/>
    <w:rsid w:val="66B7349F"/>
    <w:rsid w:val="66D63C10"/>
    <w:rsid w:val="66E72497"/>
    <w:rsid w:val="66EF1A49"/>
    <w:rsid w:val="67061DCC"/>
    <w:rsid w:val="671F124A"/>
    <w:rsid w:val="6738187A"/>
    <w:rsid w:val="677A33C6"/>
    <w:rsid w:val="67910A4A"/>
    <w:rsid w:val="67E65835"/>
    <w:rsid w:val="67F92643"/>
    <w:rsid w:val="681F6961"/>
    <w:rsid w:val="682416E9"/>
    <w:rsid w:val="682F7382"/>
    <w:rsid w:val="683A6813"/>
    <w:rsid w:val="68610A2F"/>
    <w:rsid w:val="68805514"/>
    <w:rsid w:val="68F95657"/>
    <w:rsid w:val="690B5BD4"/>
    <w:rsid w:val="69316E2F"/>
    <w:rsid w:val="6938164D"/>
    <w:rsid w:val="694E2071"/>
    <w:rsid w:val="696E1375"/>
    <w:rsid w:val="69766163"/>
    <w:rsid w:val="697A3B33"/>
    <w:rsid w:val="69884D10"/>
    <w:rsid w:val="69B855B3"/>
    <w:rsid w:val="69D24A13"/>
    <w:rsid w:val="69D44760"/>
    <w:rsid w:val="69EE17A0"/>
    <w:rsid w:val="6A2756BF"/>
    <w:rsid w:val="6A441020"/>
    <w:rsid w:val="6A515D4C"/>
    <w:rsid w:val="6A520EC7"/>
    <w:rsid w:val="6A723904"/>
    <w:rsid w:val="6A7C76A1"/>
    <w:rsid w:val="6A915674"/>
    <w:rsid w:val="6A9D3973"/>
    <w:rsid w:val="6ACC456F"/>
    <w:rsid w:val="6AD63F67"/>
    <w:rsid w:val="6AE148FF"/>
    <w:rsid w:val="6AF87E20"/>
    <w:rsid w:val="6B322639"/>
    <w:rsid w:val="6B771556"/>
    <w:rsid w:val="6B833C3B"/>
    <w:rsid w:val="6B8969DD"/>
    <w:rsid w:val="6B8B6207"/>
    <w:rsid w:val="6BA9016F"/>
    <w:rsid w:val="6BE10B73"/>
    <w:rsid w:val="6BFF1DE2"/>
    <w:rsid w:val="6C2474AC"/>
    <w:rsid w:val="6C5E7E9B"/>
    <w:rsid w:val="6C636C38"/>
    <w:rsid w:val="6C7632CB"/>
    <w:rsid w:val="6CBA7F5C"/>
    <w:rsid w:val="6CE21615"/>
    <w:rsid w:val="6CF448E6"/>
    <w:rsid w:val="6CF61670"/>
    <w:rsid w:val="6D6406EC"/>
    <w:rsid w:val="6D8918EC"/>
    <w:rsid w:val="6D95551A"/>
    <w:rsid w:val="6DA11391"/>
    <w:rsid w:val="6DB34098"/>
    <w:rsid w:val="6DB545B6"/>
    <w:rsid w:val="6DBC74D8"/>
    <w:rsid w:val="6DC15A4A"/>
    <w:rsid w:val="6DE02FB4"/>
    <w:rsid w:val="6DF66CBF"/>
    <w:rsid w:val="6E1D468D"/>
    <w:rsid w:val="6E383C03"/>
    <w:rsid w:val="6E514CED"/>
    <w:rsid w:val="6EB563D5"/>
    <w:rsid w:val="6ED14E42"/>
    <w:rsid w:val="6ED92677"/>
    <w:rsid w:val="6F1035F4"/>
    <w:rsid w:val="6F225983"/>
    <w:rsid w:val="6F25146F"/>
    <w:rsid w:val="6F3152EA"/>
    <w:rsid w:val="6F4639C3"/>
    <w:rsid w:val="6F497EF2"/>
    <w:rsid w:val="6F4A4224"/>
    <w:rsid w:val="6F7B29B4"/>
    <w:rsid w:val="6F987D75"/>
    <w:rsid w:val="6FA37218"/>
    <w:rsid w:val="6FFC5590"/>
    <w:rsid w:val="703E6F07"/>
    <w:rsid w:val="706D1DD0"/>
    <w:rsid w:val="70771EDD"/>
    <w:rsid w:val="70856B87"/>
    <w:rsid w:val="70963A4E"/>
    <w:rsid w:val="70C6157B"/>
    <w:rsid w:val="70D527EE"/>
    <w:rsid w:val="70E3444D"/>
    <w:rsid w:val="70E84759"/>
    <w:rsid w:val="710F0F05"/>
    <w:rsid w:val="715659E3"/>
    <w:rsid w:val="715B5300"/>
    <w:rsid w:val="71B552E9"/>
    <w:rsid w:val="71D27F8A"/>
    <w:rsid w:val="71EB0BE8"/>
    <w:rsid w:val="721B62AE"/>
    <w:rsid w:val="721E7082"/>
    <w:rsid w:val="72553024"/>
    <w:rsid w:val="72826FA8"/>
    <w:rsid w:val="728B1F04"/>
    <w:rsid w:val="729B1D19"/>
    <w:rsid w:val="72B87444"/>
    <w:rsid w:val="72E77A7C"/>
    <w:rsid w:val="73122968"/>
    <w:rsid w:val="731F5D5E"/>
    <w:rsid w:val="733166AE"/>
    <w:rsid w:val="73353259"/>
    <w:rsid w:val="734566FE"/>
    <w:rsid w:val="7392234E"/>
    <w:rsid w:val="739500E1"/>
    <w:rsid w:val="73AC3919"/>
    <w:rsid w:val="73C51AD5"/>
    <w:rsid w:val="73DD6261"/>
    <w:rsid w:val="73FC663F"/>
    <w:rsid w:val="740D2CAB"/>
    <w:rsid w:val="741E793C"/>
    <w:rsid w:val="742765A9"/>
    <w:rsid w:val="742B0BA4"/>
    <w:rsid w:val="742B2FC2"/>
    <w:rsid w:val="743D693A"/>
    <w:rsid w:val="745E3944"/>
    <w:rsid w:val="746B0DBF"/>
    <w:rsid w:val="747756E1"/>
    <w:rsid w:val="74967BB2"/>
    <w:rsid w:val="749715EA"/>
    <w:rsid w:val="74B8195A"/>
    <w:rsid w:val="74D21660"/>
    <w:rsid w:val="74E556CA"/>
    <w:rsid w:val="74FB7ED3"/>
    <w:rsid w:val="751603B0"/>
    <w:rsid w:val="75443F10"/>
    <w:rsid w:val="755C038D"/>
    <w:rsid w:val="75742F72"/>
    <w:rsid w:val="75A65C01"/>
    <w:rsid w:val="75B14071"/>
    <w:rsid w:val="75D773A9"/>
    <w:rsid w:val="7635099D"/>
    <w:rsid w:val="767A37A2"/>
    <w:rsid w:val="76875EB9"/>
    <w:rsid w:val="76B43DFE"/>
    <w:rsid w:val="76BB2CEC"/>
    <w:rsid w:val="76BB797E"/>
    <w:rsid w:val="76DE188A"/>
    <w:rsid w:val="76EA591C"/>
    <w:rsid w:val="771C568A"/>
    <w:rsid w:val="77394AF4"/>
    <w:rsid w:val="773E75DD"/>
    <w:rsid w:val="776E1C43"/>
    <w:rsid w:val="77762421"/>
    <w:rsid w:val="77B56B1F"/>
    <w:rsid w:val="77DF156C"/>
    <w:rsid w:val="77F62E1E"/>
    <w:rsid w:val="780F09F4"/>
    <w:rsid w:val="78361E32"/>
    <w:rsid w:val="78A03B8D"/>
    <w:rsid w:val="78A90480"/>
    <w:rsid w:val="78B14BF3"/>
    <w:rsid w:val="78B241C5"/>
    <w:rsid w:val="790C78A0"/>
    <w:rsid w:val="791B5AC0"/>
    <w:rsid w:val="79261869"/>
    <w:rsid w:val="792B015D"/>
    <w:rsid w:val="792E068F"/>
    <w:rsid w:val="794043EC"/>
    <w:rsid w:val="795B2C6C"/>
    <w:rsid w:val="795C4A30"/>
    <w:rsid w:val="79796CC4"/>
    <w:rsid w:val="79890B39"/>
    <w:rsid w:val="799004E8"/>
    <w:rsid w:val="799B4790"/>
    <w:rsid w:val="7A007E2C"/>
    <w:rsid w:val="7A355A78"/>
    <w:rsid w:val="7A364017"/>
    <w:rsid w:val="7A3F2203"/>
    <w:rsid w:val="7A574510"/>
    <w:rsid w:val="7A8265E1"/>
    <w:rsid w:val="7A8C5537"/>
    <w:rsid w:val="7AC27AD3"/>
    <w:rsid w:val="7ACC5BBC"/>
    <w:rsid w:val="7ACE4ED2"/>
    <w:rsid w:val="7AEF602D"/>
    <w:rsid w:val="7B3F2E05"/>
    <w:rsid w:val="7B686D42"/>
    <w:rsid w:val="7B773EA6"/>
    <w:rsid w:val="7B841746"/>
    <w:rsid w:val="7B862166"/>
    <w:rsid w:val="7B9074AB"/>
    <w:rsid w:val="7B9B4C8C"/>
    <w:rsid w:val="7BAD5691"/>
    <w:rsid w:val="7BEA1E0C"/>
    <w:rsid w:val="7BFF6FE5"/>
    <w:rsid w:val="7C2779A0"/>
    <w:rsid w:val="7C433959"/>
    <w:rsid w:val="7C6C5AC7"/>
    <w:rsid w:val="7CB10239"/>
    <w:rsid w:val="7CBF4D61"/>
    <w:rsid w:val="7CC52DBB"/>
    <w:rsid w:val="7CC6544B"/>
    <w:rsid w:val="7D0239FF"/>
    <w:rsid w:val="7D423A1D"/>
    <w:rsid w:val="7D583AB0"/>
    <w:rsid w:val="7D5E40CD"/>
    <w:rsid w:val="7D7D04EA"/>
    <w:rsid w:val="7D8D73E8"/>
    <w:rsid w:val="7DCD56F2"/>
    <w:rsid w:val="7DE0532C"/>
    <w:rsid w:val="7E163930"/>
    <w:rsid w:val="7E322C5A"/>
    <w:rsid w:val="7E3C39A8"/>
    <w:rsid w:val="7E572D64"/>
    <w:rsid w:val="7E63787E"/>
    <w:rsid w:val="7E8137D9"/>
    <w:rsid w:val="7E827A59"/>
    <w:rsid w:val="7EBB048A"/>
    <w:rsid w:val="7EE73B58"/>
    <w:rsid w:val="7EF92689"/>
    <w:rsid w:val="7F001CE7"/>
    <w:rsid w:val="7F895A60"/>
    <w:rsid w:val="7F957E88"/>
    <w:rsid w:val="7FC71EF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nhideWhenUsed="0" w:uiPriority="0" w:semiHidden="0" w:name="table of authorities" w:locked="1"/>
    <w:lsdException w:uiPriority="0" w:name="macro" w:locked="1"/>
    <w:lsdException w:uiPriority="0" w:name="toa heading" w:locked="1"/>
    <w:lsdException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qFormat="1" w:unhideWhenUsed="0" w:uiPriority="0" w:semiHidden="0" w:name="Body Text Indent 2" w:locked="1"/>
    <w:lsdException w:uiPriority="0" w:name="Body Text Indent 3" w:locked="1"/>
    <w:lsdException w:uiPriority="0" w:name="Block Text" w:locked="1"/>
    <w:lsdException w:qFormat="1" w:uiPriority="99" w:semiHidden="0" w:name="Hyperlink" w:locked="1"/>
    <w:lsdException w:uiPriority="0" w:name="FollowedHyperlink" w:locked="1"/>
    <w:lsdException w:unhideWhenUsed="0" w:uiPriority="0" w:semiHidden="0" w:name="Strong" w:locked="1"/>
    <w:lsdException w:unhideWhenUsed="0" w:uiPriority="0" w:semiHidden="0" w:name="Emphasis" w:locked="1"/>
    <w:lsdException w:uiPriority="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line="259" w:lineRule="auto"/>
      <w:ind w:left="432" w:hanging="432"/>
      <w:outlineLvl w:val="0"/>
    </w:pPr>
    <w:rPr>
      <w:rFonts w:eastAsia="黑体"/>
      <w:b/>
      <w:bCs/>
      <w:color w:val="000000"/>
      <w:kern w:val="44"/>
      <w:sz w:val="30"/>
      <w:szCs w:val="30"/>
    </w:rPr>
  </w:style>
  <w:style w:type="paragraph" w:styleId="4">
    <w:name w:val="heading 2"/>
    <w:basedOn w:val="1"/>
    <w:next w:val="1"/>
    <w:link w:val="62"/>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6"/>
    <w:next w:val="1"/>
    <w:semiHidden/>
    <w:unhideWhenUsed/>
    <w:qFormat/>
    <w:locked/>
    <w:uiPriority w:val="0"/>
    <w:pPr>
      <w:numPr>
        <w:ilvl w:val="2"/>
        <w:numId w:val="1"/>
      </w:numPr>
      <w:spacing w:line="360" w:lineRule="auto"/>
      <w:outlineLvl w:val="2"/>
    </w:pPr>
    <w:rPr>
      <w:rFonts w:ascii="Times New Roman" w:hAnsi="Times New Roman" w:eastAsia="宋体" w:cs="Times New Roman"/>
    </w:rPr>
  </w:style>
  <w:style w:type="paragraph" w:styleId="6">
    <w:name w:val="heading 4"/>
    <w:basedOn w:val="1"/>
    <w:next w:val="1"/>
    <w:link w:val="28"/>
    <w:unhideWhenUsed/>
    <w:qFormat/>
    <w:locked/>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locked/>
    <w:uiPriority w:val="0"/>
    <w:pPr>
      <w:widowControl/>
      <w:topLinePunct/>
      <w:spacing w:line="360" w:lineRule="auto"/>
      <w:ind w:firstLine="420"/>
    </w:pPr>
    <w:rPr>
      <w:rFonts w:ascii="宋体" w:hAnsi="Arial Narrow"/>
      <w:spacing w:val="6"/>
      <w:kern w:val="0"/>
      <w:sz w:val="28"/>
      <w:szCs w:val="20"/>
    </w:rPr>
  </w:style>
  <w:style w:type="paragraph" w:styleId="7">
    <w:name w:val="annotation text"/>
    <w:basedOn w:val="1"/>
    <w:link w:val="38"/>
    <w:semiHidden/>
    <w:qFormat/>
    <w:uiPriority w:val="0"/>
    <w:pPr>
      <w:jc w:val="left"/>
    </w:pPr>
    <w:rPr>
      <w:kern w:val="0"/>
      <w:sz w:val="24"/>
      <w:szCs w:val="20"/>
    </w:rPr>
  </w:style>
  <w:style w:type="paragraph" w:styleId="8">
    <w:name w:val="Body Text"/>
    <w:basedOn w:val="1"/>
    <w:next w:val="9"/>
    <w:link w:val="37"/>
    <w:qFormat/>
    <w:uiPriority w:val="0"/>
    <w:pPr>
      <w:widowControl/>
      <w:snapToGrid w:val="0"/>
      <w:spacing w:before="60" w:line="259" w:lineRule="auto"/>
      <w:ind w:right="113"/>
    </w:pPr>
    <w:rPr>
      <w:kern w:val="0"/>
      <w:sz w:val="18"/>
      <w:szCs w:val="20"/>
    </w:rPr>
  </w:style>
  <w:style w:type="paragraph" w:styleId="9">
    <w:name w:val="Body Text Indent"/>
    <w:basedOn w:val="1"/>
    <w:next w:val="10"/>
    <w:link w:val="46"/>
    <w:qFormat/>
    <w:uiPriority w:val="0"/>
    <w:pPr>
      <w:spacing w:after="120"/>
      <w:ind w:left="420" w:leftChars="200"/>
    </w:pPr>
    <w:rPr>
      <w:kern w:val="0"/>
      <w:sz w:val="24"/>
      <w:szCs w:val="20"/>
    </w:rPr>
  </w:style>
  <w:style w:type="paragraph" w:styleId="10">
    <w:name w:val="Body Text Indent 2"/>
    <w:basedOn w:val="1"/>
    <w:next w:val="1"/>
    <w:qFormat/>
    <w:locked/>
    <w:uiPriority w:val="0"/>
    <w:pPr>
      <w:spacing w:line="360" w:lineRule="exact"/>
      <w:ind w:firstLine="372" w:firstLineChars="155"/>
      <w:jc w:val="left"/>
    </w:pPr>
    <w:rPr>
      <w:sz w:val="24"/>
    </w:rPr>
  </w:style>
  <w:style w:type="paragraph" w:styleId="11">
    <w:name w:val="Plain Text"/>
    <w:basedOn w:val="1"/>
    <w:next w:val="1"/>
    <w:qFormat/>
    <w:locked/>
    <w:uiPriority w:val="0"/>
    <w:rPr>
      <w:rFonts w:ascii="宋体" w:hAnsi="Courier New"/>
    </w:rPr>
  </w:style>
  <w:style w:type="paragraph" w:styleId="12">
    <w:name w:val="Date"/>
    <w:basedOn w:val="1"/>
    <w:next w:val="1"/>
    <w:link w:val="33"/>
    <w:qFormat/>
    <w:uiPriority w:val="0"/>
    <w:pPr>
      <w:ind w:left="100" w:leftChars="2500"/>
    </w:pPr>
    <w:rPr>
      <w:kern w:val="0"/>
      <w:sz w:val="24"/>
      <w:szCs w:val="20"/>
    </w:rPr>
  </w:style>
  <w:style w:type="paragraph" w:styleId="13">
    <w:name w:val="Balloon Text"/>
    <w:basedOn w:val="1"/>
    <w:link w:val="42"/>
    <w:semiHidden/>
    <w:qFormat/>
    <w:uiPriority w:val="0"/>
    <w:rPr>
      <w:kern w:val="0"/>
      <w:sz w:val="18"/>
      <w:szCs w:val="20"/>
    </w:rPr>
  </w:style>
  <w:style w:type="paragraph" w:styleId="14">
    <w:name w:val="footer"/>
    <w:basedOn w:val="1"/>
    <w:link w:val="32"/>
    <w:qFormat/>
    <w:uiPriority w:val="99"/>
    <w:pPr>
      <w:tabs>
        <w:tab w:val="center" w:pos="4153"/>
        <w:tab w:val="right" w:pos="8306"/>
      </w:tabs>
      <w:snapToGrid w:val="0"/>
      <w:jc w:val="left"/>
    </w:pPr>
    <w:rPr>
      <w:kern w:val="0"/>
      <w:sz w:val="18"/>
      <w:szCs w:val="20"/>
    </w:rPr>
  </w:style>
  <w:style w:type="paragraph" w:styleId="15">
    <w:name w:val="header"/>
    <w:basedOn w:val="1"/>
    <w:link w:val="44"/>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locked/>
    <w:uiPriority w:val="39"/>
  </w:style>
  <w:style w:type="paragraph" w:styleId="17">
    <w:name w:val="Normal (Web)"/>
    <w:basedOn w:val="1"/>
    <w:link w:val="35"/>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7"/>
    <w:next w:val="7"/>
    <w:link w:val="43"/>
    <w:semiHidden/>
    <w:qFormat/>
    <w:uiPriority w:val="0"/>
    <w:rPr>
      <w:b/>
    </w:rPr>
  </w:style>
  <w:style w:type="paragraph" w:styleId="19">
    <w:name w:val="Body Text First Indent"/>
    <w:basedOn w:val="8"/>
    <w:next w:val="20"/>
    <w:qFormat/>
    <w:locked/>
    <w:uiPriority w:val="0"/>
    <w:pPr>
      <w:ind w:firstLine="960" w:firstLineChars="200"/>
    </w:pPr>
  </w:style>
  <w:style w:type="paragraph" w:styleId="20">
    <w:name w:val="Body Text First Indent 2"/>
    <w:basedOn w:val="9"/>
    <w:next w:val="21"/>
    <w:qFormat/>
    <w:locked/>
    <w:uiPriority w:val="0"/>
    <w:pPr>
      <w:spacing w:line="360" w:lineRule="auto"/>
      <w:ind w:left="0" w:leftChars="0" w:firstLine="960" w:firstLineChars="200"/>
    </w:pPr>
  </w:style>
  <w:style w:type="paragraph" w:customStyle="1" w:styleId="21">
    <w:name w:val="报告正文"/>
    <w:basedOn w:val="1"/>
    <w:link w:val="52"/>
    <w:qFormat/>
    <w:uiPriority w:val="0"/>
    <w:pPr>
      <w:tabs>
        <w:tab w:val="left" w:pos="0"/>
      </w:tabs>
      <w:jc w:val="center"/>
    </w:pPr>
    <w:rPr>
      <w:rFonts w:ascii="宋体" w:hAnsi="宋体"/>
      <w:spacing w:val="6"/>
      <w:kern w:val="0"/>
      <w:sz w:val="24"/>
      <w:szCs w:val="21"/>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Hyperlink"/>
    <w:basedOn w:val="24"/>
    <w:unhideWhenUsed/>
    <w:qFormat/>
    <w:locked/>
    <w:uiPriority w:val="99"/>
    <w:rPr>
      <w:color w:val="0000FF" w:themeColor="hyperlink"/>
      <w:u w:val="single"/>
      <w14:textFill>
        <w14:solidFill>
          <w14:schemeClr w14:val="hlink"/>
        </w14:solidFill>
      </w14:textFill>
    </w:rPr>
  </w:style>
  <w:style w:type="character" w:styleId="27">
    <w:name w:val="annotation reference"/>
    <w:semiHidden/>
    <w:qFormat/>
    <w:uiPriority w:val="0"/>
    <w:rPr>
      <w:sz w:val="21"/>
    </w:rPr>
  </w:style>
  <w:style w:type="character" w:customStyle="1" w:styleId="28">
    <w:name w:val="标题 4 字符"/>
    <w:basedOn w:val="24"/>
    <w:link w:val="6"/>
    <w:semiHidden/>
    <w:qFormat/>
    <w:uiPriority w:val="0"/>
    <w:rPr>
      <w:rFonts w:asciiTheme="majorHAnsi" w:hAnsiTheme="majorHAnsi" w:eastAsiaTheme="majorEastAsia" w:cstheme="majorBidi"/>
      <w:b/>
      <w:bCs/>
      <w:kern w:val="2"/>
      <w:sz w:val="28"/>
      <w:szCs w:val="28"/>
    </w:rPr>
  </w:style>
  <w:style w:type="paragraph" w:customStyle="1" w:styleId="29">
    <w:name w:val="Default"/>
    <w:basedOn w:val="30"/>
    <w:next w:val="1"/>
    <w:link w:val="56"/>
    <w:qFormat/>
    <w:uiPriority w:val="0"/>
    <w:pPr>
      <w:autoSpaceDE w:val="0"/>
      <w:autoSpaceDN w:val="0"/>
    </w:pPr>
    <w:rPr>
      <w:rFonts w:ascii="Times New Roman" w:hAnsi="Times New Roman"/>
      <w:color w:val="000000"/>
      <w:sz w:val="24"/>
      <w:szCs w:val="24"/>
    </w:rPr>
  </w:style>
  <w:style w:type="paragraph" w:customStyle="1" w:styleId="30">
    <w:name w:val="纯文本1"/>
    <w:basedOn w:val="1"/>
    <w:qFormat/>
    <w:uiPriority w:val="0"/>
    <w:pPr>
      <w:adjustRightInd w:val="0"/>
    </w:pPr>
    <w:rPr>
      <w:rFonts w:ascii="宋体" w:hAnsi="Courier New"/>
      <w:szCs w:val="20"/>
    </w:rPr>
  </w:style>
  <w:style w:type="paragraph" w:customStyle="1" w:styleId="31">
    <w:name w:val="表格标题"/>
    <w:basedOn w:val="1"/>
    <w:qFormat/>
    <w:uiPriority w:val="0"/>
    <w:pPr>
      <w:numPr>
        <w:ilvl w:val="4"/>
        <w:numId w:val="2"/>
      </w:numPr>
      <w:jc w:val="center"/>
    </w:pPr>
    <w:rPr>
      <w:b/>
    </w:rPr>
  </w:style>
  <w:style w:type="character" w:customStyle="1" w:styleId="32">
    <w:name w:val="页脚 字符1"/>
    <w:link w:val="14"/>
    <w:qFormat/>
    <w:locked/>
    <w:uiPriority w:val="99"/>
    <w:rPr>
      <w:sz w:val="18"/>
    </w:rPr>
  </w:style>
  <w:style w:type="character" w:customStyle="1" w:styleId="33">
    <w:name w:val="日期 字符1"/>
    <w:link w:val="12"/>
    <w:qFormat/>
    <w:locked/>
    <w:uiPriority w:val="0"/>
    <w:rPr>
      <w:rFonts w:ascii="Times New Roman" w:hAnsi="Times New Roman" w:eastAsia="宋体"/>
      <w:sz w:val="24"/>
    </w:rPr>
  </w:style>
  <w:style w:type="character" w:customStyle="1" w:styleId="34">
    <w:name w:val="页脚 字符"/>
    <w:basedOn w:val="24"/>
    <w:qFormat/>
    <w:uiPriority w:val="99"/>
  </w:style>
  <w:style w:type="character" w:customStyle="1" w:styleId="35">
    <w:name w:val="普通(网站) 字符"/>
    <w:link w:val="17"/>
    <w:qFormat/>
    <w:locked/>
    <w:uiPriority w:val="0"/>
    <w:rPr>
      <w:rFonts w:ascii="宋体" w:hAnsi="宋体" w:eastAsia="宋体"/>
      <w:sz w:val="24"/>
    </w:rPr>
  </w:style>
  <w:style w:type="character" w:customStyle="1" w:styleId="36">
    <w:name w:val="正文文本 字符1"/>
    <w:semiHidden/>
    <w:qFormat/>
    <w:uiPriority w:val="0"/>
    <w:rPr>
      <w:rFonts w:ascii="Times New Roman" w:hAnsi="Times New Roman" w:eastAsia="宋体"/>
      <w:sz w:val="24"/>
    </w:rPr>
  </w:style>
  <w:style w:type="character" w:customStyle="1" w:styleId="37">
    <w:name w:val="正文文本 字符"/>
    <w:link w:val="8"/>
    <w:qFormat/>
    <w:locked/>
    <w:uiPriority w:val="0"/>
    <w:rPr>
      <w:sz w:val="18"/>
    </w:rPr>
  </w:style>
  <w:style w:type="character" w:customStyle="1" w:styleId="38">
    <w:name w:val="批注文字 字符"/>
    <w:link w:val="7"/>
    <w:qFormat/>
    <w:locked/>
    <w:uiPriority w:val="0"/>
    <w:rPr>
      <w:rFonts w:ascii="Times New Roman" w:hAnsi="Times New Roman" w:eastAsia="宋体"/>
      <w:sz w:val="24"/>
    </w:rPr>
  </w:style>
  <w:style w:type="character" w:customStyle="1" w:styleId="39">
    <w:name w:val="表格 Char"/>
    <w:link w:val="40"/>
    <w:qFormat/>
    <w:locked/>
    <w:uiPriority w:val="0"/>
    <w:rPr>
      <w:rFonts w:ascii="宋体"/>
      <w:sz w:val="21"/>
    </w:rPr>
  </w:style>
  <w:style w:type="paragraph" w:customStyle="1" w:styleId="40">
    <w:name w:val="表格"/>
    <w:basedOn w:val="11"/>
    <w:next w:val="1"/>
    <w:link w:val="39"/>
    <w:qFormat/>
    <w:uiPriority w:val="0"/>
    <w:pPr>
      <w:adjustRightInd w:val="0"/>
      <w:snapToGrid w:val="0"/>
      <w:spacing w:beforeLines="10" w:afterLines="10" w:line="259" w:lineRule="auto"/>
      <w:jc w:val="center"/>
    </w:pPr>
    <w:rPr>
      <w:kern w:val="0"/>
      <w:szCs w:val="20"/>
    </w:rPr>
  </w:style>
  <w:style w:type="character" w:customStyle="1" w:styleId="41">
    <w:name w:val="日期 字符"/>
    <w:semiHidden/>
    <w:qFormat/>
    <w:uiPriority w:val="0"/>
    <w:rPr>
      <w:rFonts w:ascii="Times New Roman" w:hAnsi="Times New Roman" w:eastAsia="宋体"/>
      <w:sz w:val="24"/>
    </w:rPr>
  </w:style>
  <w:style w:type="character" w:customStyle="1" w:styleId="42">
    <w:name w:val="批注框文本 字符"/>
    <w:link w:val="13"/>
    <w:semiHidden/>
    <w:qFormat/>
    <w:locked/>
    <w:uiPriority w:val="0"/>
    <w:rPr>
      <w:rFonts w:ascii="Times New Roman" w:hAnsi="Times New Roman" w:eastAsia="宋体"/>
      <w:sz w:val="18"/>
    </w:rPr>
  </w:style>
  <w:style w:type="character" w:customStyle="1" w:styleId="43">
    <w:name w:val="批注主题 字符"/>
    <w:link w:val="18"/>
    <w:semiHidden/>
    <w:qFormat/>
    <w:locked/>
    <w:uiPriority w:val="0"/>
    <w:rPr>
      <w:rFonts w:ascii="Times New Roman" w:hAnsi="Times New Roman" w:eastAsia="宋体"/>
      <w:b/>
      <w:kern w:val="2"/>
      <w:sz w:val="24"/>
    </w:rPr>
  </w:style>
  <w:style w:type="character" w:customStyle="1" w:styleId="44">
    <w:name w:val="页眉 字符"/>
    <w:link w:val="15"/>
    <w:qFormat/>
    <w:locked/>
    <w:uiPriority w:val="0"/>
    <w:rPr>
      <w:sz w:val="18"/>
    </w:rPr>
  </w:style>
  <w:style w:type="character" w:customStyle="1" w:styleId="45">
    <w:name w:val="批注文字 字符1"/>
    <w:semiHidden/>
    <w:qFormat/>
    <w:uiPriority w:val="0"/>
    <w:rPr>
      <w:rFonts w:ascii="Times New Roman" w:hAnsi="Times New Roman" w:eastAsia="宋体"/>
      <w:sz w:val="24"/>
    </w:rPr>
  </w:style>
  <w:style w:type="character" w:customStyle="1" w:styleId="46">
    <w:name w:val="正文文本缩进 字符"/>
    <w:link w:val="9"/>
    <w:semiHidden/>
    <w:qFormat/>
    <w:locked/>
    <w:uiPriority w:val="0"/>
    <w:rPr>
      <w:rFonts w:ascii="Times New Roman" w:hAnsi="Times New Roman" w:eastAsia="宋体"/>
      <w:sz w:val="24"/>
    </w:rPr>
  </w:style>
  <w:style w:type="paragraph" w:customStyle="1" w:styleId="47">
    <w:name w:val="正文_10"/>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4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9">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50">
    <w:name w:val="表格内容"/>
    <w:basedOn w:val="1"/>
    <w:qFormat/>
    <w:uiPriority w:val="0"/>
    <w:pPr>
      <w:adjustRightInd w:val="0"/>
      <w:snapToGrid w:val="0"/>
    </w:pPr>
    <w:rPr>
      <w:szCs w:val="32"/>
    </w:rPr>
  </w:style>
  <w:style w:type="paragraph" w:customStyle="1" w:styleId="51">
    <w:name w:val="S 正文"/>
    <w:qFormat/>
    <w:uiPriority w:val="0"/>
    <w:pPr>
      <w:spacing w:after="160" w:line="360" w:lineRule="auto"/>
      <w:ind w:firstLine="200" w:firstLineChars="200"/>
    </w:pPr>
    <w:rPr>
      <w:rFonts w:ascii="Times New Roman" w:hAnsi="Times New Roman" w:eastAsia="宋体" w:cs="Times New Roman"/>
      <w:sz w:val="24"/>
      <w:szCs w:val="22"/>
      <w:lang w:val="en-US" w:eastAsia="en-US" w:bidi="en-US"/>
    </w:rPr>
  </w:style>
  <w:style w:type="character" w:customStyle="1" w:styleId="52">
    <w:name w:val="报告正文 Char"/>
    <w:link w:val="21"/>
    <w:qFormat/>
    <w:uiPriority w:val="0"/>
    <w:rPr>
      <w:rFonts w:ascii="宋体" w:hAnsi="宋体"/>
      <w:spacing w:val="6"/>
      <w:sz w:val="24"/>
      <w:szCs w:val="21"/>
    </w:rPr>
  </w:style>
  <w:style w:type="paragraph" w:customStyle="1" w:styleId="53">
    <w:name w:val="S正文"/>
    <w:qFormat/>
    <w:uiPriority w:val="0"/>
    <w:pPr>
      <w:adjustRightInd w:val="0"/>
      <w:snapToGrid w:val="0"/>
      <w:spacing w:after="160"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54">
    <w:name w:val="xl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sz w:val="20"/>
      <w:szCs w:val="20"/>
    </w:rPr>
  </w:style>
  <w:style w:type="paragraph" w:styleId="55">
    <w:name w:val="No Spacing"/>
    <w:basedOn w:val="1"/>
    <w:next w:val="1"/>
    <w:qFormat/>
    <w:uiPriority w:val="0"/>
    <w:pPr>
      <w:autoSpaceDN w:val="0"/>
      <w:adjustRightInd w:val="0"/>
      <w:snapToGrid w:val="0"/>
    </w:pPr>
    <w:rPr>
      <w:szCs w:val="22"/>
    </w:rPr>
  </w:style>
  <w:style w:type="character" w:customStyle="1" w:styleId="56">
    <w:name w:val="Default Char"/>
    <w:link w:val="29"/>
    <w:qFormat/>
    <w:locked/>
    <w:uiPriority w:val="0"/>
    <w:rPr>
      <w:color w:val="000000"/>
      <w:kern w:val="2"/>
      <w:sz w:val="24"/>
      <w:szCs w:val="24"/>
    </w:rPr>
  </w:style>
  <w:style w:type="paragraph" w:customStyle="1" w:styleId="57">
    <w:name w:val="修订1"/>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58">
    <w:name w:val="修订2"/>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59">
    <w:name w:val="Char Char1"/>
    <w:basedOn w:val="1"/>
    <w:qFormat/>
    <w:uiPriority w:val="0"/>
    <w:pPr>
      <w:spacing w:line="360" w:lineRule="auto"/>
      <w:ind w:firstLine="200" w:firstLineChars="200"/>
    </w:pPr>
    <w:rPr>
      <w:sz w:val="24"/>
      <w:szCs w:val="20"/>
    </w:rPr>
  </w:style>
  <w:style w:type="paragraph" w:customStyle="1" w:styleId="60">
    <w:name w:val="Table Paragraph"/>
    <w:basedOn w:val="1"/>
    <w:qFormat/>
    <w:uiPriority w:val="1"/>
    <w:pPr>
      <w:autoSpaceDE w:val="0"/>
      <w:autoSpaceDN w:val="0"/>
      <w:jc w:val="left"/>
    </w:pPr>
    <w:rPr>
      <w:rFonts w:ascii="宋体" w:hAnsi="宋体" w:cs="宋体"/>
      <w:kern w:val="0"/>
      <w:sz w:val="22"/>
      <w:szCs w:val="22"/>
    </w:rPr>
  </w:style>
  <w:style w:type="table" w:customStyle="1" w:styleId="6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62">
    <w:name w:val="标题 2 字符"/>
    <w:basedOn w:val="24"/>
    <w:link w:val="4"/>
    <w:semiHidden/>
    <w:qFormat/>
    <w:uiPriority w:val="0"/>
    <w:rPr>
      <w:rFonts w:asciiTheme="majorHAnsi" w:hAnsiTheme="majorHAnsi" w:eastAsiaTheme="majorEastAsia" w:cstheme="majorBidi"/>
      <w:b/>
      <w:bCs/>
      <w:kern w:val="2"/>
      <w:sz w:val="32"/>
      <w:szCs w:val="32"/>
    </w:rPr>
  </w:style>
  <w:style w:type="paragraph" w:styleId="63">
    <w:name w:val="List Paragraph"/>
    <w:basedOn w:val="1"/>
    <w:unhideWhenUsed/>
    <w:qFormat/>
    <w:uiPriority w:val="99"/>
    <w:pPr>
      <w:ind w:firstLine="420" w:firstLineChars="200"/>
    </w:pPr>
  </w:style>
  <w:style w:type="paragraph" w:customStyle="1" w:styleId="64">
    <w:name w:val="Char1"/>
    <w:basedOn w:val="1"/>
    <w:qFormat/>
    <w:uiPriority w:val="0"/>
  </w:style>
  <w:style w:type="paragraph" w:customStyle="1" w:styleId="65">
    <w:name w:val="新4级标题"/>
    <w:basedOn w:val="1"/>
    <w:qFormat/>
    <w:uiPriority w:val="0"/>
    <w:pPr>
      <w:numPr>
        <w:ilvl w:val="3"/>
        <w:numId w:val="3"/>
      </w:numPr>
      <w:adjustRightInd w:val="0"/>
      <w:snapToGrid w:val="0"/>
      <w:outlineLvl w:val="3"/>
    </w:pPr>
    <w:rPr>
      <w:rFonts w:eastAsia="黑体"/>
      <w:szCs w:val="22"/>
    </w:rPr>
  </w:style>
  <w:style w:type="paragraph" w:customStyle="1" w:styleId="66">
    <w:name w:val="新5级标题 表格"/>
    <w:basedOn w:val="1"/>
    <w:qFormat/>
    <w:uiPriority w:val="0"/>
    <w:pPr>
      <w:keepNext/>
      <w:keepLines/>
      <w:numPr>
        <w:ilvl w:val="4"/>
        <w:numId w:val="3"/>
      </w:numPr>
      <w:adjustRightInd w:val="0"/>
      <w:snapToGrid w:val="0"/>
      <w:spacing w:line="240" w:lineRule="auto"/>
      <w:ind w:left="0"/>
      <w:jc w:val="center"/>
      <w:outlineLvl w:val="4"/>
    </w:pPr>
    <w:rPr>
      <w:rFonts w:eastAsia="Times New Roman"/>
      <w:b/>
      <w:color w:val="000000"/>
      <w:szCs w:val="21"/>
    </w:rPr>
  </w:style>
  <w:style w:type="paragraph" w:customStyle="1" w:styleId="67">
    <w:name w:val="表格正文0524"/>
    <w:basedOn w:val="68"/>
    <w:qFormat/>
    <w:uiPriority w:val="0"/>
  </w:style>
  <w:style w:type="paragraph" w:customStyle="1" w:styleId="68">
    <w:name w:val="表格正文"/>
    <w:basedOn w:val="1"/>
    <w:qFormat/>
    <w:uiPriority w:val="0"/>
    <w:pPr>
      <w:widowControl/>
      <w:adjustRightInd w:val="0"/>
      <w:snapToGrid w:val="0"/>
      <w:spacing w:line="0" w:lineRule="atLeast"/>
      <w:jc w:val="center"/>
    </w:pPr>
    <w:rPr>
      <w:szCs w:val="21"/>
      <w:lang w:val="zh-CN"/>
    </w:rPr>
  </w:style>
  <w:style w:type="paragraph" w:customStyle="1" w:styleId="69">
    <w:name w:val="Default1"/>
    <w:basedOn w:val="70"/>
    <w:next w:val="1"/>
    <w:qFormat/>
    <w:uiPriority w:val="0"/>
    <w:pPr>
      <w:widowControl w:val="0"/>
      <w:autoSpaceDE w:val="0"/>
      <w:autoSpaceDN w:val="0"/>
      <w:adjustRightInd w:val="0"/>
    </w:pPr>
    <w:rPr>
      <w:rFonts w:ascii="宋体" w:hAnsi="Calibri" w:cs="宋体"/>
      <w:color w:val="000000"/>
      <w:sz w:val="24"/>
      <w:szCs w:val="24"/>
      <w:lang w:val="en-US" w:eastAsia="zh-CN" w:bidi="ar-SA"/>
    </w:rPr>
  </w:style>
  <w:style w:type="paragraph" w:customStyle="1" w:styleId="70">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F09D0D-2F8B-4523-BF3A-F171D96EC6A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1205</Words>
  <Characters>1311</Characters>
  <Lines>221</Lines>
  <Paragraphs>62</Paragraphs>
  <TotalTime>5</TotalTime>
  <ScaleCrop>false</ScaleCrop>
  <LinksUpToDate>false</LinksUpToDate>
  <CharactersWithSpaces>1340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2023-11-30T10:41:00Z</dcterms:created>
  <dc:creator>lhj</dc:creator>
  <cp:lastModifiedBy>20314</cp:lastModifiedBy>
  <cp:lastPrinted>2023-08-14T03:19:00Z</cp:lastPrinted>
  <dcterms:modified xsi:type="dcterms:W3CDTF">2025-05-07T03:51:35Z</dcterms:modified>
  <dc:title>附件2</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1982F88587374BB5AFE0D643690D42F2_13</vt:lpwstr>
  </property>
  <property fmtid="{D5CDD505-2E9C-101B-9397-08002B2CF9AE}" pid="4" name="KSOTemplateDocerSaveRecord">
    <vt:lpwstr>eyJoZGlkIjoiN2I4YzVlMmUyMjc0YjZhY2E1YmJiMWRiMWI0YzAwNTIiLCJ1c2VySWQiOiIxMDM3NjMxMjY0In0=</vt:lpwstr>
  </property>
</Properties>
</file>