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A4AFC">
      <w:pPr>
        <w:rPr>
          <w:rFonts w:hint="default" w:ascii="Times New Roman" w:hAnsi="Times New Roman" w:eastAsia="宋体" w:cs="Times New Roman"/>
          <w:color w:val="auto"/>
          <w:sz w:val="36"/>
          <w:szCs w:val="36"/>
          <w:highlight w:val="none"/>
          <w:u w:val="none" w:color="auto"/>
          <w:lang w:eastAsia="zh-CN"/>
        </w:rPr>
      </w:pPr>
    </w:p>
    <w:p w14:paraId="0C090DB9">
      <w:pPr>
        <w:adjustRightInd w:val="0"/>
        <w:snapToGrid w:val="0"/>
        <w:spacing w:line="480" w:lineRule="auto"/>
        <w:rPr>
          <w:rFonts w:hint="default" w:ascii="Times New Roman" w:hAnsi="Times New Roman" w:eastAsia="宋体" w:cs="Times New Roman"/>
          <w:bCs/>
          <w:color w:val="auto"/>
          <w:sz w:val="72"/>
          <w:szCs w:val="72"/>
          <w:highlight w:val="none"/>
          <w:u w:val="none" w:color="auto"/>
        </w:rPr>
      </w:pPr>
      <w:bookmarkStart w:id="0" w:name="_Toc5844"/>
      <w:bookmarkStart w:id="1" w:name="_Toc1400"/>
      <w:r>
        <w:rPr>
          <w:rFonts w:hint="default" w:ascii="Times New Roman" w:hAnsi="Times New Roman" w:eastAsia="宋体" w:cs="Times New Roman"/>
          <w:bCs/>
          <w:color w:val="auto"/>
          <w:sz w:val="72"/>
          <w:szCs w:val="72"/>
          <w:highlight w:val="none"/>
          <w:u w:val="none" w:color="auto"/>
        </w:rPr>
        <w:t>建设项目环境影响报告表</w:t>
      </w:r>
      <w:bookmarkEnd w:id="0"/>
      <w:bookmarkEnd w:id="1"/>
    </w:p>
    <w:p w14:paraId="7DF67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48"/>
          <w:szCs w:val="48"/>
          <w:highlight w:val="none"/>
          <w:u w:val="none" w:color="auto"/>
        </w:rPr>
      </w:pPr>
      <w:r>
        <w:rPr>
          <w:rFonts w:hint="default" w:ascii="Times New Roman" w:hAnsi="Times New Roman" w:eastAsia="宋体" w:cs="Times New Roman"/>
          <w:bCs/>
          <w:color w:val="auto"/>
          <w:sz w:val="48"/>
          <w:szCs w:val="48"/>
          <w:highlight w:val="none"/>
          <w:u w:val="none" w:color="auto"/>
        </w:rPr>
        <w:t>（污染影响类）</w:t>
      </w:r>
    </w:p>
    <w:p w14:paraId="6C28764B">
      <w:pPr>
        <w:adjustRightInd w:val="0"/>
        <w:snapToGrid w:val="0"/>
        <w:spacing w:line="480" w:lineRule="auto"/>
        <w:jc w:val="center"/>
        <w:rPr>
          <w:rFonts w:hint="eastAsia" w:ascii="Times New Roman" w:hAnsi="Times New Roman" w:eastAsia="宋体" w:cs="Times New Roman"/>
          <w:bCs/>
          <w:color w:val="auto"/>
          <w:sz w:val="40"/>
          <w:szCs w:val="40"/>
          <w:highlight w:val="none"/>
          <w:u w:val="none" w:color="auto"/>
          <w:lang w:eastAsia="zh-CN"/>
        </w:rPr>
      </w:pPr>
      <w:r>
        <w:rPr>
          <w:rFonts w:hint="eastAsia" w:cs="Times New Roman"/>
          <w:bCs/>
          <w:color w:val="auto"/>
          <w:sz w:val="40"/>
          <w:szCs w:val="40"/>
          <w:highlight w:val="none"/>
          <w:u w:val="none" w:color="auto"/>
          <w:lang w:eastAsia="zh-CN"/>
        </w:rPr>
        <w:t>（</w:t>
      </w:r>
      <w:r>
        <w:rPr>
          <w:rFonts w:hint="eastAsia" w:cs="Times New Roman"/>
          <w:bCs/>
          <w:color w:val="auto"/>
          <w:sz w:val="40"/>
          <w:szCs w:val="40"/>
          <w:highlight w:val="none"/>
          <w:u w:val="none" w:color="auto"/>
          <w:lang w:val="en-US" w:eastAsia="zh-CN"/>
        </w:rPr>
        <w:t>报批稿</w:t>
      </w:r>
      <w:r>
        <w:rPr>
          <w:rFonts w:hint="eastAsia" w:cs="Times New Roman"/>
          <w:bCs/>
          <w:color w:val="auto"/>
          <w:sz w:val="40"/>
          <w:szCs w:val="40"/>
          <w:highlight w:val="none"/>
          <w:u w:val="none" w:color="auto"/>
          <w:lang w:eastAsia="zh-CN"/>
        </w:rPr>
        <w:t>）</w:t>
      </w:r>
    </w:p>
    <w:p w14:paraId="616E94CC">
      <w:pPr>
        <w:adjustRightInd w:val="0"/>
        <w:snapToGrid w:val="0"/>
        <w:spacing w:line="480" w:lineRule="auto"/>
        <w:rPr>
          <w:rFonts w:hint="default" w:ascii="Times New Roman" w:hAnsi="Times New Roman" w:eastAsia="宋体" w:cs="Times New Roman"/>
          <w:bCs/>
          <w:color w:val="auto"/>
          <w:sz w:val="48"/>
          <w:szCs w:val="48"/>
          <w:highlight w:val="none"/>
          <w:u w:val="none" w:color="auto"/>
        </w:rPr>
      </w:pPr>
    </w:p>
    <w:p w14:paraId="266FCDA1">
      <w:pPr>
        <w:adjustRightInd w:val="0"/>
        <w:snapToGrid w:val="0"/>
        <w:spacing w:line="480" w:lineRule="auto"/>
        <w:rPr>
          <w:rFonts w:hint="default" w:ascii="Times New Roman" w:hAnsi="Times New Roman" w:eastAsia="宋体" w:cs="Times New Roman"/>
          <w:bCs/>
          <w:color w:val="auto"/>
          <w:sz w:val="48"/>
          <w:szCs w:val="48"/>
          <w:highlight w:val="none"/>
          <w:u w:val="none" w:color="auto"/>
        </w:rPr>
      </w:pPr>
    </w:p>
    <w:p w14:paraId="7B047B8B">
      <w:pPr>
        <w:adjustRightInd w:val="0"/>
        <w:snapToGrid w:val="0"/>
        <w:spacing w:line="480" w:lineRule="auto"/>
        <w:ind w:left="1600" w:hanging="1600" w:hangingChars="500"/>
        <w:rPr>
          <w:rFonts w:hint="default" w:ascii="Times New Roman" w:hAnsi="Times New Roman" w:eastAsia="宋体" w:cs="Times New Roman"/>
          <w:b w:val="0"/>
          <w:bCs w:val="0"/>
          <w:color w:val="auto"/>
          <w:sz w:val="32"/>
          <w:szCs w:val="32"/>
          <w:highlight w:val="none"/>
          <w:u w:val="single" w:color="auto"/>
          <w:lang w:val="en-US" w:eastAsia="zh-CN"/>
        </w:rPr>
      </w:pPr>
      <w:r>
        <w:rPr>
          <w:rFonts w:hint="default" w:ascii="Times New Roman" w:hAnsi="Times New Roman" w:eastAsia="宋体" w:cs="Times New Roman"/>
          <w:b w:val="0"/>
          <w:bCs w:val="0"/>
          <w:color w:val="auto"/>
          <w:sz w:val="32"/>
          <w:szCs w:val="32"/>
          <w:highlight w:val="none"/>
          <w:u w:val="none" w:color="auto"/>
        </w:rPr>
        <w:t>项目名称：</w:t>
      </w:r>
      <w:r>
        <w:rPr>
          <w:rFonts w:hint="default" w:ascii="Times New Roman" w:hAnsi="Times New Roman" w:eastAsia="宋体" w:cs="Times New Roman"/>
          <w:b w:val="0"/>
          <w:bCs w:val="0"/>
          <w:color w:val="auto"/>
          <w:sz w:val="32"/>
          <w:szCs w:val="32"/>
          <w:highlight w:val="none"/>
          <w:u w:val="single" w:color="auto"/>
          <w:lang w:val="en-US" w:eastAsia="zh-CN"/>
        </w:rPr>
        <w:t>广西北部湾国际集装箱码头有限公司8类、9类固态危险货物集装箱混堆堆场项目</w:t>
      </w:r>
    </w:p>
    <w:p w14:paraId="50C7A07F">
      <w:pPr>
        <w:adjustRightInd w:val="0"/>
        <w:snapToGrid w:val="0"/>
        <w:spacing w:line="480" w:lineRule="auto"/>
        <w:rPr>
          <w:rFonts w:hint="default" w:ascii="Times New Roman" w:hAnsi="Times New Roman" w:eastAsia="宋体" w:cs="Times New Roman"/>
          <w:b w:val="0"/>
          <w:bCs w:val="0"/>
          <w:color w:val="auto"/>
          <w:sz w:val="32"/>
          <w:szCs w:val="32"/>
          <w:highlight w:val="none"/>
          <w:u w:val="single" w:color="auto"/>
          <w:lang w:val="en-US"/>
        </w:rPr>
      </w:pPr>
      <w:r>
        <w:rPr>
          <w:rFonts w:hint="default" w:ascii="Times New Roman" w:hAnsi="Times New Roman" w:eastAsia="宋体" w:cs="Times New Roman"/>
          <w:b w:val="0"/>
          <w:bCs w:val="0"/>
          <w:color w:val="auto"/>
          <w:sz w:val="32"/>
          <w:szCs w:val="32"/>
          <w:highlight w:val="none"/>
          <w:u w:val="none" w:color="auto"/>
        </w:rPr>
        <w:t>建设单位（盖章）：</w:t>
      </w:r>
      <w:r>
        <w:rPr>
          <w:rFonts w:hint="default" w:ascii="Times New Roman" w:hAnsi="Times New Roman" w:eastAsia="宋体" w:cs="Times New Roman"/>
          <w:b w:val="0"/>
          <w:bCs w:val="0"/>
          <w:color w:val="auto"/>
          <w:sz w:val="32"/>
          <w:szCs w:val="32"/>
          <w:highlight w:val="none"/>
          <w:u w:val="single" w:color="auto"/>
          <w:lang w:val="en-US" w:eastAsia="zh-CN"/>
        </w:rPr>
        <w:t>广西北部湾国际集装箱码头有限公司</w:t>
      </w:r>
    </w:p>
    <w:p w14:paraId="75289DDE">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none" w:color="auto"/>
          <w:lang w:val="en-US" w:eastAsia="zh-CN"/>
        </w:rPr>
      </w:pPr>
      <w:r>
        <w:rPr>
          <w:rFonts w:hint="default" w:ascii="Times New Roman" w:hAnsi="Times New Roman" w:eastAsia="宋体" w:cs="Times New Roman"/>
          <w:b w:val="0"/>
          <w:bCs w:val="0"/>
          <w:color w:val="auto"/>
          <w:sz w:val="32"/>
          <w:szCs w:val="32"/>
          <w:highlight w:val="none"/>
          <w:u w:val="none" w:color="auto"/>
        </w:rPr>
        <w:t>编制日期：</w:t>
      </w:r>
      <w:r>
        <w:rPr>
          <w:rFonts w:hint="default" w:ascii="Times New Roman" w:hAnsi="Times New Roman" w:eastAsia="宋体" w:cs="Times New Roman"/>
          <w:b w:val="0"/>
          <w:bCs w:val="0"/>
          <w:color w:val="auto"/>
          <w:sz w:val="32"/>
          <w:szCs w:val="32"/>
          <w:highlight w:val="none"/>
          <w:u w:val="none" w:color="auto"/>
          <w:lang w:val="en-US" w:eastAsia="zh-CN"/>
        </w:rPr>
        <w:t>202</w:t>
      </w:r>
      <w:r>
        <w:rPr>
          <w:rFonts w:hint="eastAsia" w:ascii="Times New Roman" w:hAnsi="Times New Roman" w:eastAsia="宋体" w:cs="Times New Roman"/>
          <w:b w:val="0"/>
          <w:bCs w:val="0"/>
          <w:color w:val="auto"/>
          <w:sz w:val="32"/>
          <w:szCs w:val="32"/>
          <w:highlight w:val="none"/>
          <w:u w:val="none" w:color="auto"/>
          <w:lang w:val="en-US" w:eastAsia="zh-CN"/>
        </w:rPr>
        <w:t>5</w:t>
      </w:r>
      <w:r>
        <w:rPr>
          <w:rFonts w:hint="default" w:ascii="Times New Roman" w:hAnsi="Times New Roman" w:eastAsia="宋体" w:cs="Times New Roman"/>
          <w:b w:val="0"/>
          <w:bCs w:val="0"/>
          <w:color w:val="auto"/>
          <w:sz w:val="32"/>
          <w:szCs w:val="32"/>
          <w:highlight w:val="none"/>
          <w:u w:val="none" w:color="auto"/>
          <w:lang w:val="en-US" w:eastAsia="zh-CN"/>
        </w:rPr>
        <w:t>年</w:t>
      </w:r>
      <w:r>
        <w:rPr>
          <w:rFonts w:hint="eastAsia" w:cs="Times New Roman"/>
          <w:b w:val="0"/>
          <w:bCs w:val="0"/>
          <w:color w:val="auto"/>
          <w:sz w:val="32"/>
          <w:szCs w:val="32"/>
          <w:highlight w:val="none"/>
          <w:u w:val="none" w:color="auto"/>
          <w:lang w:val="en-US" w:eastAsia="zh-CN"/>
        </w:rPr>
        <w:t>8</w:t>
      </w:r>
      <w:r>
        <w:rPr>
          <w:rFonts w:hint="default" w:ascii="Times New Roman" w:hAnsi="Times New Roman" w:eastAsia="宋体" w:cs="Times New Roman"/>
          <w:b w:val="0"/>
          <w:bCs w:val="0"/>
          <w:color w:val="auto"/>
          <w:sz w:val="32"/>
          <w:szCs w:val="32"/>
          <w:highlight w:val="none"/>
          <w:u w:val="none" w:color="auto"/>
          <w:lang w:val="en-US" w:eastAsia="zh-CN"/>
        </w:rPr>
        <w:t>月</w:t>
      </w:r>
    </w:p>
    <w:p w14:paraId="23CD9A81">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none" w:color="auto"/>
          <w:lang w:val="en-US" w:eastAsia="zh-CN"/>
        </w:rPr>
      </w:pPr>
    </w:p>
    <w:p w14:paraId="727B4826">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none" w:color="auto"/>
          <w:lang w:val="en-US" w:eastAsia="zh-CN"/>
        </w:rPr>
      </w:pPr>
    </w:p>
    <w:p w14:paraId="55C7BB52">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none" w:color="auto"/>
          <w:lang w:val="en-US" w:eastAsia="zh-CN"/>
        </w:rPr>
      </w:pPr>
    </w:p>
    <w:p w14:paraId="03F83F49">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none" w:color="auto"/>
          <w:lang w:val="en-US" w:eastAsia="zh-CN"/>
        </w:rPr>
      </w:pPr>
    </w:p>
    <w:p w14:paraId="034C67D7">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none" w:color="auto"/>
          <w:lang w:val="en-US" w:eastAsia="zh-CN"/>
        </w:rPr>
      </w:pPr>
    </w:p>
    <w:p w14:paraId="07A0BE5C">
      <w:pPr>
        <w:adjustRightInd w:val="0"/>
        <w:snapToGrid w:val="0"/>
        <w:spacing w:line="288" w:lineRule="auto"/>
        <w:jc w:val="center"/>
        <w:rPr>
          <w:rFonts w:hint="default" w:ascii="Times New Roman" w:hAnsi="Times New Roman" w:eastAsia="宋体" w:cs="Times New Roman"/>
          <w:b w:val="0"/>
          <w:bCs w:val="0"/>
          <w:color w:val="auto"/>
          <w:sz w:val="32"/>
          <w:szCs w:val="32"/>
          <w:highlight w:val="none"/>
          <w:u w:val="none" w:color="auto"/>
          <w:lang w:val="en-US" w:eastAsia="zh-CN"/>
        </w:rPr>
      </w:pPr>
    </w:p>
    <w:p w14:paraId="5874BD54">
      <w:pPr>
        <w:adjustRightInd w:val="0"/>
        <w:snapToGrid w:val="0"/>
        <w:spacing w:line="288" w:lineRule="auto"/>
        <w:jc w:val="center"/>
        <w:rPr>
          <w:rFonts w:hint="default" w:ascii="Times New Roman" w:hAnsi="Times New Roman" w:eastAsia="宋体" w:cs="Times New Roman"/>
          <w:color w:val="auto"/>
          <w:sz w:val="36"/>
          <w:szCs w:val="36"/>
          <w:highlight w:val="none"/>
          <w:u w:val="none" w:color="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color w:val="auto"/>
          <w:sz w:val="36"/>
          <w:szCs w:val="36"/>
          <w:highlight w:val="none"/>
          <w:u w:val="none" w:color="auto"/>
          <w:lang w:val="en-US" w:eastAsia="zh-CN"/>
        </w:rPr>
        <w:t>中华人民共和国生态环境部</w:t>
      </w:r>
      <w:r>
        <w:rPr>
          <w:rFonts w:hint="default" w:ascii="Times New Roman" w:hAnsi="Times New Roman" w:eastAsia="宋体" w:cs="Times New Roman"/>
          <w:color w:val="auto"/>
          <w:sz w:val="36"/>
          <w:szCs w:val="36"/>
          <w:highlight w:val="none"/>
          <w:u w:val="none" w:color="auto"/>
        </w:rPr>
        <w:t>制</w:t>
      </w:r>
    </w:p>
    <w:p w14:paraId="533C3395">
      <w:pPr>
        <w:jc w:val="center"/>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b/>
          <w:bCs/>
          <w:color w:val="auto"/>
          <w:sz w:val="24"/>
          <w:szCs w:val="24"/>
          <w:highlight w:val="none"/>
          <w:u w:val="none" w:color="auto"/>
          <w:lang w:eastAsia="zh-CN"/>
        </w:rPr>
        <w:t>项目现场照片</w:t>
      </w:r>
    </w:p>
    <w:tbl>
      <w:tblPr>
        <w:tblStyle w:val="4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518"/>
      </w:tblGrid>
      <w:tr w14:paraId="6326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542" w:type="dxa"/>
            <w:shd w:val="clear" w:color="auto" w:fill="auto"/>
            <w:noWrap w:val="0"/>
            <w:vAlign w:val="center"/>
          </w:tcPr>
          <w:p w14:paraId="5031F8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drawing>
                <wp:inline distT="0" distB="0" distL="114300" distR="114300">
                  <wp:extent cx="2710180" cy="1806575"/>
                  <wp:effectExtent l="0" t="0" r="13970" b="3175"/>
                  <wp:docPr id="56" name="图片 56" descr="DJI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JI_0151"/>
                          <pic:cNvPicPr>
                            <a:picLocks noChangeAspect="1"/>
                          </pic:cNvPicPr>
                        </pic:nvPicPr>
                        <pic:blipFill>
                          <a:blip r:embed="rId9"/>
                          <a:stretch>
                            <a:fillRect/>
                          </a:stretch>
                        </pic:blipFill>
                        <pic:spPr>
                          <a:xfrm>
                            <a:off x="0" y="0"/>
                            <a:ext cx="2710180" cy="1806575"/>
                          </a:xfrm>
                          <a:prstGeom prst="rect">
                            <a:avLst/>
                          </a:prstGeom>
                        </pic:spPr>
                      </pic:pic>
                    </a:graphicData>
                  </a:graphic>
                </wp:inline>
              </w:drawing>
            </w:r>
          </w:p>
        </w:tc>
        <w:tc>
          <w:tcPr>
            <w:tcW w:w="4518" w:type="dxa"/>
            <w:shd w:val="clear" w:color="auto" w:fill="auto"/>
            <w:noWrap w:val="0"/>
            <w:vAlign w:val="center"/>
          </w:tcPr>
          <w:p w14:paraId="3E147A3F">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drawing>
                <wp:inline distT="0" distB="0" distL="114300" distR="114300">
                  <wp:extent cx="2709545" cy="1806575"/>
                  <wp:effectExtent l="0" t="0" r="14605" b="3175"/>
                  <wp:docPr id="57" name="图片 57" descr="DJI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JI_0153"/>
                          <pic:cNvPicPr>
                            <a:picLocks noChangeAspect="1"/>
                          </pic:cNvPicPr>
                        </pic:nvPicPr>
                        <pic:blipFill>
                          <a:blip r:embed="rId10"/>
                          <a:stretch>
                            <a:fillRect/>
                          </a:stretch>
                        </pic:blipFill>
                        <pic:spPr>
                          <a:xfrm>
                            <a:off x="0" y="0"/>
                            <a:ext cx="2709545" cy="1806575"/>
                          </a:xfrm>
                          <a:prstGeom prst="rect">
                            <a:avLst/>
                          </a:prstGeom>
                        </pic:spPr>
                      </pic:pic>
                    </a:graphicData>
                  </a:graphic>
                </wp:inline>
              </w:drawing>
            </w:r>
          </w:p>
        </w:tc>
      </w:tr>
      <w:tr w14:paraId="64362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shd w:val="clear" w:color="auto" w:fill="auto"/>
            <w:noWrap w:val="0"/>
            <w:vAlign w:val="center"/>
          </w:tcPr>
          <w:p w14:paraId="048B43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color="auto"/>
                <w:lang w:val="en-US" w:eastAsia="zh-CN" w:bidi="ar-SA"/>
              </w:rPr>
            </w:pPr>
            <w:r>
              <w:rPr>
                <w:rFonts w:hint="default" w:ascii="Times New Roman" w:hAnsi="Times New Roman" w:eastAsia="宋体" w:cs="Times New Roman"/>
                <w:b/>
                <w:bCs/>
                <w:color w:val="auto"/>
                <w:sz w:val="24"/>
                <w:szCs w:val="24"/>
                <w:highlight w:val="none"/>
                <w:u w:val="none" w:color="auto"/>
                <w:lang w:val="en-US" w:eastAsia="zh-CN"/>
              </w:rPr>
              <w:t>项目</w:t>
            </w:r>
            <w:r>
              <w:rPr>
                <w:rFonts w:hint="eastAsia" w:ascii="Times New Roman" w:hAnsi="Times New Roman" w:eastAsia="宋体" w:cs="Times New Roman"/>
                <w:b/>
                <w:bCs/>
                <w:color w:val="auto"/>
                <w:sz w:val="24"/>
                <w:szCs w:val="24"/>
                <w:highlight w:val="none"/>
                <w:u w:val="none" w:color="auto"/>
                <w:lang w:val="en-US" w:eastAsia="zh-CN"/>
              </w:rPr>
              <w:t>东</w:t>
            </w:r>
            <w:r>
              <w:rPr>
                <w:rFonts w:hint="default" w:ascii="Times New Roman" w:hAnsi="Times New Roman" w:eastAsia="宋体" w:cs="Times New Roman"/>
                <w:b/>
                <w:bCs/>
                <w:color w:val="auto"/>
                <w:sz w:val="24"/>
                <w:szCs w:val="24"/>
                <w:highlight w:val="none"/>
                <w:u w:val="none" w:color="auto"/>
                <w:lang w:val="en-US" w:eastAsia="zh-CN"/>
              </w:rPr>
              <w:t>面情况</w:t>
            </w:r>
          </w:p>
        </w:tc>
        <w:tc>
          <w:tcPr>
            <w:tcW w:w="4518" w:type="dxa"/>
            <w:shd w:val="clear" w:color="auto" w:fill="auto"/>
            <w:noWrap w:val="0"/>
            <w:vAlign w:val="center"/>
          </w:tcPr>
          <w:p w14:paraId="411EBD5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u w:val="none" w:color="auto"/>
                <w:lang w:val="en-US" w:eastAsia="zh-CN" w:bidi="ar-SA"/>
              </w:rPr>
            </w:pPr>
            <w:r>
              <w:rPr>
                <w:rFonts w:hint="default" w:ascii="Times New Roman" w:hAnsi="Times New Roman" w:eastAsia="宋体" w:cs="Times New Roman"/>
                <w:b/>
                <w:bCs/>
                <w:color w:val="auto"/>
                <w:sz w:val="24"/>
                <w:szCs w:val="24"/>
                <w:highlight w:val="none"/>
                <w:u w:val="none" w:color="auto"/>
                <w:lang w:val="en-US" w:eastAsia="zh-CN"/>
              </w:rPr>
              <w:t>项目</w:t>
            </w:r>
            <w:r>
              <w:rPr>
                <w:rFonts w:hint="eastAsia" w:ascii="Times New Roman" w:hAnsi="Times New Roman" w:eastAsia="宋体" w:cs="Times New Roman"/>
                <w:b/>
                <w:bCs/>
                <w:color w:val="auto"/>
                <w:sz w:val="24"/>
                <w:szCs w:val="24"/>
                <w:highlight w:val="none"/>
                <w:u w:val="none" w:color="auto"/>
                <w:lang w:val="en-US" w:eastAsia="zh-CN"/>
              </w:rPr>
              <w:t>南</w:t>
            </w:r>
            <w:r>
              <w:rPr>
                <w:rFonts w:hint="default" w:ascii="Times New Roman" w:hAnsi="Times New Roman" w:eastAsia="宋体" w:cs="Times New Roman"/>
                <w:b/>
                <w:bCs/>
                <w:color w:val="auto"/>
                <w:sz w:val="24"/>
                <w:szCs w:val="24"/>
                <w:highlight w:val="none"/>
                <w:u w:val="none" w:color="auto"/>
                <w:lang w:val="en-US" w:eastAsia="zh-CN"/>
              </w:rPr>
              <w:t>面情况</w:t>
            </w:r>
          </w:p>
        </w:tc>
      </w:tr>
      <w:tr w14:paraId="3403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542" w:type="dxa"/>
            <w:noWrap w:val="0"/>
            <w:vAlign w:val="center"/>
          </w:tcPr>
          <w:p w14:paraId="1F8BEFE8">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drawing>
                <wp:inline distT="0" distB="0" distL="114300" distR="114300">
                  <wp:extent cx="2709545" cy="1805940"/>
                  <wp:effectExtent l="0" t="0" r="14605" b="3810"/>
                  <wp:docPr id="58" name="图片 58" descr="DJI_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JI_0154"/>
                          <pic:cNvPicPr>
                            <a:picLocks noChangeAspect="1"/>
                          </pic:cNvPicPr>
                        </pic:nvPicPr>
                        <pic:blipFill>
                          <a:blip r:embed="rId11"/>
                          <a:stretch>
                            <a:fillRect/>
                          </a:stretch>
                        </pic:blipFill>
                        <pic:spPr>
                          <a:xfrm>
                            <a:off x="0" y="0"/>
                            <a:ext cx="2709545" cy="1805940"/>
                          </a:xfrm>
                          <a:prstGeom prst="rect">
                            <a:avLst/>
                          </a:prstGeom>
                        </pic:spPr>
                      </pic:pic>
                    </a:graphicData>
                  </a:graphic>
                </wp:inline>
              </w:drawing>
            </w:r>
          </w:p>
        </w:tc>
        <w:tc>
          <w:tcPr>
            <w:tcW w:w="4518" w:type="dxa"/>
            <w:noWrap w:val="0"/>
            <w:vAlign w:val="center"/>
          </w:tcPr>
          <w:p w14:paraId="470BD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szCs w:val="21"/>
                <w:highlight w:val="none"/>
                <w:u w:val="none" w:color="auto"/>
                <w:lang w:eastAsia="zh-CN"/>
              </w:rPr>
            </w:pPr>
            <w:r>
              <w:rPr>
                <w:rFonts w:hint="default" w:ascii="Times New Roman" w:hAnsi="Times New Roman" w:eastAsia="宋体" w:cs="Times New Roman"/>
                <w:color w:val="auto"/>
                <w:szCs w:val="21"/>
                <w:highlight w:val="none"/>
                <w:u w:val="none" w:color="auto"/>
                <w:lang w:eastAsia="zh-CN"/>
              </w:rPr>
              <w:drawing>
                <wp:inline distT="0" distB="0" distL="114300" distR="114300">
                  <wp:extent cx="2709545" cy="1806575"/>
                  <wp:effectExtent l="0" t="0" r="14605" b="3175"/>
                  <wp:docPr id="59" name="图片 59" descr="DJI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JI_0161"/>
                          <pic:cNvPicPr>
                            <a:picLocks noChangeAspect="1"/>
                          </pic:cNvPicPr>
                        </pic:nvPicPr>
                        <pic:blipFill>
                          <a:blip r:embed="rId12"/>
                          <a:stretch>
                            <a:fillRect/>
                          </a:stretch>
                        </pic:blipFill>
                        <pic:spPr>
                          <a:xfrm>
                            <a:off x="0" y="0"/>
                            <a:ext cx="2709545" cy="1806575"/>
                          </a:xfrm>
                          <a:prstGeom prst="rect">
                            <a:avLst/>
                          </a:prstGeom>
                        </pic:spPr>
                      </pic:pic>
                    </a:graphicData>
                  </a:graphic>
                </wp:inline>
              </w:drawing>
            </w:r>
          </w:p>
        </w:tc>
      </w:tr>
      <w:tr w14:paraId="2D58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noWrap w:val="0"/>
            <w:vAlign w:val="center"/>
          </w:tcPr>
          <w:p w14:paraId="5193DA9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b/>
                <w:bCs/>
                <w:color w:val="auto"/>
                <w:sz w:val="24"/>
                <w:szCs w:val="24"/>
                <w:highlight w:val="none"/>
                <w:u w:val="none" w:color="auto"/>
                <w:lang w:val="en-US" w:eastAsia="zh-CN"/>
              </w:rPr>
              <w:t>项目</w:t>
            </w:r>
            <w:r>
              <w:rPr>
                <w:rFonts w:hint="eastAsia" w:ascii="Times New Roman" w:hAnsi="Times New Roman" w:eastAsia="宋体" w:cs="Times New Roman"/>
                <w:b/>
                <w:bCs/>
                <w:color w:val="auto"/>
                <w:sz w:val="24"/>
                <w:szCs w:val="24"/>
                <w:highlight w:val="none"/>
                <w:u w:val="none" w:color="auto"/>
                <w:lang w:val="en-US" w:eastAsia="zh-CN"/>
              </w:rPr>
              <w:t>西</w:t>
            </w:r>
            <w:r>
              <w:rPr>
                <w:rFonts w:hint="default" w:ascii="Times New Roman" w:hAnsi="Times New Roman" w:eastAsia="宋体" w:cs="Times New Roman"/>
                <w:b/>
                <w:bCs/>
                <w:color w:val="auto"/>
                <w:sz w:val="24"/>
                <w:szCs w:val="24"/>
                <w:highlight w:val="none"/>
                <w:u w:val="none" w:color="auto"/>
                <w:lang w:val="en-US" w:eastAsia="zh-CN"/>
              </w:rPr>
              <w:t>面情况</w:t>
            </w:r>
          </w:p>
        </w:tc>
        <w:tc>
          <w:tcPr>
            <w:tcW w:w="4518" w:type="dxa"/>
            <w:noWrap w:val="0"/>
            <w:vAlign w:val="center"/>
          </w:tcPr>
          <w:p w14:paraId="2845A29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68480" behindDoc="0" locked="0" layoutInCell="1" allowOverlap="1">
                      <wp:simplePos x="0" y="0"/>
                      <wp:positionH relativeFrom="column">
                        <wp:posOffset>1040130</wp:posOffset>
                      </wp:positionH>
                      <wp:positionV relativeFrom="paragraph">
                        <wp:posOffset>179705</wp:posOffset>
                      </wp:positionV>
                      <wp:extent cx="438150" cy="3810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43815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2DCE0">
                                  <w:pPr>
                                    <w:rPr>
                                      <w:rFonts w:hint="default" w:eastAsia="宋体"/>
                                      <w:color w:val="FFFF00"/>
                                      <w:sz w:val="21"/>
                                      <w:szCs w:val="24"/>
                                      <w:lang w:val="en-US" w:eastAsia="zh-CN"/>
                                    </w:rPr>
                                  </w:pPr>
                                  <w:r>
                                    <w:rPr>
                                      <w:rFonts w:hint="eastAsia"/>
                                      <w:color w:val="FFFF00"/>
                                      <w:sz w:val="21"/>
                                      <w:szCs w:val="24"/>
                                      <w:lang w:val="en-US" w:eastAsia="zh-CN"/>
                                    </w:rPr>
                                    <w:t>5G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9pt;margin-top:14.15pt;height:30pt;width:34.5pt;z-index:251668480;mso-width-relative:page;mso-height-relative:page;" filled="f" stroked="f" coordsize="21600,21600" o:gfxdata="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F5RgNgAAAAJAQAADwAAAAAAAAABACAAAAAiAAAAZHJzL2Rv&#10;d25yZXYueG1sUEsBAhQAFAAAAAgAh07iQElkTOE6AgAAZwQAAA4AAAAAAAAAAQAgAAAAJwEAAGRy&#10;cy9lMm9Eb2MueG1sUEsFBgAAAAAGAAYAWQEAANMFAAAAAA==&#10;">
                      <v:fill on="f" focussize="0,0"/>
                      <v:stroke on="f" weight="0.5pt"/>
                      <v:imagedata o:title=""/>
                      <o:lock v:ext="edit" aspectratio="f"/>
                      <v:textbox>
                        <w:txbxContent>
                          <w:p w14:paraId="4012DCE0">
                            <w:pPr>
                              <w:rPr>
                                <w:rFonts w:hint="default" w:eastAsia="宋体"/>
                                <w:color w:val="FFFF00"/>
                                <w:sz w:val="21"/>
                                <w:szCs w:val="24"/>
                                <w:lang w:val="en-US" w:eastAsia="zh-CN"/>
                              </w:rPr>
                            </w:pPr>
                            <w:r>
                              <w:rPr>
                                <w:rFonts w:hint="eastAsia"/>
                                <w:color w:val="FFFF00"/>
                                <w:sz w:val="21"/>
                                <w:szCs w:val="24"/>
                                <w:lang w:val="en-US" w:eastAsia="zh-CN"/>
                              </w:rPr>
                              <w:t>5G</w:t>
                            </w:r>
                          </w:p>
                        </w:txbxContent>
                      </v:textbox>
                    </v:shape>
                  </w:pict>
                </mc:Fallback>
              </mc:AlternateContent>
            </w:r>
            <w:r>
              <w:rPr>
                <w:rFonts w:hint="default" w:ascii="Times New Roman" w:hAnsi="Times New Roman" w:eastAsia="宋体" w:cs="Times New Roman"/>
                <w:b/>
                <w:bCs/>
                <w:color w:val="auto"/>
                <w:sz w:val="24"/>
                <w:szCs w:val="24"/>
                <w:highlight w:val="none"/>
                <w:u w:val="none" w:color="auto"/>
                <w:lang w:val="en-US" w:eastAsia="zh-CN"/>
              </w:rPr>
              <w:t>项目北面情况</w:t>
            </w:r>
          </w:p>
        </w:tc>
      </w:tr>
      <w:tr w14:paraId="72D6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2" w:type="dxa"/>
            <w:noWrap w:val="0"/>
            <w:vAlign w:val="center"/>
          </w:tcPr>
          <w:p w14:paraId="59F932F0">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65408" behindDoc="0" locked="0" layoutInCell="1" allowOverlap="1">
                      <wp:simplePos x="0" y="0"/>
                      <wp:positionH relativeFrom="column">
                        <wp:posOffset>1322705</wp:posOffset>
                      </wp:positionH>
                      <wp:positionV relativeFrom="paragraph">
                        <wp:posOffset>779145</wp:posOffset>
                      </wp:positionV>
                      <wp:extent cx="438150" cy="3810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43815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4D562">
                                  <w:pPr>
                                    <w:rPr>
                                      <w:rFonts w:hint="default"/>
                                      <w:color w:val="FFFF00"/>
                                      <w:lang w:val="en-US" w:eastAsia="zh-CN"/>
                                    </w:rPr>
                                  </w:pPr>
                                  <w:r>
                                    <w:rPr>
                                      <w:rFonts w:hint="eastAsia"/>
                                      <w:color w:val="FFFF00"/>
                                      <w:lang w:val="en-US" w:eastAsia="zh-CN"/>
                                    </w:rPr>
                                    <w:t>3F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15pt;margin-top:61.35pt;height:30pt;width:34.5pt;z-index:251665408;mso-width-relative:page;mso-height-relative:page;" filled="f" stroked="f" coordsize="21600,21600" o:gfxdata="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iCMPdkAAAALAQAADwAAAAAAAAABACAAAAAiAAAAZHJzL2Rv&#10;d25yZXYueG1sUEsBAhQAFAAAAAgAh07iQIZg2YI5AgAAZwQAAA4AAAAAAAAAAQAgAAAAKAEAAGRy&#10;cy9lMm9Eb2MueG1sUEsFBgAAAAAGAAYAWQEAANMFAAAAAA==&#10;">
                      <v:fill on="f" focussize="0,0"/>
                      <v:stroke on="f" weight="0.5pt"/>
                      <v:imagedata o:title=""/>
                      <o:lock v:ext="edit" aspectratio="f"/>
                      <v:textbox>
                        <w:txbxContent>
                          <w:p w14:paraId="5DB4D562">
                            <w:pPr>
                              <w:rPr>
                                <w:rFonts w:hint="default"/>
                                <w:color w:val="FFFF00"/>
                                <w:lang w:val="en-US" w:eastAsia="zh-CN"/>
                              </w:rPr>
                            </w:pPr>
                            <w:r>
                              <w:rPr>
                                <w:rFonts w:hint="eastAsia"/>
                                <w:color w:val="FFFF00"/>
                                <w:lang w:val="en-US" w:eastAsia="zh-CN"/>
                              </w:rPr>
                              <w:t>3F</w:t>
                            </w:r>
                          </w:p>
                        </w:txbxContent>
                      </v:textbox>
                    </v:shape>
                  </w:pict>
                </mc:Fallback>
              </mc:AlternateContent>
            </w:r>
            <w:r>
              <w:rPr>
                <w:rFonts w:hint="default"/>
                <w:color w:val="auto"/>
                <w:sz w:val="24"/>
              </w:rPr>
              <mc:AlternateContent>
                <mc:Choice Requires="wps">
                  <w:drawing>
                    <wp:anchor distT="0" distB="0" distL="114300" distR="114300" simplePos="0" relativeHeight="251675648" behindDoc="0" locked="0" layoutInCell="1" allowOverlap="1">
                      <wp:simplePos x="0" y="0"/>
                      <wp:positionH relativeFrom="column">
                        <wp:posOffset>897255</wp:posOffset>
                      </wp:positionH>
                      <wp:positionV relativeFrom="paragraph">
                        <wp:posOffset>313055</wp:posOffset>
                      </wp:positionV>
                      <wp:extent cx="940435" cy="1190625"/>
                      <wp:effectExtent l="12700" t="2540" r="18415" b="26035"/>
                      <wp:wrapNone/>
                      <wp:docPr id="16" name="任意多边形 16"/>
                      <wp:cNvGraphicFramePr/>
                      <a:graphic xmlns:a="http://schemas.openxmlformats.org/drawingml/2006/main">
                        <a:graphicData uri="http://schemas.microsoft.com/office/word/2010/wordprocessingShape">
                          <wps:wsp>
                            <wps:cNvSpPr/>
                            <wps:spPr>
                              <a:xfrm>
                                <a:off x="1869440" y="6113145"/>
                                <a:ext cx="940435" cy="1190625"/>
                              </a:xfrm>
                              <a:custGeom>
                                <a:avLst/>
                                <a:gdLst>
                                  <a:gd name="connisteX0" fmla="*/ 213995 w 940435"/>
                                  <a:gd name="connsiteY0" fmla="*/ 12065 h 1190625"/>
                                  <a:gd name="connisteX1" fmla="*/ 762000 w 940435"/>
                                  <a:gd name="connsiteY1" fmla="*/ 12065 h 1190625"/>
                                  <a:gd name="connisteX2" fmla="*/ 940435 w 940435"/>
                                  <a:gd name="connsiteY2" fmla="*/ 1190625 h 1190625"/>
                                  <a:gd name="connisteX3" fmla="*/ 0 w 940435"/>
                                  <a:gd name="connsiteY3" fmla="*/ 1190625 h 1190625"/>
                                  <a:gd name="connisteX4" fmla="*/ 250190 w 940435"/>
                                  <a:gd name="connsiteY4" fmla="*/ 0 h 11906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940435" h="1190625">
                                    <a:moveTo>
                                      <a:pt x="213995" y="12065"/>
                                    </a:moveTo>
                                    <a:lnTo>
                                      <a:pt x="762000" y="12065"/>
                                    </a:lnTo>
                                    <a:lnTo>
                                      <a:pt x="940435" y="1190625"/>
                                    </a:lnTo>
                                    <a:lnTo>
                                      <a:pt x="0" y="1190625"/>
                                    </a:lnTo>
                                    <a:lnTo>
                                      <a:pt x="250190" y="0"/>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0.65pt;margin-top:24.65pt;height:93.75pt;width:74.05pt;z-index:251675648;mso-width-relative:page;mso-height-relative:page;" filled="f" stroked="t" coordsize="940435,1190625" o:gfxdata="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KvZJMPZAAAACgEAAA8AAAAAAAAAAQAgAAAAIgAAAGRycy9kb3ducmV2LnhtbFBLAQIUABQAAAAI&#10;AIdO4kCr7wTyCQMAAD4IAAAOAAAAAAAAAAEAIAAAACgBAABkcnMvZTJvRG9jLnhtbFBLBQYAAAAA&#10;BgAGAFkBAACjBgAAAAA=&#10;" path="m213995,12065l762000,12065,940435,1190625,0,1190625,250190,0e">
                      <v:path o:connectlocs="213995,12065;762000,12065;940435,1190625;0,1190625;250190,0" o:connectangles="0,0,0,0,0"/>
                      <v:fill on="f"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63360" behindDoc="0" locked="0" layoutInCell="1" allowOverlap="1">
                      <wp:simplePos x="0" y="0"/>
                      <wp:positionH relativeFrom="column">
                        <wp:posOffset>946150</wp:posOffset>
                      </wp:positionH>
                      <wp:positionV relativeFrom="paragraph">
                        <wp:posOffset>979170</wp:posOffset>
                      </wp:positionV>
                      <wp:extent cx="438150" cy="381000"/>
                      <wp:effectExtent l="0" t="0" r="0" b="0"/>
                      <wp:wrapNone/>
                      <wp:docPr id="64" name="文本框 64"/>
                      <wp:cNvGraphicFramePr/>
                      <a:graphic xmlns:a="http://schemas.openxmlformats.org/drawingml/2006/main">
                        <a:graphicData uri="http://schemas.microsoft.com/office/word/2010/wordprocessingShape">
                          <wps:wsp>
                            <wps:cNvSpPr txBox="1"/>
                            <wps:spPr>
                              <a:xfrm>
                                <a:off x="2023110" y="6407785"/>
                                <a:ext cx="43815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B0F74">
                                  <w:pPr>
                                    <w:rPr>
                                      <w:rFonts w:hint="default" w:eastAsia="宋体"/>
                                      <w:color w:val="FFFF00"/>
                                      <w:sz w:val="21"/>
                                      <w:szCs w:val="24"/>
                                      <w:lang w:val="en-US" w:eastAsia="zh-CN"/>
                                    </w:rPr>
                                  </w:pPr>
                                  <w:r>
                                    <w:rPr>
                                      <w:rFonts w:hint="eastAsia"/>
                                      <w:color w:val="FFFF00"/>
                                      <w:sz w:val="21"/>
                                      <w:szCs w:val="24"/>
                                      <w:lang w:val="en-US" w:eastAsia="zh-CN"/>
                                    </w:rPr>
                                    <w:t>3G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5pt;margin-top:77.1pt;height:30pt;width:34.5pt;z-index:251663360;mso-width-relative:page;mso-height-relative:page;" filled="f" stroked="f" coordsize="21600,21600" o:gfxdata="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mAk8HYAAAACwEAAA8AAAAAAAAAAQAgAAAA&#10;IgAAAGRycy9kb3ducmV2LnhtbFBLAQIUABQAAAAIAIdO4kCPXsM1RAIAAHMEAAAOAAAAAAAAAAEA&#10;IAAAACcBAABkcnMvZTJvRG9jLnhtbFBLBQYAAAAABgAGAFkBAADdBQAAAAA=&#10;">
                      <v:fill on="f" focussize="0,0"/>
                      <v:stroke on="f" weight="0.5pt"/>
                      <v:imagedata o:title=""/>
                      <o:lock v:ext="edit" aspectratio="f"/>
                      <v:textbox>
                        <w:txbxContent>
                          <w:p w14:paraId="23EB0F74">
                            <w:pPr>
                              <w:rPr>
                                <w:rFonts w:hint="default" w:eastAsia="宋体"/>
                                <w:color w:val="FFFF00"/>
                                <w:sz w:val="21"/>
                                <w:szCs w:val="24"/>
                                <w:lang w:val="en-US" w:eastAsia="zh-CN"/>
                              </w:rPr>
                            </w:pPr>
                            <w:r>
                              <w:rPr>
                                <w:rFonts w:hint="eastAsia"/>
                                <w:color w:val="FFFF00"/>
                                <w:sz w:val="21"/>
                                <w:szCs w:val="24"/>
                                <w:lang w:val="en-US" w:eastAsia="zh-CN"/>
                              </w:rPr>
                              <w:t>3G</w:t>
                            </w:r>
                          </w:p>
                        </w:txbxContent>
                      </v:textbox>
                    </v:shape>
                  </w:pict>
                </mc:Fallback>
              </mc:AlternateContent>
            </w:r>
            <w:r>
              <w:rPr>
                <w:rFonts w:hint="default" w:ascii="Times New Roman" w:hAnsi="Times New Roman" w:eastAsia="宋体" w:cs="Times New Roman"/>
                <w:color w:val="auto"/>
                <w:sz w:val="24"/>
                <w:u w:val="none" w:color="auto"/>
                <w:lang w:val="en-US" w:eastAsia="zh-CN"/>
              </w:rPr>
              <w:drawing>
                <wp:inline distT="0" distB="0" distL="114300" distR="114300">
                  <wp:extent cx="2715895" cy="1527810"/>
                  <wp:effectExtent l="0" t="0" r="8255" b="15240"/>
                  <wp:docPr id="15" name="图片 15" descr="a4e2a2b61fba5207871f72cdabf6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4e2a2b61fba5207871f72cdabf6c46"/>
                          <pic:cNvPicPr>
                            <a:picLocks noChangeAspect="1"/>
                          </pic:cNvPicPr>
                        </pic:nvPicPr>
                        <pic:blipFill>
                          <a:blip r:embed="rId13"/>
                          <a:stretch>
                            <a:fillRect/>
                          </a:stretch>
                        </pic:blipFill>
                        <pic:spPr>
                          <a:xfrm>
                            <a:off x="0" y="0"/>
                            <a:ext cx="2715895" cy="1527810"/>
                          </a:xfrm>
                          <a:prstGeom prst="rect">
                            <a:avLst/>
                          </a:prstGeom>
                        </pic:spPr>
                      </pic:pic>
                    </a:graphicData>
                  </a:graphic>
                </wp:inline>
              </w:drawing>
            </w:r>
          </w:p>
        </w:tc>
        <w:tc>
          <w:tcPr>
            <w:tcW w:w="4518" w:type="dxa"/>
            <w:noWrap w:val="0"/>
            <w:vAlign w:val="center"/>
          </w:tcPr>
          <w:p w14:paraId="709DE811">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4"/>
                <w:szCs w:val="24"/>
                <w:highlight w:val="none"/>
                <w:u w:val="none" w:color="auto"/>
                <w:lang w:val="en-US" w:eastAsia="zh-CN"/>
              </w:rPr>
            </w:pPr>
            <w:r>
              <w:rPr>
                <w:rFonts w:hint="default"/>
                <w:color w:val="auto"/>
                <w:sz w:val="24"/>
              </w:rPr>
              <mc:AlternateContent>
                <mc:Choice Requires="wps">
                  <w:drawing>
                    <wp:anchor distT="0" distB="0" distL="114300" distR="114300" simplePos="0" relativeHeight="251676672" behindDoc="0" locked="0" layoutInCell="1" allowOverlap="1">
                      <wp:simplePos x="0" y="0"/>
                      <wp:positionH relativeFrom="column">
                        <wp:posOffset>1049655</wp:posOffset>
                      </wp:positionH>
                      <wp:positionV relativeFrom="paragraph">
                        <wp:posOffset>408305</wp:posOffset>
                      </wp:positionV>
                      <wp:extent cx="857250" cy="1179195"/>
                      <wp:effectExtent l="12700" t="12700" r="25400" b="27305"/>
                      <wp:wrapNone/>
                      <wp:docPr id="24" name="任意多边形 24"/>
                      <wp:cNvGraphicFramePr/>
                      <a:graphic xmlns:a="http://schemas.openxmlformats.org/drawingml/2006/main">
                        <a:graphicData uri="http://schemas.microsoft.com/office/word/2010/wordprocessingShape">
                          <wps:wsp>
                            <wps:cNvSpPr/>
                            <wps:spPr>
                              <a:xfrm>
                                <a:off x="4881880" y="5720080"/>
                                <a:ext cx="857250" cy="1179195"/>
                              </a:xfrm>
                              <a:custGeom>
                                <a:avLst/>
                                <a:gdLst>
                                  <a:gd name="connisteX0" fmla="*/ 142875 w 857250"/>
                                  <a:gd name="connsiteY0" fmla="*/ 36195 h 1179195"/>
                                  <a:gd name="connisteX1" fmla="*/ 499745 w 857250"/>
                                  <a:gd name="connsiteY1" fmla="*/ 0 h 1179195"/>
                                  <a:gd name="connisteX2" fmla="*/ 857250 w 857250"/>
                                  <a:gd name="connsiteY2" fmla="*/ 1167130 h 1179195"/>
                                  <a:gd name="connisteX3" fmla="*/ 0 w 857250"/>
                                  <a:gd name="connsiteY3" fmla="*/ 1179195 h 1179195"/>
                                  <a:gd name="connisteX4" fmla="*/ 142875 w 857250"/>
                                  <a:gd name="connsiteY4" fmla="*/ 36195 h 11791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857250" h="1179195">
                                    <a:moveTo>
                                      <a:pt x="142875" y="36195"/>
                                    </a:moveTo>
                                    <a:lnTo>
                                      <a:pt x="499745" y="0"/>
                                    </a:lnTo>
                                    <a:lnTo>
                                      <a:pt x="857250" y="1167130"/>
                                    </a:lnTo>
                                    <a:lnTo>
                                      <a:pt x="0" y="1179195"/>
                                    </a:lnTo>
                                    <a:lnTo>
                                      <a:pt x="142875" y="3619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2.65pt;margin-top:32.15pt;height:92.85pt;width:67.5pt;z-index:251676672;mso-width-relative:page;mso-height-relative:page;" filled="f" stroked="t" coordsize="857250,1179195" o:gfxdata="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DdSTQDbAAAACgEAAA8AAAAAAAAAAQAgAAAAIgAAAGRycy9kb3ducmV2LnhtbFBL&#10;AQIUABQAAAAIAIdO4kBkqak0EAMAAEgIAAAOAAAAAAAAAAEAIAAAACoBAABkcnMvZTJvRG9jLnht&#10;bFBLBQYAAAAABgAGAFkBAACsBgAAAAA=&#10;" path="m142875,36195l499745,0,857250,1167130,0,1179195,142875,36195xe">
                      <v:path o:connectlocs="142875,36195;499745,0;857250,1167130;0,1179195;142875,36195" o:connectangles="0,0,0,0,0"/>
                      <v:fill on="f"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sz w:val="24"/>
                <w:u w:val="none" w:color="auto"/>
                <w:lang w:val="en-US" w:eastAsia="zh-CN"/>
              </w:rPr>
              <w:drawing>
                <wp:inline distT="0" distB="0" distL="114300" distR="114300">
                  <wp:extent cx="2715895" cy="1753235"/>
                  <wp:effectExtent l="0" t="0" r="8255" b="18415"/>
                  <wp:docPr id="17" name="图片 17" descr="c8c9d78425b06388a6a0073379db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8c9d78425b06388a6a0073379db9a5"/>
                          <pic:cNvPicPr>
                            <a:picLocks noChangeAspect="1"/>
                          </pic:cNvPicPr>
                        </pic:nvPicPr>
                        <pic:blipFill>
                          <a:blip r:embed="rId14"/>
                          <a:stretch>
                            <a:fillRect/>
                          </a:stretch>
                        </pic:blipFill>
                        <pic:spPr>
                          <a:xfrm>
                            <a:off x="0" y="0"/>
                            <a:ext cx="2715895" cy="1753235"/>
                          </a:xfrm>
                          <a:prstGeom prst="rect">
                            <a:avLst/>
                          </a:prstGeom>
                        </pic:spPr>
                      </pic:pic>
                    </a:graphicData>
                  </a:graphic>
                </wp:inline>
              </w:drawing>
            </w: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67456" behindDoc="0" locked="0" layoutInCell="1" allowOverlap="1">
                      <wp:simplePos x="0" y="0"/>
                      <wp:positionH relativeFrom="column">
                        <wp:posOffset>1372235</wp:posOffset>
                      </wp:positionH>
                      <wp:positionV relativeFrom="paragraph">
                        <wp:posOffset>805180</wp:posOffset>
                      </wp:positionV>
                      <wp:extent cx="438150" cy="3810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43815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2D8C3">
                                  <w:pPr>
                                    <w:rPr>
                                      <w:rFonts w:hint="eastAsia"/>
                                      <w:color w:val="FFFF00"/>
                                      <w:sz w:val="21"/>
                                      <w:szCs w:val="24"/>
                                      <w:lang w:val="en-US" w:eastAsia="zh-CN"/>
                                    </w:rPr>
                                  </w:pPr>
                                  <w:r>
                                    <w:rPr>
                                      <w:rFonts w:hint="eastAsia"/>
                                      <w:color w:val="FFFF00"/>
                                      <w:sz w:val="21"/>
                                      <w:szCs w:val="24"/>
                                      <w:lang w:val="en-US" w:eastAsia="zh-CN"/>
                                    </w:rPr>
                                    <w:t>4F</w:t>
                                  </w:r>
                                </w:p>
                                <w:p w14:paraId="1F301270">
                                  <w:pPr>
                                    <w:pStyle w:val="22"/>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05pt;margin-top:63.4pt;height:30pt;width:34.5pt;z-index:251667456;mso-width-relative:page;mso-height-relative:page;" filled="f" stroked="f" coordsize="21600,21600" o:gfxdata="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yqFWNkAAAALAQAADwAAAAAAAAABACAAAAAiAAAAZHJzL2Rv&#10;d25yZXYueG1sUEsBAhQAFAAAAAgAh07iQKOVo/Q5AgAAZwQAAA4AAAAAAAAAAQAgAAAAKAEAAGRy&#10;cy9lMm9Eb2MueG1sUEsFBgAAAAAGAAYAWQEAANMFAAAAAA==&#10;">
                      <v:fill on="f" focussize="0,0"/>
                      <v:stroke on="f" weight="0.5pt"/>
                      <v:imagedata o:title=""/>
                      <o:lock v:ext="edit" aspectratio="f"/>
                      <v:textbox>
                        <w:txbxContent>
                          <w:p w14:paraId="4632D8C3">
                            <w:pPr>
                              <w:rPr>
                                <w:rFonts w:hint="eastAsia"/>
                                <w:color w:val="FFFF00"/>
                                <w:sz w:val="21"/>
                                <w:szCs w:val="24"/>
                                <w:lang w:val="en-US" w:eastAsia="zh-CN"/>
                              </w:rPr>
                            </w:pPr>
                            <w:r>
                              <w:rPr>
                                <w:rFonts w:hint="eastAsia"/>
                                <w:color w:val="FFFF00"/>
                                <w:sz w:val="21"/>
                                <w:szCs w:val="24"/>
                                <w:lang w:val="en-US" w:eastAsia="zh-CN"/>
                              </w:rPr>
                              <w:t>4F</w:t>
                            </w:r>
                          </w:p>
                          <w:p w14:paraId="1F301270">
                            <w:pPr>
                              <w:pStyle w:val="22"/>
                              <w:rPr>
                                <w:rFonts w:hint="default"/>
                                <w:lang w:val="en-US" w:eastAsia="zh-CN"/>
                              </w:rPr>
                            </w:pPr>
                          </w:p>
                        </w:txbxContent>
                      </v:textbox>
                    </v:shape>
                  </w:pict>
                </mc:Fallback>
              </mc:AlternateContent>
            </w:r>
            <w:r>
              <w:rPr>
                <w:rFonts w:hint="default"/>
                <w:color w:val="auto"/>
                <w:sz w:val="24"/>
              </w:rPr>
              <mc:AlternateContent>
                <mc:Choice Requires="wps">
                  <w:drawing>
                    <wp:anchor distT="0" distB="0" distL="114300" distR="114300" simplePos="0" relativeHeight="251677696" behindDoc="0" locked="0" layoutInCell="1" allowOverlap="1">
                      <wp:simplePos x="0" y="0"/>
                      <wp:positionH relativeFrom="column">
                        <wp:posOffset>1144270</wp:posOffset>
                      </wp:positionH>
                      <wp:positionV relativeFrom="paragraph">
                        <wp:posOffset>39370</wp:posOffset>
                      </wp:positionV>
                      <wp:extent cx="333375" cy="321310"/>
                      <wp:effectExtent l="12700" t="12700" r="15875" b="27940"/>
                      <wp:wrapNone/>
                      <wp:docPr id="25" name="任意多边形 25"/>
                      <wp:cNvGraphicFramePr/>
                      <a:graphic xmlns:a="http://schemas.openxmlformats.org/drawingml/2006/main">
                        <a:graphicData uri="http://schemas.microsoft.com/office/word/2010/wordprocessingShape">
                          <wps:wsp>
                            <wps:cNvSpPr/>
                            <wps:spPr>
                              <a:xfrm>
                                <a:off x="5000625" y="5363210"/>
                                <a:ext cx="333375" cy="321310"/>
                              </a:xfrm>
                              <a:custGeom>
                                <a:avLst/>
                                <a:gdLst>
                                  <a:gd name="connisteX0" fmla="*/ 0 w 333375"/>
                                  <a:gd name="connsiteY0" fmla="*/ 0 h 321310"/>
                                  <a:gd name="connisteX1" fmla="*/ 333375 w 333375"/>
                                  <a:gd name="connsiteY1" fmla="*/ 12065 h 321310"/>
                                  <a:gd name="connisteX2" fmla="*/ 333375 w 333375"/>
                                  <a:gd name="connsiteY2" fmla="*/ 321310 h 321310"/>
                                  <a:gd name="connisteX3" fmla="*/ 12065 w 333375"/>
                                  <a:gd name="connsiteY3" fmla="*/ 309245 h 321310"/>
                                  <a:gd name="connisteX4" fmla="*/ 0 w 333375"/>
                                  <a:gd name="connsiteY4" fmla="*/ 0 h 3213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33375" h="321310">
                                    <a:moveTo>
                                      <a:pt x="0" y="0"/>
                                    </a:moveTo>
                                    <a:lnTo>
                                      <a:pt x="333375" y="12065"/>
                                    </a:lnTo>
                                    <a:lnTo>
                                      <a:pt x="333375" y="321310"/>
                                    </a:lnTo>
                                    <a:lnTo>
                                      <a:pt x="12065" y="309245"/>
                                    </a:lnTo>
                                    <a:lnTo>
                                      <a:pt x="0"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0.1pt;margin-top:3.1pt;height:25.3pt;width:26.25pt;z-index:251677696;mso-width-relative:page;mso-height-relative:page;" filled="f" stroked="t" coordsize="333375,321310" o:gfxdata="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bM+HD2QAAAAgBAAAP&#10;AAAAAAAAAAEAIAAAACIAAABkcnMvZG93bnJldi54bWxQSwECFAAUAAAACACHTuJAemOcePsCAAAp&#10;CAAADgAAAAAAAAABACAAAAAoAQAAZHJzL2Uyb0RvYy54bWxQSwUGAAAAAAYABgBZAQAAlQYAAAAA&#10;" path="m0,0l333375,12065,333375,321310,12065,309245,0,0xe">
                      <v:path o:connectlocs="0,0;333375,12065;333375,321310;12065,309245;0,0" o:connectangles="0,0,0,0,0"/>
                      <v:fill on="f" focussize="0,0"/>
                      <v:stroke weight="2pt" color="#FF0000 [2404]" joinstyle="round"/>
                      <v:imagedata o:title=""/>
                      <o:lock v:ext="edit" aspectratio="f"/>
                    </v:shape>
                  </w:pict>
                </mc:Fallback>
              </mc:AlternateContent>
            </w: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69504" behindDoc="0" locked="0" layoutInCell="1" allowOverlap="1">
                      <wp:simplePos x="0" y="0"/>
                      <wp:positionH relativeFrom="column">
                        <wp:posOffset>1214120</wp:posOffset>
                      </wp:positionH>
                      <wp:positionV relativeFrom="paragraph">
                        <wp:posOffset>67310</wp:posOffset>
                      </wp:positionV>
                      <wp:extent cx="438150" cy="3810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3815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65B76">
                                  <w:pPr>
                                    <w:rPr>
                                      <w:rFonts w:hint="default" w:eastAsia="宋体"/>
                                      <w:color w:val="FFFF00"/>
                                      <w:sz w:val="21"/>
                                      <w:szCs w:val="24"/>
                                      <w:lang w:val="en-US" w:eastAsia="zh-CN"/>
                                    </w:rPr>
                                  </w:pPr>
                                  <w:r>
                                    <w:rPr>
                                      <w:rFonts w:hint="eastAsia"/>
                                      <w:color w:val="FFFF00"/>
                                      <w:sz w:val="21"/>
                                      <w:szCs w:val="24"/>
                                      <w:lang w:val="en-US" w:eastAsia="zh-CN"/>
                                    </w:rPr>
                                    <w:t>5F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6pt;margin-top:5.3pt;height:30pt;width:34.5pt;z-index:251669504;mso-width-relative:page;mso-height-relative:page;" filled="f" stroked="f" coordsize="21600,21600" o:gfxdata="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P191dgAAAAJAQAADwAAAAAAAAABACAAAAAiAAAAZHJzL2Rv&#10;d25yZXYueG1sUEsBAhQAFAAAAAgAh07iQBMbjwk6AgAAZwQAAA4AAAAAAAAAAQAgAAAAJwEAAGRy&#10;cy9lMm9Eb2MueG1sUEsFBgAAAAAGAAYAWQEAANMFAAAAAA==&#10;">
                      <v:fill on="f" focussize="0,0"/>
                      <v:stroke on="f" weight="0.5pt"/>
                      <v:imagedata o:title=""/>
                      <o:lock v:ext="edit" aspectratio="f"/>
                      <v:textbox>
                        <w:txbxContent>
                          <w:p w14:paraId="31965B76">
                            <w:pPr>
                              <w:rPr>
                                <w:rFonts w:hint="default" w:eastAsia="宋体"/>
                                <w:color w:val="FFFF00"/>
                                <w:sz w:val="21"/>
                                <w:szCs w:val="24"/>
                                <w:lang w:val="en-US" w:eastAsia="zh-CN"/>
                              </w:rPr>
                            </w:pPr>
                            <w:r>
                              <w:rPr>
                                <w:rFonts w:hint="eastAsia"/>
                                <w:color w:val="FFFF00"/>
                                <w:sz w:val="21"/>
                                <w:szCs w:val="24"/>
                                <w:lang w:val="en-US" w:eastAsia="zh-CN"/>
                              </w:rPr>
                              <w:t>5F</w:t>
                            </w:r>
                          </w:p>
                        </w:txbxContent>
                      </v:textbox>
                    </v:shape>
                  </w:pict>
                </mc:Fallback>
              </mc:AlternateContent>
            </w: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66432" behindDoc="0" locked="0" layoutInCell="1" allowOverlap="1">
                      <wp:simplePos x="0" y="0"/>
                      <wp:positionH relativeFrom="column">
                        <wp:posOffset>1079500</wp:posOffset>
                      </wp:positionH>
                      <wp:positionV relativeFrom="paragraph">
                        <wp:posOffset>840740</wp:posOffset>
                      </wp:positionV>
                      <wp:extent cx="438150" cy="3810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43815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AB533">
                                  <w:pPr>
                                    <w:rPr>
                                      <w:rFonts w:hint="default" w:eastAsia="宋体"/>
                                      <w:color w:val="FFFF00"/>
                                      <w:sz w:val="21"/>
                                      <w:szCs w:val="24"/>
                                      <w:lang w:val="en-US" w:eastAsia="zh-CN"/>
                                    </w:rPr>
                                  </w:pPr>
                                  <w:r>
                                    <w:rPr>
                                      <w:rFonts w:hint="eastAsia"/>
                                      <w:color w:val="FFFF00"/>
                                      <w:sz w:val="21"/>
                                      <w:szCs w:val="24"/>
                                      <w:lang w:val="en-US" w:eastAsia="zh-CN"/>
                                    </w:rPr>
                                    <w:t>4G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pt;margin-top:66.2pt;height:30pt;width:34.5pt;z-index:251666432;mso-width-relative:page;mso-height-relative:page;" filled="f" stroked="f" coordsize="21600,21600" o:gfxdata="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hfRe2AAAAAsBAAAPAAAAAAAAAAEAIAAAACIAAABkcnMvZG93&#10;bnJldi54bWxQSwECFAAUAAAACACHTuJAuHLpvDkCAABnBAAADgAAAAAAAAABACAAAAAnAQAAZHJz&#10;L2Uyb0RvYy54bWxQSwUGAAAAAAYABgBZAQAA0gUAAAAA&#10;">
                      <v:fill on="f" focussize="0,0"/>
                      <v:stroke on="f" weight="0.5pt"/>
                      <v:imagedata o:title=""/>
                      <o:lock v:ext="edit" aspectratio="f"/>
                      <v:textbox>
                        <w:txbxContent>
                          <w:p w14:paraId="497AB533">
                            <w:pPr>
                              <w:rPr>
                                <w:rFonts w:hint="default" w:eastAsia="宋体"/>
                                <w:color w:val="FFFF00"/>
                                <w:sz w:val="21"/>
                                <w:szCs w:val="24"/>
                                <w:lang w:val="en-US" w:eastAsia="zh-CN"/>
                              </w:rPr>
                            </w:pPr>
                            <w:r>
                              <w:rPr>
                                <w:rFonts w:hint="eastAsia"/>
                                <w:color w:val="FFFF00"/>
                                <w:sz w:val="21"/>
                                <w:szCs w:val="24"/>
                                <w:lang w:val="en-US" w:eastAsia="zh-CN"/>
                              </w:rPr>
                              <w:t>4G</w:t>
                            </w:r>
                          </w:p>
                        </w:txbxContent>
                      </v:textbox>
                    </v:shape>
                  </w:pict>
                </mc:Fallback>
              </mc:AlternateContent>
            </w:r>
          </w:p>
        </w:tc>
      </w:tr>
      <w:tr w14:paraId="2EF0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542" w:type="dxa"/>
            <w:noWrap w:val="0"/>
            <w:vAlign w:val="center"/>
          </w:tcPr>
          <w:p w14:paraId="0F426FA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项目</w:t>
            </w:r>
            <w:r>
              <w:rPr>
                <w:rFonts w:hint="default" w:ascii="Times New Roman" w:hAnsi="Times New Roman" w:eastAsia="宋体" w:cs="Times New Roman"/>
                <w:b/>
                <w:bCs/>
                <w:color w:val="auto"/>
                <w:sz w:val="24"/>
                <w:szCs w:val="24"/>
                <w:highlight w:val="none"/>
                <w:u w:val="none" w:color="auto"/>
                <w:lang w:val="en-US" w:eastAsia="zh-CN"/>
              </w:rPr>
              <w:t>场地现状</w:t>
            </w:r>
            <w:r>
              <w:rPr>
                <w:rFonts w:hint="eastAsia" w:ascii="Times New Roman" w:hAnsi="Times New Roman" w:eastAsia="宋体" w:cs="Times New Roman"/>
                <w:b/>
                <w:bCs/>
                <w:color w:val="auto"/>
                <w:sz w:val="24"/>
                <w:szCs w:val="24"/>
                <w:highlight w:val="none"/>
                <w:u w:val="none" w:color="auto"/>
                <w:lang w:val="en-US" w:eastAsia="zh-CN"/>
              </w:rPr>
              <w:t>1</w:t>
            </w:r>
          </w:p>
        </w:tc>
        <w:tc>
          <w:tcPr>
            <w:tcW w:w="4518" w:type="dxa"/>
            <w:noWrap w:val="0"/>
            <w:vAlign w:val="center"/>
          </w:tcPr>
          <w:p w14:paraId="1E514B7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项目</w:t>
            </w:r>
            <w:r>
              <w:rPr>
                <w:rFonts w:hint="default" w:ascii="Times New Roman" w:hAnsi="Times New Roman" w:eastAsia="宋体" w:cs="Times New Roman"/>
                <w:b/>
                <w:bCs/>
                <w:color w:val="auto"/>
                <w:sz w:val="24"/>
                <w:szCs w:val="24"/>
                <w:highlight w:val="none"/>
                <w:u w:val="none" w:color="auto"/>
                <w:lang w:val="en-US" w:eastAsia="zh-CN"/>
              </w:rPr>
              <w:t>场地现状</w:t>
            </w:r>
            <w:r>
              <w:rPr>
                <w:rFonts w:hint="eastAsia" w:ascii="Times New Roman" w:hAnsi="Times New Roman" w:eastAsia="宋体" w:cs="Times New Roman"/>
                <w:b/>
                <w:bCs/>
                <w:color w:val="auto"/>
                <w:sz w:val="24"/>
                <w:szCs w:val="24"/>
                <w:highlight w:val="none"/>
                <w:u w:val="none" w:color="auto"/>
                <w:lang w:val="en-US" w:eastAsia="zh-CN"/>
              </w:rPr>
              <w:t>2</w:t>
            </w:r>
          </w:p>
        </w:tc>
      </w:tr>
    </w:tbl>
    <w:p w14:paraId="211B36C7">
      <w:pPr>
        <w:jc w:val="center"/>
        <w:rPr>
          <w:rFonts w:hint="default" w:ascii="Times New Roman" w:hAnsi="Times New Roman" w:eastAsia="宋体" w:cs="Times New Roman"/>
          <w:b/>
          <w:bCs/>
          <w:color w:val="auto"/>
          <w:sz w:val="32"/>
          <w:szCs w:val="32"/>
          <w:highlight w:val="none"/>
          <w:u w:val="none" w:color="auto"/>
          <w:lang w:eastAsia="zh-CN"/>
        </w:rPr>
      </w:pPr>
      <w:r>
        <w:rPr>
          <w:rFonts w:hint="default" w:ascii="Times New Roman" w:hAnsi="Times New Roman" w:eastAsia="宋体" w:cs="Times New Roman"/>
          <w:b/>
          <w:bCs/>
          <w:color w:val="auto"/>
          <w:sz w:val="32"/>
          <w:szCs w:val="32"/>
          <w:highlight w:val="none"/>
          <w:u w:val="none" w:color="auto"/>
          <w:lang w:eastAsia="zh-CN"/>
        </w:rPr>
        <w:br w:type="page"/>
      </w:r>
    </w:p>
    <w:p w14:paraId="05E347F5">
      <w:pPr>
        <w:jc w:val="center"/>
        <w:rPr>
          <w:rFonts w:hint="default" w:ascii="Times New Roman" w:hAnsi="Times New Roman" w:eastAsia="宋体" w:cs="Times New Roman"/>
          <w:b/>
          <w:bCs/>
          <w:color w:val="auto"/>
          <w:sz w:val="32"/>
          <w:szCs w:val="32"/>
          <w:highlight w:val="none"/>
          <w:u w:val="none" w:color="auto"/>
          <w:lang w:eastAsia="zh-CN"/>
        </w:rPr>
      </w:pPr>
      <w:r>
        <w:rPr>
          <w:rFonts w:hint="default" w:ascii="Times New Roman" w:hAnsi="Times New Roman" w:eastAsia="宋体" w:cs="Times New Roman"/>
          <w:b/>
          <w:bCs/>
          <w:color w:val="auto"/>
          <w:sz w:val="32"/>
          <w:szCs w:val="32"/>
          <w:highlight w:val="none"/>
          <w:u w:val="none" w:color="auto"/>
          <w:lang w:eastAsia="zh-CN"/>
        </w:rPr>
        <w:t>目录</w:t>
      </w:r>
    </w:p>
    <w:p w14:paraId="0684ACEC">
      <w:pPr>
        <w:pStyle w:val="30"/>
        <w:tabs>
          <w:tab w:val="right" w:leader="dot" w:pos="8844"/>
          <w:tab w:val="clear" w:pos="8834"/>
        </w:tabs>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TOC \o "1-1" \h \u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HYPERLINK \l _Toc19646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snapToGrid w:val="0"/>
          <w:color w:val="auto"/>
          <w:sz w:val="24"/>
          <w:szCs w:val="24"/>
          <w:highlight w:val="none"/>
          <w:u w:val="none" w:color="auto"/>
        </w:rPr>
        <w:t>一、建设项目基本情况</w:t>
      </w:r>
      <w:r>
        <w:rPr>
          <w:rFonts w:hint="default" w:ascii="Times New Roman" w:hAnsi="Times New Roman" w:eastAsia="宋体" w:cs="Times New Roman"/>
          <w:b/>
          <w:bCs/>
          <w:color w:val="auto"/>
          <w:sz w:val="24"/>
          <w:szCs w:val="24"/>
          <w:highlight w:val="none"/>
          <w:u w:val="none" w:color="auto"/>
        </w:rPr>
        <w:tab/>
      </w: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PAGEREF _Toc19646 \h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color w:val="auto"/>
          <w:sz w:val="24"/>
          <w:szCs w:val="24"/>
          <w:highlight w:val="none"/>
          <w:u w:val="none" w:color="auto"/>
        </w:rPr>
        <w:t>4</w:t>
      </w:r>
      <w:r>
        <w:rPr>
          <w:rFonts w:hint="default" w:ascii="Times New Roman" w:hAnsi="Times New Roman" w:eastAsia="宋体" w:cs="Times New Roman"/>
          <w:b/>
          <w:bCs/>
          <w:color w:val="auto"/>
          <w:sz w:val="24"/>
          <w:szCs w:val="24"/>
          <w:highlight w:val="none"/>
          <w:u w:val="none" w:color="auto"/>
        </w:rPr>
        <w:fldChar w:fldCharType="end"/>
      </w:r>
      <w:r>
        <w:rPr>
          <w:rFonts w:hint="default" w:ascii="Times New Roman" w:hAnsi="Times New Roman" w:eastAsia="宋体" w:cs="Times New Roman"/>
          <w:b/>
          <w:bCs/>
          <w:color w:val="auto"/>
          <w:sz w:val="24"/>
          <w:szCs w:val="24"/>
          <w:highlight w:val="none"/>
          <w:u w:val="none" w:color="auto"/>
        </w:rPr>
        <w:fldChar w:fldCharType="end"/>
      </w:r>
    </w:p>
    <w:p w14:paraId="20DD6381">
      <w:pPr>
        <w:pStyle w:val="30"/>
        <w:tabs>
          <w:tab w:val="right" w:leader="dot" w:pos="8844"/>
          <w:tab w:val="clear" w:pos="8834"/>
        </w:tabs>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HYPERLINK \l _Toc17287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snapToGrid w:val="0"/>
          <w:color w:val="auto"/>
          <w:sz w:val="24"/>
          <w:szCs w:val="24"/>
          <w:highlight w:val="none"/>
          <w:u w:val="none" w:color="auto"/>
        </w:rPr>
        <w:t>二、建设项目工程分析</w:t>
      </w:r>
      <w:r>
        <w:rPr>
          <w:rFonts w:hint="default" w:ascii="Times New Roman" w:hAnsi="Times New Roman" w:eastAsia="宋体" w:cs="Times New Roman"/>
          <w:b/>
          <w:bCs/>
          <w:color w:val="auto"/>
          <w:sz w:val="24"/>
          <w:szCs w:val="24"/>
          <w:highlight w:val="none"/>
          <w:u w:val="none" w:color="auto"/>
        </w:rPr>
        <w:tab/>
      </w: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PAGEREF _Toc17287 \h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color w:val="auto"/>
          <w:sz w:val="24"/>
          <w:szCs w:val="24"/>
          <w:highlight w:val="none"/>
          <w:u w:val="none" w:color="auto"/>
        </w:rPr>
        <w:t>4</w:t>
      </w:r>
      <w:r>
        <w:rPr>
          <w:rFonts w:hint="default" w:ascii="Times New Roman" w:hAnsi="Times New Roman" w:eastAsia="宋体" w:cs="Times New Roman"/>
          <w:b/>
          <w:bCs/>
          <w:color w:val="auto"/>
          <w:sz w:val="24"/>
          <w:szCs w:val="24"/>
          <w:highlight w:val="none"/>
          <w:u w:val="none" w:color="auto"/>
        </w:rPr>
        <w:fldChar w:fldCharType="end"/>
      </w:r>
      <w:r>
        <w:rPr>
          <w:rFonts w:hint="default" w:ascii="Times New Roman" w:hAnsi="Times New Roman" w:eastAsia="宋体" w:cs="Times New Roman"/>
          <w:b/>
          <w:bCs/>
          <w:color w:val="auto"/>
          <w:sz w:val="24"/>
          <w:szCs w:val="24"/>
          <w:highlight w:val="none"/>
          <w:u w:val="none" w:color="auto"/>
        </w:rPr>
        <w:fldChar w:fldCharType="end"/>
      </w:r>
    </w:p>
    <w:p w14:paraId="0A1E751D">
      <w:pPr>
        <w:pStyle w:val="30"/>
        <w:tabs>
          <w:tab w:val="right" w:leader="dot" w:pos="8844"/>
          <w:tab w:val="clear" w:pos="8834"/>
        </w:tabs>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HYPERLINK \l _Toc6865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snapToGrid w:val="0"/>
          <w:color w:val="auto"/>
          <w:sz w:val="24"/>
          <w:szCs w:val="24"/>
          <w:highlight w:val="none"/>
          <w:u w:val="none" w:color="auto"/>
        </w:rPr>
        <w:t>三、区域环境质量现状、环境保护目标及评价标准</w:t>
      </w:r>
      <w:r>
        <w:rPr>
          <w:rFonts w:hint="default" w:ascii="Times New Roman" w:hAnsi="Times New Roman" w:eastAsia="宋体" w:cs="Times New Roman"/>
          <w:b/>
          <w:bCs/>
          <w:color w:val="auto"/>
          <w:sz w:val="24"/>
          <w:szCs w:val="24"/>
          <w:highlight w:val="none"/>
          <w:u w:val="none" w:color="auto"/>
        </w:rPr>
        <w:tab/>
      </w: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PAGEREF _Toc6865 \h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color w:val="auto"/>
          <w:sz w:val="24"/>
          <w:szCs w:val="24"/>
          <w:highlight w:val="none"/>
          <w:u w:val="none" w:color="auto"/>
        </w:rPr>
        <w:t>44</w:t>
      </w:r>
      <w:r>
        <w:rPr>
          <w:rFonts w:hint="default" w:ascii="Times New Roman" w:hAnsi="Times New Roman" w:eastAsia="宋体" w:cs="Times New Roman"/>
          <w:b/>
          <w:bCs/>
          <w:color w:val="auto"/>
          <w:sz w:val="24"/>
          <w:szCs w:val="24"/>
          <w:highlight w:val="none"/>
          <w:u w:val="none" w:color="auto"/>
        </w:rPr>
        <w:fldChar w:fldCharType="end"/>
      </w:r>
      <w:r>
        <w:rPr>
          <w:rFonts w:hint="default" w:ascii="Times New Roman" w:hAnsi="Times New Roman" w:eastAsia="宋体" w:cs="Times New Roman"/>
          <w:b/>
          <w:bCs/>
          <w:color w:val="auto"/>
          <w:sz w:val="24"/>
          <w:szCs w:val="24"/>
          <w:highlight w:val="none"/>
          <w:u w:val="none" w:color="auto"/>
        </w:rPr>
        <w:fldChar w:fldCharType="end"/>
      </w:r>
    </w:p>
    <w:p w14:paraId="01876BBE">
      <w:pPr>
        <w:pStyle w:val="30"/>
        <w:tabs>
          <w:tab w:val="right" w:leader="dot" w:pos="8844"/>
          <w:tab w:val="clear" w:pos="8834"/>
        </w:tabs>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HYPERLINK \l _Toc15801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snapToGrid w:val="0"/>
          <w:color w:val="auto"/>
          <w:sz w:val="24"/>
          <w:szCs w:val="24"/>
          <w:highlight w:val="none"/>
          <w:u w:val="none" w:color="auto"/>
        </w:rPr>
        <w:t>四、主要环境影响和保护措施</w:t>
      </w:r>
      <w:r>
        <w:rPr>
          <w:rFonts w:hint="default" w:ascii="Times New Roman" w:hAnsi="Times New Roman" w:eastAsia="宋体" w:cs="Times New Roman"/>
          <w:b/>
          <w:bCs/>
          <w:color w:val="auto"/>
          <w:sz w:val="24"/>
          <w:szCs w:val="24"/>
          <w:highlight w:val="none"/>
          <w:u w:val="none" w:color="auto"/>
        </w:rPr>
        <w:tab/>
      </w: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PAGEREF _Toc15801 \h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color w:val="auto"/>
          <w:sz w:val="24"/>
          <w:szCs w:val="24"/>
          <w:highlight w:val="none"/>
          <w:u w:val="none" w:color="auto"/>
        </w:rPr>
        <w:t>48</w:t>
      </w:r>
      <w:r>
        <w:rPr>
          <w:rFonts w:hint="default" w:ascii="Times New Roman" w:hAnsi="Times New Roman" w:eastAsia="宋体" w:cs="Times New Roman"/>
          <w:b/>
          <w:bCs/>
          <w:color w:val="auto"/>
          <w:sz w:val="24"/>
          <w:szCs w:val="24"/>
          <w:highlight w:val="none"/>
          <w:u w:val="none" w:color="auto"/>
        </w:rPr>
        <w:fldChar w:fldCharType="end"/>
      </w:r>
      <w:r>
        <w:rPr>
          <w:rFonts w:hint="default" w:ascii="Times New Roman" w:hAnsi="Times New Roman" w:eastAsia="宋体" w:cs="Times New Roman"/>
          <w:b/>
          <w:bCs/>
          <w:color w:val="auto"/>
          <w:sz w:val="24"/>
          <w:szCs w:val="24"/>
          <w:highlight w:val="none"/>
          <w:u w:val="none" w:color="auto"/>
        </w:rPr>
        <w:fldChar w:fldCharType="end"/>
      </w:r>
    </w:p>
    <w:p w14:paraId="11ACBB7D">
      <w:pPr>
        <w:pStyle w:val="30"/>
        <w:tabs>
          <w:tab w:val="right" w:leader="dot" w:pos="8844"/>
          <w:tab w:val="clear" w:pos="8834"/>
        </w:tabs>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HYPERLINK \l _Toc1949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snapToGrid w:val="0"/>
          <w:color w:val="auto"/>
          <w:sz w:val="24"/>
          <w:szCs w:val="24"/>
          <w:highlight w:val="none"/>
          <w:u w:val="none" w:color="auto"/>
        </w:rPr>
        <w:t>五、环境保护措施监督检查清单</w:t>
      </w:r>
      <w:r>
        <w:rPr>
          <w:rFonts w:hint="default" w:ascii="Times New Roman" w:hAnsi="Times New Roman" w:eastAsia="宋体" w:cs="Times New Roman"/>
          <w:b/>
          <w:bCs/>
          <w:color w:val="auto"/>
          <w:sz w:val="24"/>
          <w:szCs w:val="24"/>
          <w:highlight w:val="none"/>
          <w:u w:val="none" w:color="auto"/>
        </w:rPr>
        <w:tab/>
      </w: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PAGEREF _Toc1949 \h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color w:val="auto"/>
          <w:sz w:val="24"/>
          <w:szCs w:val="24"/>
          <w:highlight w:val="none"/>
          <w:u w:val="none" w:color="auto"/>
        </w:rPr>
        <w:t>66</w:t>
      </w:r>
      <w:r>
        <w:rPr>
          <w:rFonts w:hint="default" w:ascii="Times New Roman" w:hAnsi="Times New Roman" w:eastAsia="宋体" w:cs="Times New Roman"/>
          <w:b/>
          <w:bCs/>
          <w:color w:val="auto"/>
          <w:sz w:val="24"/>
          <w:szCs w:val="24"/>
          <w:highlight w:val="none"/>
          <w:u w:val="none" w:color="auto"/>
        </w:rPr>
        <w:fldChar w:fldCharType="end"/>
      </w:r>
      <w:r>
        <w:rPr>
          <w:rFonts w:hint="default" w:ascii="Times New Roman" w:hAnsi="Times New Roman" w:eastAsia="宋体" w:cs="Times New Roman"/>
          <w:b/>
          <w:bCs/>
          <w:color w:val="auto"/>
          <w:sz w:val="24"/>
          <w:szCs w:val="24"/>
          <w:highlight w:val="none"/>
          <w:u w:val="none" w:color="auto"/>
        </w:rPr>
        <w:fldChar w:fldCharType="end"/>
      </w:r>
    </w:p>
    <w:p w14:paraId="0688401C">
      <w:pPr>
        <w:pStyle w:val="30"/>
        <w:tabs>
          <w:tab w:val="right" w:leader="dot" w:pos="8844"/>
          <w:tab w:val="clear" w:pos="8834"/>
        </w:tabs>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HYPERLINK \l _Toc19274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snapToGrid w:val="0"/>
          <w:color w:val="auto"/>
          <w:sz w:val="24"/>
          <w:szCs w:val="24"/>
          <w:highlight w:val="none"/>
          <w:u w:val="none" w:color="auto"/>
        </w:rPr>
        <w:t>六、结论</w:t>
      </w:r>
      <w:r>
        <w:rPr>
          <w:rFonts w:hint="default" w:ascii="Times New Roman" w:hAnsi="Times New Roman" w:eastAsia="宋体" w:cs="Times New Roman"/>
          <w:b/>
          <w:bCs/>
          <w:color w:val="auto"/>
          <w:sz w:val="24"/>
          <w:szCs w:val="24"/>
          <w:highlight w:val="none"/>
          <w:u w:val="none" w:color="auto"/>
        </w:rPr>
        <w:tab/>
      </w:r>
      <w:r>
        <w:rPr>
          <w:rFonts w:hint="default" w:ascii="Times New Roman" w:hAnsi="Times New Roman" w:eastAsia="宋体" w:cs="Times New Roman"/>
          <w:b/>
          <w:bCs/>
          <w:color w:val="auto"/>
          <w:sz w:val="24"/>
          <w:szCs w:val="24"/>
          <w:highlight w:val="none"/>
          <w:u w:val="none" w:color="auto"/>
        </w:rPr>
        <w:fldChar w:fldCharType="begin"/>
      </w:r>
      <w:r>
        <w:rPr>
          <w:rFonts w:hint="default" w:ascii="Times New Roman" w:hAnsi="Times New Roman" w:eastAsia="宋体" w:cs="Times New Roman"/>
          <w:b/>
          <w:bCs/>
          <w:color w:val="auto"/>
          <w:sz w:val="24"/>
          <w:szCs w:val="24"/>
          <w:highlight w:val="none"/>
          <w:u w:val="none" w:color="auto"/>
        </w:rPr>
        <w:instrText xml:space="preserve"> PAGEREF _Toc19274 \h </w:instrText>
      </w:r>
      <w:r>
        <w:rPr>
          <w:rFonts w:hint="default" w:ascii="Times New Roman" w:hAnsi="Times New Roman" w:eastAsia="宋体" w:cs="Times New Roman"/>
          <w:b/>
          <w:bCs/>
          <w:color w:val="auto"/>
          <w:sz w:val="24"/>
          <w:szCs w:val="24"/>
          <w:highlight w:val="none"/>
          <w:u w:val="none" w:color="auto"/>
        </w:rPr>
        <w:fldChar w:fldCharType="separate"/>
      </w:r>
      <w:r>
        <w:rPr>
          <w:rFonts w:hint="default" w:ascii="Times New Roman" w:hAnsi="Times New Roman" w:eastAsia="宋体" w:cs="Times New Roman"/>
          <w:b/>
          <w:bCs/>
          <w:color w:val="auto"/>
          <w:sz w:val="24"/>
          <w:szCs w:val="24"/>
          <w:highlight w:val="none"/>
          <w:u w:val="none" w:color="auto"/>
        </w:rPr>
        <w:t>68</w:t>
      </w:r>
      <w:r>
        <w:rPr>
          <w:rFonts w:hint="default" w:ascii="Times New Roman" w:hAnsi="Times New Roman" w:eastAsia="宋体" w:cs="Times New Roman"/>
          <w:b/>
          <w:bCs/>
          <w:color w:val="auto"/>
          <w:sz w:val="24"/>
          <w:szCs w:val="24"/>
          <w:highlight w:val="none"/>
          <w:u w:val="none" w:color="auto"/>
        </w:rPr>
        <w:fldChar w:fldCharType="end"/>
      </w:r>
      <w:r>
        <w:rPr>
          <w:rFonts w:hint="default" w:ascii="Times New Roman" w:hAnsi="Times New Roman" w:eastAsia="宋体" w:cs="Times New Roman"/>
          <w:b/>
          <w:bCs/>
          <w:color w:val="auto"/>
          <w:sz w:val="24"/>
          <w:szCs w:val="24"/>
          <w:highlight w:val="none"/>
          <w:u w:val="none" w:color="auto"/>
        </w:rPr>
        <w:fldChar w:fldCharType="end"/>
      </w:r>
    </w:p>
    <w:p w14:paraId="06BB11B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fldChar w:fldCharType="end"/>
      </w:r>
    </w:p>
    <w:p w14:paraId="07AEDF4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none" w:color="auto"/>
        </w:rPr>
      </w:pPr>
    </w:p>
    <w:p w14:paraId="265849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none" w:color="auto"/>
        </w:rPr>
      </w:pPr>
    </w:p>
    <w:p w14:paraId="3352EE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b/>
          <w:bCs/>
          <w:color w:val="auto"/>
          <w:sz w:val="24"/>
          <w:szCs w:val="24"/>
          <w:highlight w:val="none"/>
          <w:u w:val="none" w:color="auto"/>
          <w:lang w:eastAsia="zh-CN"/>
        </w:rPr>
        <w:t>附图：</w:t>
      </w:r>
    </w:p>
    <w:p w14:paraId="0DCE047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附图1项目地理位置图</w:t>
      </w:r>
    </w:p>
    <w:p w14:paraId="79E4F19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附图2项目平面布置示意图</w:t>
      </w:r>
    </w:p>
    <w:p w14:paraId="5D03DD29">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highlight w:val="none"/>
          <w:u w:val="none" w:color="auto"/>
          <w:lang w:val="en-US" w:eastAsia="zh-CN" w:bidi="ar-SA"/>
        </w:rPr>
      </w:pPr>
      <w:r>
        <w:rPr>
          <w:rFonts w:hint="default" w:ascii="Times New Roman" w:hAnsi="Times New Roman" w:eastAsia="宋体" w:cs="Times New Roman"/>
          <w:color w:val="auto"/>
          <w:kern w:val="0"/>
          <w:sz w:val="24"/>
          <w:szCs w:val="20"/>
          <w:highlight w:val="none"/>
          <w:u w:val="none" w:color="auto"/>
          <w:lang w:val="en-US" w:eastAsia="zh-CN" w:bidi="ar-SA"/>
        </w:rPr>
        <w:t>附图</w:t>
      </w:r>
      <w:r>
        <w:rPr>
          <w:rFonts w:hint="eastAsia" w:ascii="Times New Roman" w:hAnsi="Times New Roman" w:eastAsia="宋体" w:cs="Times New Roman"/>
          <w:color w:val="auto"/>
          <w:kern w:val="0"/>
          <w:sz w:val="24"/>
          <w:szCs w:val="20"/>
          <w:highlight w:val="none"/>
          <w:u w:val="none" w:color="auto"/>
          <w:lang w:val="en-US" w:eastAsia="zh-CN" w:bidi="ar-SA"/>
        </w:rPr>
        <w:t>3</w:t>
      </w:r>
      <w:r>
        <w:rPr>
          <w:rFonts w:hint="default" w:ascii="Times New Roman" w:hAnsi="Times New Roman" w:eastAsia="宋体" w:cs="Times New Roman"/>
          <w:color w:val="auto"/>
          <w:kern w:val="0"/>
          <w:sz w:val="24"/>
          <w:szCs w:val="20"/>
          <w:highlight w:val="none"/>
          <w:u w:val="none" w:color="auto"/>
          <w:lang w:val="en-US" w:eastAsia="zh-CN" w:bidi="ar-SA"/>
        </w:rPr>
        <w:t>项目位于广西北部湾国际集装箱码头有限公司总平图中的位置示意图</w:t>
      </w:r>
    </w:p>
    <w:p w14:paraId="71EE8A43">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highlight w:val="none"/>
          <w:u w:val="none" w:color="auto"/>
          <w:lang w:val="en-US" w:eastAsia="zh-CN" w:bidi="ar-SA"/>
        </w:rPr>
      </w:pPr>
      <w:r>
        <w:rPr>
          <w:rFonts w:hint="default" w:ascii="Times New Roman" w:hAnsi="Times New Roman" w:eastAsia="宋体" w:cs="Times New Roman"/>
          <w:color w:val="auto"/>
          <w:kern w:val="0"/>
          <w:sz w:val="24"/>
          <w:szCs w:val="20"/>
          <w:highlight w:val="none"/>
          <w:u w:val="none" w:color="auto"/>
          <w:lang w:val="en-US" w:eastAsia="zh-CN" w:bidi="ar-SA"/>
        </w:rPr>
        <w:t>附图4 项目与广西北部湾港总体规划修编位置关系图</w:t>
      </w:r>
    </w:p>
    <w:p w14:paraId="4CD32DCF">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highlight w:val="none"/>
          <w:u w:val="none" w:color="auto"/>
          <w:lang w:val="en-US" w:eastAsia="zh-CN" w:bidi="ar-SA"/>
        </w:rPr>
      </w:pPr>
      <w:bookmarkStart w:id="2" w:name="_Hlk53664998"/>
      <w:r>
        <w:rPr>
          <w:rFonts w:hint="default" w:ascii="Times New Roman" w:hAnsi="Times New Roman" w:eastAsia="宋体" w:cs="Times New Roman"/>
          <w:color w:val="auto"/>
          <w:kern w:val="0"/>
          <w:sz w:val="24"/>
          <w:szCs w:val="20"/>
          <w:highlight w:val="none"/>
          <w:u w:val="none" w:color="auto"/>
          <w:lang w:val="en-US" w:eastAsia="zh-CN" w:bidi="ar-SA"/>
        </w:rPr>
        <w:t>附图5 项目与钦州港总体规划位置关系图</w:t>
      </w:r>
    </w:p>
    <w:bookmarkEnd w:id="2"/>
    <w:p w14:paraId="0983AA03">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highlight w:val="none"/>
          <w:u w:val="none" w:color="auto"/>
          <w:lang w:val="en-US" w:eastAsia="zh-CN" w:bidi="ar-SA"/>
        </w:rPr>
      </w:pPr>
      <w:r>
        <w:rPr>
          <w:rFonts w:hint="default" w:ascii="Times New Roman" w:hAnsi="Times New Roman" w:eastAsia="宋体" w:cs="Times New Roman"/>
          <w:color w:val="auto"/>
          <w:kern w:val="0"/>
          <w:sz w:val="24"/>
          <w:szCs w:val="20"/>
          <w:highlight w:val="none"/>
          <w:u w:val="none" w:color="auto"/>
          <w:lang w:val="en-US" w:eastAsia="zh-CN" w:bidi="ar-SA"/>
        </w:rPr>
        <w:t>附图</w:t>
      </w:r>
      <w:r>
        <w:rPr>
          <w:rFonts w:hint="eastAsia" w:ascii="Times New Roman" w:hAnsi="Times New Roman" w:eastAsia="宋体" w:cs="Times New Roman"/>
          <w:color w:val="auto"/>
          <w:kern w:val="0"/>
          <w:sz w:val="24"/>
          <w:szCs w:val="20"/>
          <w:highlight w:val="none"/>
          <w:u w:val="none" w:color="auto"/>
          <w:lang w:val="en-US" w:eastAsia="zh-CN" w:bidi="ar-SA"/>
        </w:rPr>
        <w:t>6</w:t>
      </w:r>
      <w:r>
        <w:rPr>
          <w:rFonts w:hint="default" w:ascii="Times New Roman" w:hAnsi="Times New Roman" w:eastAsia="宋体" w:cs="Times New Roman"/>
          <w:color w:val="auto"/>
          <w:kern w:val="0"/>
          <w:sz w:val="24"/>
          <w:szCs w:val="20"/>
          <w:highlight w:val="none"/>
          <w:u w:val="none" w:color="auto"/>
          <w:lang w:val="en-US" w:eastAsia="zh-CN" w:bidi="ar-SA"/>
        </w:rPr>
        <w:t xml:space="preserve"> 项目环境现状监测点位布置图</w:t>
      </w:r>
    </w:p>
    <w:p w14:paraId="506FA88B">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highlight w:val="none"/>
          <w:u w:val="none" w:color="auto"/>
          <w:lang w:val="en-US" w:eastAsia="zh-CN" w:bidi="ar-SA"/>
        </w:rPr>
      </w:pPr>
      <w:r>
        <w:rPr>
          <w:rFonts w:hint="eastAsia" w:cs="Times New Roman"/>
          <w:color w:val="auto"/>
          <w:kern w:val="0"/>
          <w:sz w:val="24"/>
          <w:szCs w:val="20"/>
          <w:highlight w:val="none"/>
          <w:u w:val="none" w:color="auto"/>
          <w:lang w:val="en-US" w:eastAsia="zh-CN" w:bidi="ar-SA"/>
        </w:rPr>
        <w:t>附图7 项目引用竣工验收监测及自行监测报告监测点位布置图</w:t>
      </w:r>
    </w:p>
    <w:p w14:paraId="54A19707">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0"/>
          <w:sz w:val="24"/>
          <w:szCs w:val="20"/>
          <w:highlight w:val="none"/>
          <w:u w:val="none" w:color="auto"/>
          <w:lang w:val="en-US" w:eastAsia="zh-CN" w:bidi="ar-SA"/>
        </w:rPr>
      </w:pPr>
    </w:p>
    <w:p w14:paraId="54A39D89">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both"/>
        <w:textAlignment w:val="auto"/>
        <w:rPr>
          <w:rFonts w:hint="default" w:ascii="Times New Roman" w:hAnsi="Times New Roman" w:eastAsia="宋体" w:cs="Times New Roman"/>
          <w:b/>
          <w:bCs/>
          <w:color w:val="auto"/>
          <w:kern w:val="2"/>
          <w:sz w:val="24"/>
          <w:szCs w:val="24"/>
          <w:highlight w:val="none"/>
          <w:u w:val="none" w:color="auto"/>
          <w:lang w:val="en-US" w:eastAsia="zh-CN" w:bidi="ar-SA"/>
        </w:rPr>
      </w:pPr>
      <w:r>
        <w:rPr>
          <w:rFonts w:hint="default" w:ascii="Times New Roman" w:hAnsi="Times New Roman" w:eastAsia="宋体" w:cs="Times New Roman"/>
          <w:b/>
          <w:bCs/>
          <w:color w:val="auto"/>
          <w:kern w:val="2"/>
          <w:sz w:val="24"/>
          <w:szCs w:val="24"/>
          <w:highlight w:val="none"/>
          <w:u w:val="none" w:color="auto"/>
          <w:lang w:val="en-US" w:eastAsia="zh-CN" w:bidi="ar-SA"/>
        </w:rPr>
        <w:t>附件：</w:t>
      </w:r>
    </w:p>
    <w:p w14:paraId="5E43333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附件1项目委托书</w:t>
      </w:r>
    </w:p>
    <w:p w14:paraId="7B15517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附件2备案证明</w:t>
      </w:r>
    </w:p>
    <w:p w14:paraId="4ABFE18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附件3钦州市生态环境局关于钦州港大榄坪南作业区1#-6#泊位新增危险货物集装箱项目（重大变动）环境影响报告书的批复</w:t>
      </w:r>
    </w:p>
    <w:p w14:paraId="0507A78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附件4钦州市生态环境局关于钦州港大榄坪南作业区2#泊位危废库项目环境影响报告表的批复</w:t>
      </w:r>
    </w:p>
    <w:p w14:paraId="11D14D9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附件5钦州市生态环境局关于广西北部湾国际集装箱码头有限公司集装箱修理项目环境影响报告表的批复</w:t>
      </w:r>
    </w:p>
    <w:p w14:paraId="5A096B3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附件6广西北部湾国际集装箱码头有限公司突发环境事件应急预案备案表</w:t>
      </w:r>
    </w:p>
    <w:p w14:paraId="4A783B8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附件7</w:t>
      </w:r>
      <w:r>
        <w:rPr>
          <w:rFonts w:hint="default" w:ascii="Times New Roman" w:hAnsi="Times New Roman" w:eastAsia="宋体" w:cs="Times New Roman"/>
          <w:color w:val="auto"/>
          <w:sz w:val="24"/>
          <w:szCs w:val="24"/>
          <w:highlight w:val="none"/>
          <w:u w:val="none" w:color="auto"/>
          <w:lang w:val="en-US" w:eastAsia="zh-CN"/>
        </w:rPr>
        <w:t>钦州港总体规划</w:t>
      </w:r>
      <w:r>
        <w:rPr>
          <w:rFonts w:hint="eastAsia" w:ascii="Times New Roman" w:hAnsi="Times New Roman" w:eastAsia="宋体" w:cs="Times New Roman"/>
          <w:color w:val="auto"/>
          <w:sz w:val="24"/>
          <w:szCs w:val="24"/>
          <w:highlight w:val="none"/>
          <w:u w:val="none" w:color="auto"/>
          <w:lang w:val="en-US" w:eastAsia="zh-CN"/>
        </w:rPr>
        <w:t>（2019-2035年）环境影响报告书审查意见的函</w:t>
      </w:r>
    </w:p>
    <w:p w14:paraId="19FAB5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w:t>
      </w:r>
      <w:r>
        <w:rPr>
          <w:rFonts w:hint="eastAsia" w:ascii="Times New Roman" w:hAnsi="Times New Roman" w:eastAsia="宋体" w:cs="Times New Roman"/>
          <w:color w:val="auto"/>
          <w:sz w:val="24"/>
          <w:szCs w:val="24"/>
          <w:highlight w:val="none"/>
          <w:u w:val="none" w:color="auto"/>
          <w:lang w:val="en-US" w:eastAsia="zh-CN"/>
        </w:rPr>
        <w:t>8</w:t>
      </w:r>
      <w:r>
        <w:rPr>
          <w:rFonts w:hint="default" w:ascii="Times New Roman" w:hAnsi="Times New Roman" w:eastAsia="宋体" w:cs="Times New Roman"/>
          <w:color w:val="auto"/>
          <w:sz w:val="24"/>
          <w:szCs w:val="24"/>
          <w:highlight w:val="none"/>
          <w:u w:val="none" w:color="auto"/>
          <w:lang w:val="en-US" w:eastAsia="zh-CN"/>
        </w:rPr>
        <w:t>关于《北部湾港总体规划（2035年）环境影响报告书》的审查意见</w:t>
      </w:r>
    </w:p>
    <w:p w14:paraId="0841C7A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w:t>
      </w:r>
      <w:r>
        <w:rPr>
          <w:rFonts w:hint="eastAsia" w:ascii="Times New Roman" w:hAnsi="Times New Roman" w:eastAsia="宋体" w:cs="Times New Roman"/>
          <w:color w:val="auto"/>
          <w:sz w:val="24"/>
          <w:szCs w:val="24"/>
          <w:highlight w:val="none"/>
          <w:u w:val="none" w:color="auto"/>
          <w:lang w:val="en-US" w:eastAsia="zh-CN"/>
        </w:rPr>
        <w:t>9</w:t>
      </w:r>
      <w:r>
        <w:rPr>
          <w:rFonts w:hint="default" w:ascii="Times New Roman" w:hAnsi="Times New Roman" w:eastAsia="宋体" w:cs="Times New Roman"/>
          <w:color w:val="auto"/>
          <w:sz w:val="24"/>
          <w:szCs w:val="24"/>
          <w:highlight w:val="none"/>
          <w:u w:val="none" w:color="auto"/>
          <w:lang w:val="en-US" w:eastAsia="zh-CN"/>
        </w:rPr>
        <w:t>现有危险废物委托处置合同</w:t>
      </w:r>
    </w:p>
    <w:p w14:paraId="445AF54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附件</w:t>
      </w:r>
      <w:r>
        <w:rPr>
          <w:rFonts w:hint="eastAsia" w:ascii="Times New Roman" w:hAnsi="Times New Roman" w:eastAsia="宋体" w:cs="Times New Roman"/>
          <w:color w:val="auto"/>
          <w:sz w:val="24"/>
          <w:highlight w:val="none"/>
          <w:u w:val="none" w:color="auto"/>
          <w:lang w:val="en-US" w:eastAsia="zh-CN"/>
        </w:rPr>
        <w:t>10</w:t>
      </w:r>
      <w:r>
        <w:rPr>
          <w:rFonts w:hint="default" w:ascii="Times New Roman" w:hAnsi="Times New Roman" w:eastAsia="宋体" w:cs="Times New Roman"/>
          <w:color w:val="auto"/>
          <w:sz w:val="24"/>
          <w:highlight w:val="none"/>
          <w:u w:val="none" w:color="auto"/>
        </w:rPr>
        <w:t>现有工程排污许可登记回执单</w:t>
      </w:r>
    </w:p>
    <w:p w14:paraId="63823B7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w:t>
      </w:r>
      <w:r>
        <w:rPr>
          <w:rFonts w:hint="eastAsia" w:ascii="Times New Roman" w:hAnsi="Times New Roman" w:eastAsia="宋体" w:cs="Times New Roman"/>
          <w:color w:val="auto"/>
          <w:sz w:val="24"/>
          <w:szCs w:val="24"/>
          <w:highlight w:val="none"/>
          <w:u w:val="none" w:color="auto"/>
          <w:lang w:val="en-US" w:eastAsia="zh-CN"/>
        </w:rPr>
        <w:t>11</w:t>
      </w:r>
      <w:r>
        <w:rPr>
          <w:rFonts w:hint="default" w:ascii="Times New Roman" w:hAnsi="Times New Roman" w:eastAsia="宋体" w:cs="Times New Roman"/>
          <w:color w:val="auto"/>
          <w:sz w:val="24"/>
          <w:szCs w:val="24"/>
          <w:highlight w:val="none"/>
          <w:u w:val="none" w:color="auto"/>
          <w:lang w:val="en-US" w:eastAsia="zh-CN"/>
        </w:rPr>
        <w:t>广西“生态云”平台建设项目智能研判报告</w:t>
      </w:r>
    </w:p>
    <w:p w14:paraId="3A0B7E7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附件</w:t>
      </w:r>
      <w:r>
        <w:rPr>
          <w:rFonts w:hint="eastAsia" w:ascii="Times New Roman" w:hAnsi="Times New Roman" w:eastAsia="宋体" w:cs="Times New Roman"/>
          <w:color w:val="auto"/>
          <w:sz w:val="24"/>
          <w:szCs w:val="24"/>
          <w:highlight w:val="none"/>
          <w:u w:val="none" w:color="auto"/>
          <w:lang w:val="en-US" w:eastAsia="zh-CN"/>
        </w:rPr>
        <w:t>12</w:t>
      </w:r>
      <w:r>
        <w:rPr>
          <w:rFonts w:hint="default" w:ascii="Times New Roman" w:hAnsi="Times New Roman" w:eastAsia="宋体" w:cs="Times New Roman"/>
          <w:color w:val="auto"/>
          <w:sz w:val="24"/>
          <w:szCs w:val="24"/>
          <w:highlight w:val="none"/>
          <w:u w:val="none" w:color="auto"/>
          <w:lang w:val="en-US" w:eastAsia="zh-CN"/>
        </w:rPr>
        <w:t>钦州港大榄坪南作业区1#-6#泊位新增危险货物集装箱项目</w:t>
      </w: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重大变动</w:t>
      </w: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竣工环境保护验收意见</w:t>
      </w:r>
    </w:p>
    <w:p w14:paraId="5B8708E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附件13港口危险货物作业附证</w:t>
      </w:r>
    </w:p>
    <w:p w14:paraId="51220B4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附件14现状监测报告</w:t>
      </w:r>
    </w:p>
    <w:p w14:paraId="7207789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附件15 项目引用监测报告</w:t>
      </w:r>
    </w:p>
    <w:p w14:paraId="0AF8396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p>
    <w:p w14:paraId="31A1C786">
      <w:pPr>
        <w:spacing w:line="360" w:lineRule="auto"/>
        <w:ind w:firstLine="0" w:firstLineChars="0"/>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附表：</w:t>
      </w:r>
    </w:p>
    <w:p w14:paraId="59B1C5E2">
      <w:pPr>
        <w:ind w:firstLine="480" w:firstLineChars="200"/>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color w:val="auto"/>
          <w:sz w:val="24"/>
          <w:highlight w:val="none"/>
          <w:u w:val="none" w:color="auto"/>
        </w:rPr>
        <w:t>附表1建设项目污染物排放量汇总表</w:t>
      </w:r>
      <w:r>
        <w:rPr>
          <w:rFonts w:hint="default" w:ascii="Times New Roman" w:hAnsi="Times New Roman" w:eastAsia="宋体" w:cs="Times New Roman"/>
          <w:b/>
          <w:bCs/>
          <w:color w:val="auto"/>
          <w:sz w:val="24"/>
          <w:szCs w:val="24"/>
          <w:highlight w:val="none"/>
          <w:u w:val="none" w:color="auto"/>
          <w:lang w:eastAsia="zh-CN"/>
        </w:rPr>
        <w:br w:type="page"/>
      </w:r>
    </w:p>
    <w:p w14:paraId="1943852C">
      <w:pPr>
        <w:pStyle w:val="42"/>
        <w:jc w:val="center"/>
        <w:outlineLvl w:val="0"/>
        <w:rPr>
          <w:rFonts w:hint="default" w:ascii="Times New Roman" w:hAnsi="Times New Roman" w:eastAsia="宋体" w:cs="Times New Roman"/>
          <w:snapToGrid w:val="0"/>
          <w:color w:val="auto"/>
          <w:sz w:val="30"/>
          <w:szCs w:val="30"/>
          <w:highlight w:val="none"/>
          <w:u w:val="none" w:color="auto"/>
        </w:rPr>
      </w:pPr>
      <w:bookmarkStart w:id="3" w:name="_Toc19646"/>
      <w:bookmarkStart w:id="4" w:name="_Toc17287"/>
      <w:r>
        <w:rPr>
          <w:rFonts w:hint="eastAsia" w:ascii="Times New Roman" w:hAnsi="Times New Roman" w:eastAsia="宋体" w:cs="Times New Roman"/>
          <w:b/>
          <w:bCs/>
          <w:color w:val="auto"/>
          <w:sz w:val="24"/>
          <w:szCs w:val="24"/>
          <w:highlight w:val="none"/>
          <w:u w:val="none" w:color="auto"/>
          <w:lang w:val="en-US" w:eastAsia="zh-CN"/>
        </w:rPr>
        <w:t xml:space="preserve"> </w:t>
      </w:r>
      <w:r>
        <w:rPr>
          <w:rFonts w:hint="default" w:ascii="Times New Roman" w:hAnsi="Times New Roman" w:eastAsia="宋体" w:cs="Times New Roman"/>
          <w:snapToGrid w:val="0"/>
          <w:color w:val="auto"/>
          <w:sz w:val="30"/>
          <w:szCs w:val="30"/>
          <w:highlight w:val="none"/>
          <w:u w:val="none" w:color="auto"/>
        </w:rPr>
        <w:t>一、建设项目基本情况</w:t>
      </w:r>
      <w:bookmarkEnd w:id="3"/>
    </w:p>
    <w:tbl>
      <w:tblPr>
        <w:tblStyle w:val="4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38"/>
        <w:gridCol w:w="2010"/>
        <w:gridCol w:w="1995"/>
        <w:gridCol w:w="2927"/>
      </w:tblGrid>
      <w:tr w14:paraId="78DA5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3E6EFE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建设项目名称</w:t>
            </w:r>
          </w:p>
        </w:tc>
        <w:tc>
          <w:tcPr>
            <w:tcW w:w="6932" w:type="dxa"/>
            <w:gridSpan w:val="3"/>
            <w:noWrap w:val="0"/>
            <w:vAlign w:val="center"/>
          </w:tcPr>
          <w:p w14:paraId="08EBB7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广西北部湾国际集装箱码头有限公司8类、9类固态危险货物集装箱混堆堆场项目</w:t>
            </w:r>
          </w:p>
        </w:tc>
      </w:tr>
      <w:tr w14:paraId="4FF80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25F56A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项目代码</w:t>
            </w:r>
          </w:p>
        </w:tc>
        <w:tc>
          <w:tcPr>
            <w:tcW w:w="6932" w:type="dxa"/>
            <w:gridSpan w:val="3"/>
            <w:noWrap w:val="0"/>
            <w:vAlign w:val="center"/>
          </w:tcPr>
          <w:p w14:paraId="29F73F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2507-450704-04-01-380191</w:t>
            </w:r>
          </w:p>
        </w:tc>
      </w:tr>
      <w:tr w14:paraId="5EE40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6DF110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建设单位联系人</w:t>
            </w:r>
          </w:p>
        </w:tc>
        <w:tc>
          <w:tcPr>
            <w:tcW w:w="2010" w:type="dxa"/>
            <w:noWrap w:val="0"/>
            <w:vAlign w:val="center"/>
          </w:tcPr>
          <w:p w14:paraId="1AB782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p>
        </w:tc>
        <w:tc>
          <w:tcPr>
            <w:tcW w:w="1995" w:type="dxa"/>
            <w:noWrap w:val="0"/>
            <w:vAlign w:val="center"/>
          </w:tcPr>
          <w:p w14:paraId="52853F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联系方式</w:t>
            </w:r>
          </w:p>
        </w:tc>
        <w:tc>
          <w:tcPr>
            <w:tcW w:w="2927" w:type="dxa"/>
            <w:noWrap w:val="0"/>
            <w:vAlign w:val="center"/>
          </w:tcPr>
          <w:p w14:paraId="42321F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p>
        </w:tc>
      </w:tr>
      <w:tr w14:paraId="6BDD0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38" w:type="dxa"/>
            <w:noWrap w:val="0"/>
            <w:tcMar>
              <w:top w:w="16" w:type="dxa"/>
              <w:left w:w="16" w:type="dxa"/>
              <w:right w:w="16" w:type="dxa"/>
            </w:tcMar>
            <w:vAlign w:val="center"/>
          </w:tcPr>
          <w:p w14:paraId="357323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建设地点</w:t>
            </w:r>
          </w:p>
        </w:tc>
        <w:tc>
          <w:tcPr>
            <w:tcW w:w="6932" w:type="dxa"/>
            <w:gridSpan w:val="3"/>
            <w:noWrap w:val="0"/>
            <w:vAlign w:val="center"/>
          </w:tcPr>
          <w:p w14:paraId="249A587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 xml:space="preserve">广西壮族自治区钦州市广西北部湾国际集装箱码头有限公司大榄 </w:t>
            </w:r>
          </w:p>
          <w:p w14:paraId="0BD675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rPr>
            </w:pPr>
            <w:r>
              <w:rPr>
                <w:rFonts w:hint="eastAsia" w:ascii="Times New Roman" w:hAnsi="Times New Roman" w:eastAsia="宋体" w:cs="Times New Roman"/>
                <w:color w:val="auto"/>
                <w:sz w:val="24"/>
                <w:szCs w:val="24"/>
                <w:highlight w:val="none"/>
                <w:u w:val="none" w:color="auto"/>
                <w:lang w:val="en-US" w:eastAsia="zh-CN"/>
              </w:rPr>
              <w:t>坪南作业区混堆堆场3G、3F、4G、4F、5G、5F</w:t>
            </w:r>
          </w:p>
        </w:tc>
      </w:tr>
      <w:tr w14:paraId="592E7E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0B52C4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4"/>
                <w:szCs w:val="24"/>
                <w:highlight w:val="none"/>
                <w:u w:val="none" w:color="auto"/>
              </w:rPr>
            </w:pPr>
            <w:r>
              <w:rPr>
                <w:rFonts w:hint="default" w:ascii="Times New Roman" w:hAnsi="Times New Roman" w:eastAsia="宋体" w:cs="Times New Roman"/>
                <w:b w:val="0"/>
                <w:bCs w:val="0"/>
                <w:color w:val="auto"/>
                <w:sz w:val="24"/>
                <w:szCs w:val="24"/>
                <w:highlight w:val="none"/>
                <w:u w:val="none" w:color="auto"/>
              </w:rPr>
              <w:t>地理坐标</w:t>
            </w:r>
          </w:p>
        </w:tc>
        <w:tc>
          <w:tcPr>
            <w:tcW w:w="6932" w:type="dxa"/>
            <w:gridSpan w:val="3"/>
            <w:noWrap w:val="0"/>
            <w:vAlign w:val="center"/>
          </w:tcPr>
          <w:p w14:paraId="67D6BB72">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4"/>
                <w:szCs w:val="24"/>
                <w:highlight w:val="none"/>
                <w:u w:val="none" w:color="auto"/>
                <w:lang w:eastAsia="zh-CN"/>
              </w:rPr>
            </w:pPr>
            <w:r>
              <w:rPr>
                <w:rFonts w:hint="default" w:ascii="Times New Roman" w:hAnsi="Times New Roman" w:eastAsia="宋体" w:cs="Times New Roman"/>
                <w:b w:val="0"/>
                <w:bCs w:val="0"/>
                <w:color w:val="auto"/>
                <w:sz w:val="24"/>
                <w:szCs w:val="24"/>
                <w:highlight w:val="none"/>
                <w:u w:val="none" w:color="auto"/>
              </w:rPr>
              <w:t>（</w:t>
            </w:r>
            <w:r>
              <w:rPr>
                <w:rFonts w:hint="default" w:ascii="Times New Roman" w:hAnsi="Times New Roman" w:eastAsia="宋体" w:cs="Times New Roman"/>
                <w:b w:val="0"/>
                <w:bCs w:val="0"/>
                <w:color w:val="auto"/>
                <w:sz w:val="24"/>
                <w:szCs w:val="24"/>
                <w:highlight w:val="none"/>
                <w:u w:val="none" w:color="auto"/>
                <w:lang w:eastAsia="zh-CN"/>
              </w:rPr>
              <w:t>东经</w:t>
            </w:r>
            <w:r>
              <w:rPr>
                <w:rFonts w:hint="default" w:ascii="Times New Roman" w:hAnsi="Times New Roman" w:eastAsia="宋体" w:cs="Times New Roman"/>
                <w:b w:val="0"/>
                <w:bCs w:val="0"/>
                <w:color w:val="auto"/>
                <w:sz w:val="24"/>
                <w:szCs w:val="24"/>
                <w:highlight w:val="none"/>
                <w:u w:val="none" w:color="auto"/>
                <w:lang w:val="en-US" w:eastAsia="zh-CN"/>
              </w:rPr>
              <w:t>108</w:t>
            </w:r>
            <w:r>
              <w:rPr>
                <w:rFonts w:hint="default" w:ascii="Times New Roman" w:hAnsi="Times New Roman" w:eastAsia="宋体" w:cs="Times New Roman"/>
                <w:b w:val="0"/>
                <w:bCs w:val="0"/>
                <w:color w:val="auto"/>
                <w:sz w:val="24"/>
                <w:szCs w:val="24"/>
                <w:highlight w:val="none"/>
                <w:u w:val="none" w:color="auto"/>
              </w:rPr>
              <w:t>度</w:t>
            </w:r>
            <w:r>
              <w:rPr>
                <w:rFonts w:hint="eastAsia" w:ascii="Times New Roman" w:hAnsi="Times New Roman" w:eastAsia="宋体" w:cs="Times New Roman"/>
                <w:b w:val="0"/>
                <w:bCs w:val="0"/>
                <w:color w:val="auto"/>
                <w:sz w:val="24"/>
                <w:szCs w:val="24"/>
                <w:highlight w:val="none"/>
                <w:u w:val="none" w:color="auto"/>
                <w:lang w:val="en-US" w:eastAsia="zh-CN"/>
              </w:rPr>
              <w:t>38</w:t>
            </w:r>
            <w:r>
              <w:rPr>
                <w:rFonts w:hint="default" w:ascii="Times New Roman" w:hAnsi="Times New Roman" w:eastAsia="宋体" w:cs="Times New Roman"/>
                <w:b w:val="0"/>
                <w:bCs w:val="0"/>
                <w:color w:val="auto"/>
                <w:sz w:val="24"/>
                <w:szCs w:val="24"/>
                <w:highlight w:val="none"/>
                <w:u w:val="none" w:color="auto"/>
              </w:rPr>
              <w:t>分</w:t>
            </w:r>
            <w:r>
              <w:rPr>
                <w:rFonts w:hint="eastAsia" w:ascii="Times New Roman" w:hAnsi="Times New Roman" w:eastAsia="宋体" w:cs="Times New Roman"/>
                <w:b w:val="0"/>
                <w:bCs w:val="0"/>
                <w:color w:val="auto"/>
                <w:sz w:val="24"/>
                <w:szCs w:val="24"/>
                <w:highlight w:val="none"/>
                <w:u w:val="none" w:color="auto"/>
                <w:lang w:val="en-US" w:eastAsia="zh-CN"/>
              </w:rPr>
              <w:t>37.116</w:t>
            </w:r>
            <w:r>
              <w:rPr>
                <w:rFonts w:hint="default" w:ascii="Times New Roman" w:hAnsi="Times New Roman" w:eastAsia="宋体" w:cs="Times New Roman"/>
                <w:b w:val="0"/>
                <w:bCs w:val="0"/>
                <w:color w:val="auto"/>
                <w:sz w:val="24"/>
                <w:szCs w:val="24"/>
                <w:highlight w:val="none"/>
                <w:u w:val="none" w:color="auto"/>
              </w:rPr>
              <w:t>秒，</w:t>
            </w:r>
            <w:r>
              <w:rPr>
                <w:rFonts w:hint="default" w:ascii="Times New Roman" w:hAnsi="Times New Roman" w:eastAsia="宋体" w:cs="Times New Roman"/>
                <w:b w:val="0"/>
                <w:bCs w:val="0"/>
                <w:color w:val="auto"/>
                <w:sz w:val="24"/>
                <w:szCs w:val="24"/>
                <w:highlight w:val="none"/>
                <w:u w:val="none" w:color="auto"/>
                <w:lang w:eastAsia="zh-CN"/>
              </w:rPr>
              <w:t>北纬</w:t>
            </w:r>
            <w:r>
              <w:rPr>
                <w:rFonts w:hint="default" w:ascii="Times New Roman" w:hAnsi="Times New Roman" w:eastAsia="宋体" w:cs="Times New Roman"/>
                <w:b w:val="0"/>
                <w:bCs w:val="0"/>
                <w:color w:val="auto"/>
                <w:sz w:val="24"/>
                <w:szCs w:val="24"/>
                <w:highlight w:val="none"/>
                <w:u w:val="none" w:color="auto"/>
                <w:lang w:val="en-US" w:eastAsia="zh-CN"/>
              </w:rPr>
              <w:t>21</w:t>
            </w:r>
            <w:r>
              <w:rPr>
                <w:rFonts w:hint="default" w:ascii="Times New Roman" w:hAnsi="Times New Roman" w:eastAsia="宋体" w:cs="Times New Roman"/>
                <w:b w:val="0"/>
                <w:bCs w:val="0"/>
                <w:color w:val="auto"/>
                <w:sz w:val="24"/>
                <w:szCs w:val="24"/>
                <w:highlight w:val="none"/>
                <w:u w:val="none" w:color="auto"/>
              </w:rPr>
              <w:t>度</w:t>
            </w:r>
            <w:r>
              <w:rPr>
                <w:rFonts w:hint="default" w:ascii="Times New Roman" w:hAnsi="Times New Roman" w:eastAsia="宋体" w:cs="Times New Roman"/>
                <w:b w:val="0"/>
                <w:bCs w:val="0"/>
                <w:color w:val="auto"/>
                <w:sz w:val="24"/>
                <w:szCs w:val="24"/>
                <w:highlight w:val="none"/>
                <w:u w:val="none" w:color="auto"/>
                <w:lang w:val="en-US" w:eastAsia="zh-CN"/>
              </w:rPr>
              <w:t>40</w:t>
            </w:r>
            <w:r>
              <w:rPr>
                <w:rFonts w:hint="default" w:ascii="Times New Roman" w:hAnsi="Times New Roman" w:eastAsia="宋体" w:cs="Times New Roman"/>
                <w:b w:val="0"/>
                <w:bCs w:val="0"/>
                <w:color w:val="auto"/>
                <w:sz w:val="24"/>
                <w:szCs w:val="24"/>
                <w:highlight w:val="none"/>
                <w:u w:val="none" w:color="auto"/>
              </w:rPr>
              <w:t>分</w:t>
            </w:r>
            <w:r>
              <w:rPr>
                <w:rFonts w:hint="eastAsia" w:ascii="Times New Roman" w:hAnsi="Times New Roman" w:eastAsia="宋体" w:cs="Times New Roman"/>
                <w:b w:val="0"/>
                <w:bCs w:val="0"/>
                <w:color w:val="auto"/>
                <w:sz w:val="24"/>
                <w:szCs w:val="24"/>
                <w:highlight w:val="none"/>
                <w:u w:val="none" w:color="auto"/>
                <w:lang w:val="en-US" w:eastAsia="zh-CN"/>
              </w:rPr>
              <w:t>35.357</w:t>
            </w:r>
            <w:r>
              <w:rPr>
                <w:rFonts w:hint="default" w:ascii="Times New Roman" w:hAnsi="Times New Roman" w:eastAsia="宋体" w:cs="Times New Roman"/>
                <w:b w:val="0"/>
                <w:bCs w:val="0"/>
                <w:color w:val="auto"/>
                <w:sz w:val="24"/>
                <w:szCs w:val="24"/>
                <w:highlight w:val="none"/>
                <w:u w:val="none" w:color="auto"/>
              </w:rPr>
              <w:t>秒</w:t>
            </w:r>
            <w:r>
              <w:rPr>
                <w:rFonts w:hint="eastAsia" w:cs="Times New Roman"/>
                <w:b w:val="0"/>
                <w:bCs w:val="0"/>
                <w:color w:val="auto"/>
                <w:sz w:val="24"/>
                <w:szCs w:val="24"/>
                <w:highlight w:val="none"/>
                <w:u w:val="none" w:color="auto"/>
                <w:lang w:eastAsia="zh-CN"/>
              </w:rPr>
              <w:t>）</w:t>
            </w:r>
          </w:p>
        </w:tc>
      </w:tr>
      <w:tr w14:paraId="51732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38" w:type="dxa"/>
            <w:noWrap w:val="0"/>
            <w:tcMar>
              <w:top w:w="16" w:type="dxa"/>
              <w:left w:w="16" w:type="dxa"/>
              <w:right w:w="16" w:type="dxa"/>
            </w:tcMar>
            <w:vAlign w:val="center"/>
          </w:tcPr>
          <w:p w14:paraId="43C07D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国民经济</w:t>
            </w:r>
          </w:p>
          <w:p w14:paraId="23455F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行业类别</w:t>
            </w:r>
          </w:p>
        </w:tc>
        <w:tc>
          <w:tcPr>
            <w:tcW w:w="2010" w:type="dxa"/>
            <w:noWrap w:val="0"/>
            <w:vAlign w:val="center"/>
          </w:tcPr>
          <w:p w14:paraId="39F219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其他危险品仓储5949</w:t>
            </w:r>
          </w:p>
        </w:tc>
        <w:tc>
          <w:tcPr>
            <w:tcW w:w="1995" w:type="dxa"/>
            <w:noWrap w:val="0"/>
            <w:vAlign w:val="center"/>
          </w:tcPr>
          <w:p w14:paraId="6B112C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bookmarkStart w:id="5" w:name="_Hlk49843745"/>
            <w:r>
              <w:rPr>
                <w:rFonts w:hint="default" w:ascii="Times New Roman" w:hAnsi="Times New Roman" w:eastAsia="宋体" w:cs="Times New Roman"/>
                <w:color w:val="auto"/>
                <w:sz w:val="24"/>
                <w:szCs w:val="24"/>
                <w:highlight w:val="none"/>
                <w:u w:val="none" w:color="auto"/>
              </w:rPr>
              <w:t>建设项目</w:t>
            </w:r>
          </w:p>
          <w:p w14:paraId="6374CD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行业类别</w:t>
            </w:r>
            <w:bookmarkEnd w:id="5"/>
          </w:p>
        </w:tc>
        <w:tc>
          <w:tcPr>
            <w:tcW w:w="2927" w:type="dxa"/>
            <w:noWrap w:val="0"/>
            <w:vAlign w:val="center"/>
          </w:tcPr>
          <w:p w14:paraId="7820EEF8">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“五十三、装卸搬运和仓储业 59”中“149、危险品仓储 594（不含加油站的油库；不含加气站的气库）——其他（含有毒、有害、危险品的仓储；含液化天然气库）”</w:t>
            </w:r>
          </w:p>
        </w:tc>
      </w:tr>
      <w:tr w14:paraId="513C8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8" w:type="dxa"/>
            <w:noWrap w:val="0"/>
            <w:tcMar>
              <w:top w:w="16" w:type="dxa"/>
              <w:left w:w="16" w:type="dxa"/>
              <w:right w:w="16" w:type="dxa"/>
            </w:tcMar>
            <w:vAlign w:val="center"/>
          </w:tcPr>
          <w:p w14:paraId="71BE23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建设性质</w:t>
            </w:r>
          </w:p>
        </w:tc>
        <w:tc>
          <w:tcPr>
            <w:tcW w:w="2010" w:type="dxa"/>
            <w:noWrap w:val="0"/>
            <w:vAlign w:val="center"/>
          </w:tcPr>
          <w:p w14:paraId="4552F99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新建（迁建）</w:t>
            </w:r>
          </w:p>
          <w:p w14:paraId="325C346C">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改建</w:t>
            </w:r>
          </w:p>
          <w:p w14:paraId="1BFF8058">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扩建</w:t>
            </w:r>
          </w:p>
          <w:p w14:paraId="1B52D18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技术改造</w:t>
            </w:r>
          </w:p>
        </w:tc>
        <w:tc>
          <w:tcPr>
            <w:tcW w:w="1995" w:type="dxa"/>
            <w:noWrap w:val="0"/>
            <w:vAlign w:val="center"/>
          </w:tcPr>
          <w:p w14:paraId="4EA5A7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建设项目</w:t>
            </w:r>
          </w:p>
          <w:p w14:paraId="7AE46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申报情形</w:t>
            </w:r>
          </w:p>
        </w:tc>
        <w:tc>
          <w:tcPr>
            <w:tcW w:w="2927" w:type="dxa"/>
            <w:noWrap w:val="0"/>
            <w:vAlign w:val="center"/>
          </w:tcPr>
          <w:p w14:paraId="2940D6D0">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首次申报项目</w:t>
            </w:r>
          </w:p>
          <w:p w14:paraId="090BB5CB">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不予批准后再次申报项目</w:t>
            </w:r>
          </w:p>
          <w:p w14:paraId="3A433F45">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超五年重新审核项目</w:t>
            </w:r>
          </w:p>
          <w:p w14:paraId="6677A141">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重大变动重新报批项目</w:t>
            </w:r>
          </w:p>
        </w:tc>
      </w:tr>
      <w:tr w14:paraId="2922E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38" w:type="dxa"/>
            <w:noWrap w:val="0"/>
            <w:tcMar>
              <w:top w:w="16" w:type="dxa"/>
              <w:left w:w="16" w:type="dxa"/>
              <w:right w:w="16" w:type="dxa"/>
            </w:tcMar>
            <w:vAlign w:val="center"/>
          </w:tcPr>
          <w:p w14:paraId="0D3FF1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项目审批（核准/</w:t>
            </w:r>
          </w:p>
          <w:p w14:paraId="7DEF4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备案）部门（选填）</w:t>
            </w:r>
          </w:p>
        </w:tc>
        <w:tc>
          <w:tcPr>
            <w:tcW w:w="2010" w:type="dxa"/>
            <w:noWrap w:val="0"/>
            <w:vAlign w:val="center"/>
          </w:tcPr>
          <w:p w14:paraId="1FE1185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w:t>
            </w:r>
          </w:p>
        </w:tc>
        <w:tc>
          <w:tcPr>
            <w:tcW w:w="1995" w:type="dxa"/>
            <w:noWrap w:val="0"/>
            <w:vAlign w:val="center"/>
          </w:tcPr>
          <w:p w14:paraId="508397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项目审批（核准/</w:t>
            </w:r>
          </w:p>
          <w:p w14:paraId="3DE52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备案）文号（选填）</w:t>
            </w:r>
          </w:p>
        </w:tc>
        <w:tc>
          <w:tcPr>
            <w:tcW w:w="2927" w:type="dxa"/>
            <w:noWrap w:val="0"/>
            <w:vAlign w:val="center"/>
          </w:tcPr>
          <w:p w14:paraId="4C53318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w:t>
            </w:r>
          </w:p>
        </w:tc>
      </w:tr>
      <w:tr w14:paraId="3C5D3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2FB43E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总投资（万元）</w:t>
            </w:r>
          </w:p>
        </w:tc>
        <w:tc>
          <w:tcPr>
            <w:tcW w:w="2010" w:type="dxa"/>
            <w:noWrap w:val="0"/>
            <w:vAlign w:val="center"/>
          </w:tcPr>
          <w:p w14:paraId="0E38E9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30</w:t>
            </w:r>
          </w:p>
        </w:tc>
        <w:tc>
          <w:tcPr>
            <w:tcW w:w="1995" w:type="dxa"/>
            <w:noWrap w:val="0"/>
            <w:tcMar>
              <w:top w:w="16" w:type="dxa"/>
              <w:left w:w="16" w:type="dxa"/>
              <w:right w:w="16" w:type="dxa"/>
            </w:tcMar>
            <w:vAlign w:val="center"/>
          </w:tcPr>
          <w:p w14:paraId="17578D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环保投资（万元）</w:t>
            </w:r>
          </w:p>
        </w:tc>
        <w:tc>
          <w:tcPr>
            <w:tcW w:w="2927" w:type="dxa"/>
            <w:noWrap w:val="0"/>
            <w:vAlign w:val="center"/>
          </w:tcPr>
          <w:p w14:paraId="47C9BA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3</w:t>
            </w:r>
          </w:p>
        </w:tc>
      </w:tr>
      <w:tr w14:paraId="3F80D1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8" w:type="dxa"/>
            <w:noWrap w:val="0"/>
            <w:tcMar>
              <w:top w:w="16" w:type="dxa"/>
              <w:left w:w="16" w:type="dxa"/>
              <w:right w:w="16" w:type="dxa"/>
            </w:tcMar>
            <w:vAlign w:val="center"/>
          </w:tcPr>
          <w:p w14:paraId="449A4C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环保投资占比（%）</w:t>
            </w:r>
          </w:p>
        </w:tc>
        <w:tc>
          <w:tcPr>
            <w:tcW w:w="2010" w:type="dxa"/>
            <w:noWrap w:val="0"/>
            <w:vAlign w:val="center"/>
          </w:tcPr>
          <w:p w14:paraId="039B74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10</w:t>
            </w:r>
          </w:p>
        </w:tc>
        <w:tc>
          <w:tcPr>
            <w:tcW w:w="1995" w:type="dxa"/>
            <w:noWrap w:val="0"/>
            <w:tcMar>
              <w:top w:w="16" w:type="dxa"/>
              <w:left w:w="16" w:type="dxa"/>
              <w:right w:w="16" w:type="dxa"/>
            </w:tcMar>
            <w:vAlign w:val="center"/>
          </w:tcPr>
          <w:p w14:paraId="0184F2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施工工期</w:t>
            </w:r>
          </w:p>
        </w:tc>
        <w:tc>
          <w:tcPr>
            <w:tcW w:w="2927" w:type="dxa"/>
            <w:noWrap w:val="0"/>
            <w:vAlign w:val="center"/>
          </w:tcPr>
          <w:p w14:paraId="73252B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val="en-US" w:eastAsia="zh-CN"/>
              </w:rPr>
              <w:t>个月</w:t>
            </w:r>
          </w:p>
        </w:tc>
      </w:tr>
      <w:tr w14:paraId="35832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38" w:type="dxa"/>
            <w:noWrap w:val="0"/>
            <w:tcMar>
              <w:top w:w="16" w:type="dxa"/>
              <w:left w:w="16" w:type="dxa"/>
              <w:right w:w="16" w:type="dxa"/>
            </w:tcMar>
            <w:vAlign w:val="center"/>
          </w:tcPr>
          <w:p w14:paraId="5B8FC7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是否开工建设</w:t>
            </w:r>
          </w:p>
        </w:tc>
        <w:tc>
          <w:tcPr>
            <w:tcW w:w="2010" w:type="dxa"/>
            <w:noWrap w:val="0"/>
            <w:vAlign w:val="center"/>
          </w:tcPr>
          <w:p w14:paraId="1ED76A6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否</w:t>
            </w:r>
          </w:p>
          <w:p w14:paraId="651F991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是：</w:t>
            </w:r>
            <w:r>
              <w:rPr>
                <w:rFonts w:hint="eastAsia" w:ascii="Times New Roman" w:hAnsi="Times New Roman" w:eastAsia="宋体" w:cs="Times New Roman"/>
                <w:color w:val="auto"/>
                <w:sz w:val="24"/>
                <w:szCs w:val="24"/>
                <w:highlight w:val="none"/>
                <w:u w:val="none" w:color="auto"/>
                <w:lang w:val="en-US" w:eastAsia="zh-CN"/>
              </w:rPr>
              <w:t>项目</w:t>
            </w:r>
            <w:r>
              <w:rPr>
                <w:rFonts w:hint="eastAsia" w:cs="Times New Roman"/>
                <w:color w:val="auto"/>
                <w:sz w:val="24"/>
                <w:szCs w:val="24"/>
                <w:highlight w:val="none"/>
                <w:u w:val="none" w:color="auto"/>
                <w:lang w:val="en-US" w:eastAsia="zh-CN"/>
              </w:rPr>
              <w:t>3G、3F、4G、4F堆场</w:t>
            </w:r>
            <w:r>
              <w:rPr>
                <w:rFonts w:hint="eastAsia" w:ascii="Times New Roman" w:hAnsi="Times New Roman" w:eastAsia="宋体" w:cs="Times New Roman"/>
                <w:color w:val="auto"/>
                <w:sz w:val="24"/>
                <w:szCs w:val="24"/>
                <w:highlight w:val="none"/>
                <w:u w:val="none" w:color="auto"/>
                <w:lang w:val="en-US" w:eastAsia="zh-CN"/>
              </w:rPr>
              <w:t>已</w:t>
            </w:r>
            <w:r>
              <w:rPr>
                <w:rFonts w:hint="eastAsia" w:cs="Times New Roman"/>
                <w:color w:val="auto"/>
                <w:sz w:val="24"/>
                <w:szCs w:val="24"/>
                <w:highlight w:val="none"/>
                <w:u w:val="none" w:color="auto"/>
                <w:lang w:val="en-US" w:eastAsia="zh-CN"/>
              </w:rPr>
              <w:t>改</w:t>
            </w:r>
            <w:r>
              <w:rPr>
                <w:rFonts w:hint="eastAsia" w:ascii="Times New Roman" w:hAnsi="Times New Roman" w:eastAsia="宋体" w:cs="Times New Roman"/>
                <w:color w:val="auto"/>
                <w:sz w:val="24"/>
                <w:szCs w:val="24"/>
                <w:highlight w:val="none"/>
                <w:u w:val="none" w:color="auto"/>
                <w:lang w:val="en-US" w:eastAsia="zh-CN"/>
              </w:rPr>
              <w:t>建</w:t>
            </w:r>
            <w:r>
              <w:rPr>
                <w:rFonts w:hint="eastAsia" w:cs="Times New Roman"/>
                <w:color w:val="auto"/>
                <w:sz w:val="24"/>
                <w:szCs w:val="24"/>
                <w:highlight w:val="none"/>
                <w:u w:val="none" w:color="auto"/>
                <w:lang w:val="en-US" w:eastAsia="zh-CN"/>
              </w:rPr>
              <w:t>完成</w:t>
            </w:r>
          </w:p>
        </w:tc>
        <w:tc>
          <w:tcPr>
            <w:tcW w:w="1995" w:type="dxa"/>
            <w:noWrap w:val="0"/>
            <w:tcMar>
              <w:top w:w="16" w:type="dxa"/>
              <w:left w:w="16" w:type="dxa"/>
              <w:right w:w="16" w:type="dxa"/>
            </w:tcMar>
            <w:vAlign w:val="center"/>
          </w:tcPr>
          <w:p w14:paraId="6D756F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4"/>
                <w:szCs w:val="24"/>
                <w:highlight w:val="none"/>
                <w:u w:val="none" w:color="auto"/>
              </w:rPr>
            </w:pPr>
            <w:r>
              <w:rPr>
                <w:rFonts w:hint="default" w:ascii="Times New Roman" w:hAnsi="Times New Roman" w:eastAsia="宋体" w:cs="Times New Roman"/>
                <w:color w:val="auto"/>
                <w:spacing w:val="-6"/>
                <w:sz w:val="24"/>
                <w:szCs w:val="24"/>
                <w:highlight w:val="none"/>
                <w:u w:val="none" w:color="auto"/>
              </w:rPr>
              <w:t>用地（用海）</w:t>
            </w:r>
          </w:p>
          <w:p w14:paraId="58E8A1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pacing w:val="-6"/>
                <w:sz w:val="24"/>
                <w:szCs w:val="24"/>
                <w:highlight w:val="none"/>
                <w:u w:val="none" w:color="auto"/>
              </w:rPr>
              <w:t>面积（m</w:t>
            </w:r>
            <w:r>
              <w:rPr>
                <w:rFonts w:hint="default" w:ascii="Times New Roman" w:hAnsi="Times New Roman" w:eastAsia="宋体" w:cs="Times New Roman"/>
                <w:color w:val="auto"/>
                <w:spacing w:val="-6"/>
                <w:sz w:val="24"/>
                <w:szCs w:val="24"/>
                <w:highlight w:val="none"/>
                <w:u w:val="none" w:color="auto"/>
                <w:vertAlign w:val="superscript"/>
              </w:rPr>
              <w:t>2</w:t>
            </w:r>
            <w:r>
              <w:rPr>
                <w:rFonts w:hint="default" w:ascii="Times New Roman" w:hAnsi="Times New Roman" w:eastAsia="宋体" w:cs="Times New Roman"/>
                <w:color w:val="auto"/>
                <w:spacing w:val="-6"/>
                <w:sz w:val="24"/>
                <w:szCs w:val="24"/>
                <w:highlight w:val="none"/>
                <w:u w:val="none" w:color="auto"/>
              </w:rPr>
              <w:t>）</w:t>
            </w:r>
          </w:p>
        </w:tc>
        <w:tc>
          <w:tcPr>
            <w:tcW w:w="2927" w:type="dxa"/>
            <w:noWrap w:val="0"/>
            <w:vAlign w:val="center"/>
          </w:tcPr>
          <w:p w14:paraId="2983ED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30800</w:t>
            </w:r>
          </w:p>
        </w:tc>
      </w:tr>
      <w:tr w14:paraId="1D879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55B9281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专项评价设置情况</w:t>
            </w:r>
          </w:p>
        </w:tc>
        <w:tc>
          <w:tcPr>
            <w:tcW w:w="6932" w:type="dxa"/>
            <w:gridSpan w:val="3"/>
            <w:noWrap w:val="0"/>
            <w:vAlign w:val="center"/>
          </w:tcPr>
          <w:p w14:paraId="209F9E0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无</w:t>
            </w:r>
          </w:p>
        </w:tc>
      </w:tr>
      <w:tr w14:paraId="3DE0E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938" w:type="dxa"/>
            <w:noWrap w:val="0"/>
            <w:vAlign w:val="center"/>
          </w:tcPr>
          <w:p w14:paraId="683ED4A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规划情况</w:t>
            </w:r>
          </w:p>
        </w:tc>
        <w:tc>
          <w:tcPr>
            <w:tcW w:w="6932" w:type="dxa"/>
            <w:gridSpan w:val="3"/>
            <w:noWrap w:val="0"/>
            <w:vAlign w:val="center"/>
          </w:tcPr>
          <w:p w14:paraId="4240F8F4">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eastAsia" w:cs="Times New Roman"/>
                <w:b/>
                <w:bCs/>
                <w:color w:val="auto"/>
                <w:kern w:val="2"/>
                <w:sz w:val="24"/>
                <w:szCs w:val="24"/>
                <w:highlight w:val="none"/>
                <w:u w:val="none" w:color="auto"/>
                <w:lang w:val="en-US" w:eastAsia="zh-CN" w:bidi="ar-SA"/>
              </w:rPr>
            </w:pPr>
            <w:r>
              <w:rPr>
                <w:rFonts w:hint="eastAsia" w:cs="Times New Roman"/>
                <w:b/>
                <w:bCs/>
                <w:color w:val="auto"/>
                <w:kern w:val="2"/>
                <w:sz w:val="24"/>
                <w:szCs w:val="24"/>
                <w:highlight w:val="none"/>
                <w:u w:val="none" w:color="auto"/>
                <w:lang w:val="en-US" w:eastAsia="zh-CN" w:bidi="ar-SA"/>
              </w:rPr>
              <w:t>1、</w:t>
            </w:r>
            <w:r>
              <w:rPr>
                <w:rFonts w:hint="eastAsia" w:ascii="Times New Roman" w:hAnsi="Times New Roman" w:eastAsia="宋体" w:cs="Times New Roman"/>
                <w:b/>
                <w:bCs/>
                <w:color w:val="auto"/>
                <w:kern w:val="2"/>
                <w:sz w:val="24"/>
                <w:szCs w:val="24"/>
                <w:highlight w:val="none"/>
                <w:u w:val="none" w:color="auto"/>
                <w:lang w:val="en-US" w:eastAsia="zh-CN" w:bidi="ar-SA"/>
              </w:rPr>
              <w:t>《</w:t>
            </w:r>
            <w:r>
              <w:rPr>
                <w:rFonts w:hint="default" w:ascii="Times New Roman" w:hAnsi="Times New Roman" w:eastAsia="宋体" w:cs="Times New Roman"/>
                <w:b/>
                <w:bCs/>
                <w:color w:val="auto"/>
                <w:kern w:val="2"/>
                <w:sz w:val="24"/>
                <w:szCs w:val="24"/>
                <w:highlight w:val="none"/>
                <w:u w:val="none" w:color="auto"/>
                <w:lang w:val="en-US" w:eastAsia="zh-CN" w:bidi="ar-SA"/>
              </w:rPr>
              <w:t>钦州港总体规划（2035年）</w:t>
            </w:r>
            <w:r>
              <w:rPr>
                <w:rFonts w:hint="eastAsia" w:ascii="Times New Roman" w:hAnsi="Times New Roman" w:eastAsia="宋体" w:cs="Times New Roman"/>
                <w:b/>
                <w:bCs/>
                <w:color w:val="auto"/>
                <w:kern w:val="2"/>
                <w:sz w:val="24"/>
                <w:szCs w:val="24"/>
                <w:highlight w:val="none"/>
                <w:u w:val="none" w:color="auto"/>
                <w:lang w:val="en-US" w:eastAsia="zh-CN" w:bidi="ar-SA"/>
              </w:rPr>
              <w:t>》</w:t>
            </w:r>
          </w:p>
          <w:p w14:paraId="02F96E40">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规划名称：</w:t>
            </w:r>
            <w:r>
              <w:rPr>
                <w:rFonts w:hint="eastAsia"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eastAsia="宋体" w:cs="Times New Roman"/>
                <w:color w:val="auto"/>
                <w:kern w:val="2"/>
                <w:sz w:val="24"/>
                <w:szCs w:val="24"/>
                <w:highlight w:val="none"/>
                <w:u w:val="none" w:color="auto"/>
                <w:lang w:val="en-US" w:eastAsia="zh-CN" w:bidi="ar-SA"/>
              </w:rPr>
              <w:t>钦州港总体规划（2035年）</w:t>
            </w:r>
            <w:r>
              <w:rPr>
                <w:rFonts w:hint="eastAsia" w:ascii="Times New Roman" w:hAnsi="Times New Roman" w:eastAsia="宋体" w:cs="Times New Roman"/>
                <w:color w:val="auto"/>
                <w:kern w:val="2"/>
                <w:sz w:val="24"/>
                <w:szCs w:val="24"/>
                <w:highlight w:val="none"/>
                <w:u w:val="none" w:color="auto"/>
                <w:lang w:val="en-US" w:eastAsia="zh-CN" w:bidi="ar-SA"/>
              </w:rPr>
              <w:t>》</w:t>
            </w:r>
          </w:p>
          <w:p w14:paraId="730E808F">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审批机关：广西壮族自治区人民政府</w:t>
            </w:r>
          </w:p>
          <w:p w14:paraId="400781F7">
            <w:pPr>
              <w:keepNext w:val="0"/>
              <w:keepLines w:val="0"/>
              <w:suppressLineNumbers w:val="0"/>
              <w:autoSpaceDE w:val="0"/>
              <w:autoSpaceDN w:val="0"/>
              <w:adjustRightInd w:val="0"/>
              <w:snapToGrid w:val="0"/>
              <w:spacing w:before="0" w:beforeAutospacing="0" w:after="0" w:afterLines="0" w:afterAutospacing="0" w:line="360" w:lineRule="auto"/>
              <w:ind w:left="0" w:right="0"/>
              <w:jc w:val="left"/>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t>批文件名称及文号：《广西壮族自治区人民政府关于钦州港总体规划（2035年）的批复》，桂政函〔2020〕92号</w:t>
            </w:r>
          </w:p>
          <w:p w14:paraId="46D1D70E">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b/>
                <w:bCs/>
                <w:color w:val="auto"/>
                <w:kern w:val="2"/>
                <w:sz w:val="24"/>
                <w:highlight w:val="none"/>
                <w:u w:val="none" w:color="auto"/>
                <w:lang w:val="en-US" w:eastAsia="zh-CN"/>
              </w:rPr>
            </w:pPr>
            <w:r>
              <w:rPr>
                <w:rFonts w:hint="eastAsia" w:cs="Times New Roman"/>
                <w:b/>
                <w:bCs/>
                <w:color w:val="auto"/>
                <w:kern w:val="2"/>
                <w:sz w:val="24"/>
                <w:szCs w:val="24"/>
                <w:highlight w:val="none"/>
                <w:u w:val="none" w:color="auto"/>
                <w:lang w:val="en-US" w:eastAsia="zh-CN" w:bidi="ar-SA"/>
              </w:rPr>
              <w:t>2、</w:t>
            </w:r>
            <w:r>
              <w:rPr>
                <w:rFonts w:hint="default" w:ascii="Times New Roman" w:hAnsi="Times New Roman" w:eastAsia="宋体" w:cs="Times New Roman"/>
                <w:b/>
                <w:bCs/>
                <w:color w:val="auto"/>
                <w:kern w:val="2"/>
                <w:sz w:val="24"/>
                <w:highlight w:val="none"/>
                <w:u w:val="none" w:color="auto"/>
                <w:lang w:val="en-US" w:eastAsia="zh-CN"/>
              </w:rPr>
              <w:t>《北部湾港总体规划（2035年）》</w:t>
            </w:r>
          </w:p>
          <w:p w14:paraId="5DB0022A">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lang w:val="en-US" w:eastAsia="zh-CN"/>
              </w:rPr>
            </w:pPr>
            <w:r>
              <w:rPr>
                <w:rFonts w:hint="default" w:ascii="Times New Roman" w:hAnsi="Times New Roman" w:eastAsia="宋体" w:cs="Times New Roman"/>
                <w:color w:val="auto"/>
                <w:kern w:val="2"/>
                <w:sz w:val="24"/>
                <w:highlight w:val="none"/>
                <w:u w:val="none" w:color="auto"/>
                <w:lang w:val="en-US" w:eastAsia="zh-CN"/>
              </w:rPr>
              <w:t>规划名称：《北部湾港总体规划（2035年）》</w:t>
            </w:r>
          </w:p>
          <w:p w14:paraId="1D92FE96">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lang w:val="en-US" w:eastAsia="zh-CN"/>
              </w:rPr>
            </w:pPr>
            <w:r>
              <w:rPr>
                <w:rFonts w:hint="default" w:ascii="Times New Roman" w:hAnsi="Times New Roman" w:eastAsia="宋体" w:cs="Times New Roman"/>
                <w:color w:val="auto"/>
                <w:kern w:val="2"/>
                <w:sz w:val="24"/>
                <w:highlight w:val="none"/>
                <w:u w:val="none" w:color="auto"/>
                <w:lang w:val="en-US" w:eastAsia="zh-CN"/>
              </w:rPr>
              <w:t>审批机关：</w:t>
            </w:r>
            <w:r>
              <w:rPr>
                <w:rFonts w:hint="eastAsia" w:ascii="Times New Roman" w:hAnsi="Times New Roman" w:eastAsia="宋体" w:cs="Times New Roman"/>
                <w:color w:val="auto"/>
                <w:kern w:val="2"/>
                <w:sz w:val="24"/>
                <w:highlight w:val="none"/>
                <w:u w:val="none" w:color="auto"/>
                <w:lang w:val="en-US" w:eastAsia="zh-CN"/>
              </w:rPr>
              <w:t>中华人民共和国交通运输部</w:t>
            </w:r>
          </w:p>
          <w:p w14:paraId="3A51D611">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highlight w:val="none"/>
                <w:u w:val="none" w:color="auto"/>
                <w:lang w:val="en-US" w:eastAsia="zh-CN"/>
              </w:rPr>
              <w:t>批文件名称及文号：交规划函</w:t>
            </w:r>
            <w:r>
              <w:rPr>
                <w:rFonts w:hint="default" w:ascii="Times New Roman" w:hAnsi="Times New Roman" w:eastAsia="宋体" w:cs="Times New Roman"/>
                <w:color w:val="auto"/>
                <w:kern w:val="2"/>
                <w:sz w:val="24"/>
                <w:highlight w:val="none"/>
                <w:u w:val="none" w:color="auto"/>
              </w:rPr>
              <w:t>〔202</w:t>
            </w:r>
            <w:r>
              <w:rPr>
                <w:rFonts w:hint="eastAsia" w:ascii="Times New Roman" w:hAnsi="Times New Roman" w:eastAsia="宋体" w:cs="Times New Roman"/>
                <w:color w:val="auto"/>
                <w:kern w:val="2"/>
                <w:sz w:val="24"/>
                <w:highlight w:val="none"/>
                <w:u w:val="none" w:color="auto"/>
                <w:lang w:val="en-US" w:eastAsia="zh-CN"/>
              </w:rPr>
              <w:t>4</w:t>
            </w:r>
            <w:r>
              <w:rPr>
                <w:rFonts w:hint="default" w:ascii="Times New Roman" w:hAnsi="Times New Roman" w:eastAsia="宋体" w:cs="Times New Roman"/>
                <w:color w:val="auto"/>
                <w:kern w:val="2"/>
                <w:sz w:val="24"/>
                <w:highlight w:val="none"/>
                <w:u w:val="none" w:color="auto"/>
              </w:rPr>
              <w:t>〕</w:t>
            </w:r>
            <w:r>
              <w:rPr>
                <w:rFonts w:hint="default" w:ascii="Times New Roman" w:hAnsi="Times New Roman" w:eastAsia="宋体" w:cs="Times New Roman"/>
                <w:color w:val="auto"/>
                <w:kern w:val="2"/>
                <w:sz w:val="24"/>
                <w:highlight w:val="none"/>
                <w:u w:val="none" w:color="auto"/>
                <w:lang w:val="en-US" w:eastAsia="zh-CN"/>
              </w:rPr>
              <w:t>314号</w:t>
            </w:r>
          </w:p>
        </w:tc>
      </w:tr>
      <w:tr w14:paraId="3FF38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8" w:type="dxa"/>
            <w:noWrap w:val="0"/>
            <w:vAlign w:val="center"/>
          </w:tcPr>
          <w:p w14:paraId="1537014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规划环境影响</w:t>
            </w:r>
          </w:p>
          <w:p w14:paraId="70AD1F1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评价情况</w:t>
            </w:r>
          </w:p>
        </w:tc>
        <w:tc>
          <w:tcPr>
            <w:tcW w:w="6932" w:type="dxa"/>
            <w:gridSpan w:val="3"/>
            <w:noWrap w:val="0"/>
            <w:vAlign w:val="center"/>
          </w:tcPr>
          <w:p w14:paraId="1DF392F9">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b/>
                <w:bCs/>
                <w:color w:val="auto"/>
                <w:kern w:val="2"/>
                <w:sz w:val="24"/>
                <w:highlight w:val="none"/>
                <w:u w:val="none" w:color="auto"/>
              </w:rPr>
            </w:pPr>
            <w:r>
              <w:rPr>
                <w:rFonts w:hint="eastAsia" w:ascii="Times New Roman" w:hAnsi="Times New Roman" w:cs="Times New Roman"/>
                <w:b/>
                <w:bCs/>
                <w:color w:val="auto"/>
                <w:kern w:val="2"/>
                <w:sz w:val="24"/>
                <w:highlight w:val="none"/>
                <w:u w:val="none" w:color="auto"/>
                <w:lang w:val="en-US" w:eastAsia="zh-CN"/>
              </w:rPr>
              <w:t>1、</w:t>
            </w:r>
            <w:r>
              <w:rPr>
                <w:rFonts w:hint="default" w:ascii="Times New Roman" w:hAnsi="Times New Roman" w:eastAsia="宋体" w:cs="Times New Roman"/>
                <w:b/>
                <w:bCs/>
                <w:color w:val="auto"/>
                <w:kern w:val="2"/>
                <w:sz w:val="24"/>
                <w:highlight w:val="none"/>
                <w:u w:val="none" w:color="auto"/>
              </w:rPr>
              <w:t>《钦州港总体规划（2019－2035年）环境影响报告书》</w:t>
            </w:r>
          </w:p>
          <w:p w14:paraId="2ABE6E0D">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rPr>
            </w:pPr>
            <w:r>
              <w:rPr>
                <w:rFonts w:hint="default" w:ascii="Times New Roman" w:hAnsi="Times New Roman" w:eastAsia="宋体" w:cs="Times New Roman"/>
                <w:color w:val="auto"/>
                <w:kern w:val="2"/>
                <w:sz w:val="24"/>
                <w:highlight w:val="none"/>
                <w:u w:val="none" w:color="auto"/>
              </w:rPr>
              <w:t>文件名称：《钦州港总体规划（2019－2035年）环境影响报告书》</w:t>
            </w:r>
          </w:p>
          <w:p w14:paraId="11E2FBD0">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rPr>
            </w:pPr>
            <w:r>
              <w:rPr>
                <w:rFonts w:hint="default" w:ascii="Times New Roman" w:hAnsi="Times New Roman" w:eastAsia="宋体" w:cs="Times New Roman"/>
                <w:color w:val="auto"/>
                <w:kern w:val="2"/>
                <w:sz w:val="24"/>
                <w:highlight w:val="none"/>
                <w:u w:val="none" w:color="auto"/>
              </w:rPr>
              <w:t>规划年限：2019年~2035年</w:t>
            </w:r>
          </w:p>
          <w:p w14:paraId="191CDDAE">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rPr>
            </w:pPr>
            <w:r>
              <w:rPr>
                <w:rFonts w:hint="default" w:ascii="Times New Roman" w:hAnsi="Times New Roman" w:eastAsia="宋体" w:cs="Times New Roman"/>
                <w:color w:val="auto"/>
                <w:kern w:val="2"/>
                <w:sz w:val="24"/>
                <w:highlight w:val="none"/>
                <w:u w:val="none" w:color="auto"/>
              </w:rPr>
              <w:t>召集审查机关：广西壮族自治区生态环境厅</w:t>
            </w:r>
          </w:p>
          <w:p w14:paraId="0E5AC5A5">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rPr>
            </w:pPr>
            <w:r>
              <w:rPr>
                <w:rFonts w:hint="default" w:ascii="Times New Roman" w:hAnsi="Times New Roman" w:eastAsia="宋体" w:cs="Times New Roman"/>
                <w:color w:val="auto"/>
                <w:kern w:val="2"/>
                <w:sz w:val="24"/>
                <w:highlight w:val="none"/>
                <w:u w:val="none" w:color="auto"/>
              </w:rPr>
              <w:t>审批文件名称及文号：《广西壮族自治区生态环境厅关于印发钦州港总体规划（2019－2035年）环境影响报告书审查意见的函》，桂环函〔2020〕264号</w:t>
            </w:r>
          </w:p>
          <w:p w14:paraId="74585CED">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b/>
                <w:bCs/>
                <w:color w:val="auto"/>
                <w:kern w:val="2"/>
                <w:sz w:val="24"/>
                <w:highlight w:val="none"/>
                <w:u w:val="none" w:color="auto"/>
              </w:rPr>
            </w:pPr>
            <w:r>
              <w:rPr>
                <w:rFonts w:hint="eastAsia" w:ascii="Times New Roman" w:hAnsi="Times New Roman" w:cs="Times New Roman"/>
                <w:b/>
                <w:bCs/>
                <w:color w:val="auto"/>
                <w:kern w:val="2"/>
                <w:sz w:val="24"/>
                <w:highlight w:val="none"/>
                <w:u w:val="none" w:color="auto"/>
                <w:lang w:val="en-US" w:eastAsia="zh-CN"/>
              </w:rPr>
              <w:t>2、</w:t>
            </w:r>
            <w:r>
              <w:rPr>
                <w:rFonts w:hint="default" w:ascii="Times New Roman" w:hAnsi="Times New Roman" w:eastAsia="宋体" w:cs="Times New Roman"/>
                <w:b/>
                <w:bCs/>
                <w:color w:val="auto"/>
                <w:kern w:val="2"/>
                <w:sz w:val="24"/>
                <w:highlight w:val="none"/>
                <w:u w:val="none" w:color="auto"/>
              </w:rPr>
              <w:t>《北部湾港总体规划（2035年）环境影响报告书》</w:t>
            </w:r>
          </w:p>
          <w:p w14:paraId="78436E3A">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rPr>
            </w:pPr>
            <w:r>
              <w:rPr>
                <w:rFonts w:hint="default" w:ascii="Times New Roman" w:hAnsi="Times New Roman" w:eastAsia="宋体" w:cs="Times New Roman"/>
                <w:color w:val="auto"/>
                <w:kern w:val="2"/>
                <w:sz w:val="24"/>
                <w:highlight w:val="none"/>
                <w:u w:val="none" w:color="auto"/>
              </w:rPr>
              <w:t>文件名称：《北部湾港总体规划（2035年）环境影响报告书》</w:t>
            </w:r>
          </w:p>
          <w:p w14:paraId="1413FAE6">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2"/>
                <w:sz w:val="24"/>
                <w:highlight w:val="none"/>
                <w:u w:val="none" w:color="auto"/>
              </w:rPr>
            </w:pPr>
            <w:r>
              <w:rPr>
                <w:rFonts w:hint="default" w:ascii="Times New Roman" w:hAnsi="Times New Roman" w:eastAsia="宋体" w:cs="Times New Roman"/>
                <w:color w:val="auto"/>
                <w:kern w:val="2"/>
                <w:sz w:val="24"/>
                <w:highlight w:val="none"/>
                <w:u w:val="none" w:color="auto"/>
              </w:rPr>
              <w:t>召集审查机关：中华人民共和国生态环境部</w:t>
            </w:r>
          </w:p>
          <w:p w14:paraId="05428BA2">
            <w:pPr>
              <w:pStyle w:val="21"/>
              <w:keepNext w:val="0"/>
              <w:keepLines w:val="0"/>
              <w:suppressLineNumbers w:val="0"/>
              <w:autoSpaceDE/>
              <w:autoSpaceDN/>
              <w:adjustRightInd w:val="0"/>
              <w:snapToGrid w:val="0"/>
              <w:spacing w:before="0" w:beforeAutospacing="0" w:after="0" w:afterLines="0" w:afterAutospacing="0" w:line="360" w:lineRule="auto"/>
              <w:ind w:left="0" w:right="0" w:firstLine="0" w:firstLineChars="0"/>
              <w:jc w:val="left"/>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2"/>
                <w:sz w:val="24"/>
                <w:highlight w:val="none"/>
                <w:u w:val="none" w:color="auto"/>
              </w:rPr>
              <w:t>审批文件名称及文号：环审〔2023〕125号</w:t>
            </w:r>
          </w:p>
        </w:tc>
      </w:tr>
      <w:tr w14:paraId="44C6F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938" w:type="dxa"/>
            <w:noWrap w:val="0"/>
            <w:vAlign w:val="center"/>
          </w:tcPr>
          <w:p w14:paraId="011BC63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规划及规划环境</w:t>
            </w:r>
          </w:p>
          <w:p w14:paraId="7070901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lang w:val="en-US" w:eastAsia="zh-CN"/>
              </w:rPr>
              <w:t>影响评价符合性分析</w:t>
            </w:r>
          </w:p>
        </w:tc>
        <w:tc>
          <w:tcPr>
            <w:tcW w:w="6932" w:type="dxa"/>
            <w:gridSpan w:val="3"/>
            <w:noWrap w:val="0"/>
            <w:vAlign w:val="center"/>
          </w:tcPr>
          <w:p w14:paraId="7BDE0DD4">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1、与《钦州港总体规划（2035年）》相符性分析</w:t>
            </w:r>
          </w:p>
          <w:p w14:paraId="1CF61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根据《钦州港总体规划（2035年）》：钦州港划分为金谷港区、大榄坪港区、三墩港区等重点发展枢纽港区，以及龙门港点、茅岭港点、平山港点、沙井港点和三娘湾港点等</w:t>
            </w:r>
            <w:r>
              <w:rPr>
                <w:rFonts w:hint="default" w:ascii="Times New Roman" w:hAnsi="Times New Roman" w:eastAsia="宋体" w:cs="Times New Roman"/>
                <w:caps w:val="0"/>
                <w:color w:val="auto"/>
                <w:sz w:val="24"/>
                <w:highlight w:val="none"/>
                <w:u w:val="none" w:color="auto"/>
              </w:rPr>
              <w:t>。大榄坪港区由大榄坪作业区、大榄坪南作业区和大环作业区组成。</w:t>
            </w:r>
            <w:r>
              <w:rPr>
                <w:rFonts w:hint="default" w:ascii="Times New Roman" w:hAnsi="Times New Roman" w:eastAsia="宋体" w:cs="Times New Roman"/>
                <w:b w:val="0"/>
                <w:bCs w:val="0"/>
                <w:color w:val="auto"/>
                <w:sz w:val="24"/>
                <w:highlight w:val="none"/>
                <w:u w:val="none" w:color="auto"/>
                <w:lang w:val="en-US" w:eastAsia="zh-CN"/>
              </w:rPr>
              <w:t>本项</w:t>
            </w:r>
            <w:r>
              <w:rPr>
                <w:rFonts w:hint="default" w:ascii="Times New Roman" w:hAnsi="Times New Roman" w:eastAsia="宋体" w:cs="Times New Roman"/>
                <w:caps w:val="0"/>
                <w:color w:val="auto"/>
                <w:sz w:val="24"/>
                <w:highlight w:val="none"/>
                <w:u w:val="none" w:color="auto"/>
                <w:lang w:val="en-US" w:eastAsia="zh-CN"/>
              </w:rPr>
              <w:t>目位于</w:t>
            </w:r>
            <w:r>
              <w:rPr>
                <w:rFonts w:hint="default" w:ascii="Times New Roman" w:hAnsi="Times New Roman" w:eastAsia="宋体" w:cs="Times New Roman"/>
                <w:caps w:val="0"/>
                <w:color w:val="auto"/>
                <w:sz w:val="24"/>
                <w:highlight w:val="none"/>
                <w:u w:val="none" w:color="auto"/>
              </w:rPr>
              <w:t>钦州港大榄坪南作业区</w:t>
            </w:r>
            <w:r>
              <w:rPr>
                <w:rFonts w:hint="default" w:ascii="Times New Roman" w:hAnsi="Times New Roman" w:eastAsia="宋体" w:cs="Times New Roman"/>
                <w:caps w:val="0"/>
                <w:color w:val="auto"/>
                <w:sz w:val="24"/>
                <w:highlight w:val="none"/>
                <w:u w:val="none" w:color="auto"/>
                <w:lang w:val="en-US" w:eastAsia="zh-CN"/>
              </w:rPr>
              <w:t>，属于</w:t>
            </w:r>
            <w:r>
              <w:rPr>
                <w:rFonts w:hint="default" w:ascii="Times New Roman" w:hAnsi="Times New Roman" w:eastAsia="宋体" w:cs="Times New Roman"/>
                <w:caps w:val="0"/>
                <w:color w:val="auto"/>
                <w:sz w:val="24"/>
                <w:highlight w:val="none"/>
                <w:u w:val="none" w:color="auto"/>
              </w:rPr>
              <w:t>大榄</w:t>
            </w:r>
            <w:r>
              <w:rPr>
                <w:rFonts w:hint="default" w:ascii="Times New Roman" w:hAnsi="Times New Roman" w:eastAsia="宋体" w:cs="Times New Roman"/>
                <w:caps w:val="0"/>
                <w:color w:val="auto"/>
                <w:sz w:val="24"/>
                <w:szCs w:val="24"/>
                <w:highlight w:val="none"/>
                <w:u w:val="none" w:color="auto"/>
              </w:rPr>
              <w:t>坪</w:t>
            </w:r>
            <w:r>
              <w:rPr>
                <w:rFonts w:hint="eastAsia" w:ascii="Times New Roman" w:hAnsi="Times New Roman" w:eastAsia="宋体" w:cs="Times New Roman"/>
                <w:color w:val="auto"/>
                <w:sz w:val="24"/>
                <w:szCs w:val="24"/>
                <w:highlight w:val="none"/>
                <w:u w:val="none" w:color="auto"/>
                <w:lang w:val="en-US" w:eastAsia="zh-CN"/>
              </w:rPr>
              <w:t>港区</w:t>
            </w:r>
            <w:r>
              <w:rPr>
                <w:rFonts w:hint="default" w:ascii="Times New Roman" w:hAnsi="Times New Roman" w:eastAsia="宋体" w:cs="Times New Roman"/>
                <w:b w:val="0"/>
                <w:bCs w:val="0"/>
                <w:color w:val="auto"/>
                <w:sz w:val="24"/>
                <w:szCs w:val="24"/>
                <w:highlight w:val="none"/>
                <w:u w:val="none" w:color="auto"/>
                <w:lang w:val="en-US" w:eastAsia="zh-CN"/>
              </w:rPr>
              <w:t>范围。</w:t>
            </w:r>
          </w:p>
          <w:p w14:paraId="429701B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大榄坪港区：以集装箱运输为主，兼顾滚装和散杂货运输，承担平陆运河江海联运；依托中国</w:t>
            </w:r>
            <w:r>
              <w:rPr>
                <w:rFonts w:hint="eastAsia" w:ascii="Times New Roman" w:hAnsi="Times New Roman" w:eastAsia="宋体" w:cs="Times New Roman"/>
                <w:b w:val="0"/>
                <w:bCs w:val="0"/>
                <w:color w:val="auto"/>
                <w:sz w:val="24"/>
                <w:highlight w:val="none"/>
                <w:u w:val="none" w:color="auto"/>
                <w:lang w:val="en-US" w:eastAsia="zh-CN"/>
              </w:rPr>
              <w:t>（</w:t>
            </w:r>
            <w:r>
              <w:rPr>
                <w:rFonts w:hint="default" w:ascii="Times New Roman" w:hAnsi="Times New Roman" w:eastAsia="宋体" w:cs="Times New Roman"/>
                <w:b w:val="0"/>
                <w:bCs w:val="0"/>
                <w:color w:val="auto"/>
                <w:sz w:val="24"/>
                <w:highlight w:val="none"/>
                <w:u w:val="none" w:color="auto"/>
                <w:lang w:val="en-US" w:eastAsia="zh-CN"/>
              </w:rPr>
              <w:t>广西</w:t>
            </w:r>
            <w:r>
              <w:rPr>
                <w:rFonts w:hint="eastAsia" w:ascii="Times New Roman" w:hAnsi="Times New Roman" w:eastAsia="宋体" w:cs="Times New Roman"/>
                <w:b w:val="0"/>
                <w:bCs w:val="0"/>
                <w:color w:val="auto"/>
                <w:sz w:val="24"/>
                <w:highlight w:val="none"/>
                <w:u w:val="none" w:color="auto"/>
                <w:lang w:val="en-US" w:eastAsia="zh-CN"/>
              </w:rPr>
              <w:t>）</w:t>
            </w:r>
            <w:r>
              <w:rPr>
                <w:rFonts w:hint="default" w:ascii="Times New Roman" w:hAnsi="Times New Roman" w:eastAsia="宋体" w:cs="Times New Roman"/>
                <w:b w:val="0"/>
                <w:bCs w:val="0"/>
                <w:color w:val="auto"/>
                <w:sz w:val="24"/>
                <w:highlight w:val="none"/>
                <w:u w:val="none" w:color="auto"/>
                <w:lang w:val="en-US" w:eastAsia="zh-CN"/>
              </w:rPr>
              <w:t>自由贸易试验区钦州港片区，发展现代航运服务功能。</w:t>
            </w:r>
          </w:p>
          <w:p w14:paraId="1D8289FB">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大榄坪南作业区：</w:t>
            </w:r>
            <w:r>
              <w:rPr>
                <w:rFonts w:hint="default" w:ascii="Times New Roman" w:hAnsi="Times New Roman" w:eastAsia="宋体" w:cs="Times New Roman"/>
                <w:caps w:val="0"/>
                <w:color w:val="auto"/>
                <w:sz w:val="24"/>
                <w:highlight w:val="none"/>
                <w:u w:val="none" w:color="auto"/>
              </w:rPr>
              <w:t>大榄坪南作业区位于大榄坪以南、金鼓江口往东南至大环处，规划主要承担集装箱装卸任务，兼顾件杂货、干散货和滚装，建设港口支持系统。规划岸线8395m，其中深水岸线6882m，布置25个5000～200000吨级生产性泊位，陆域纵深230～1130m，陆域面积591.6hm</w:t>
            </w:r>
            <w:r>
              <w:rPr>
                <w:rFonts w:hint="default" w:ascii="Times New Roman" w:hAnsi="Times New Roman" w:eastAsia="宋体" w:cs="Times New Roman"/>
                <w:caps w:val="0"/>
                <w:color w:val="auto"/>
                <w:sz w:val="24"/>
                <w:highlight w:val="none"/>
                <w:u w:val="none" w:color="auto"/>
                <w:vertAlign w:val="superscript"/>
              </w:rPr>
              <w:t>2</w:t>
            </w:r>
            <w:r>
              <w:rPr>
                <w:rFonts w:hint="default" w:ascii="Times New Roman" w:hAnsi="Times New Roman" w:eastAsia="宋体" w:cs="Times New Roman"/>
                <w:caps w:val="0"/>
                <w:color w:val="auto"/>
                <w:sz w:val="24"/>
                <w:highlight w:val="none"/>
                <w:u w:val="none" w:color="auto"/>
              </w:rPr>
              <w:t>，码头面高程6.6～7.0m，年货物通过能力约7400万吨、商品车通过能力约37.2万辆。</w:t>
            </w:r>
          </w:p>
          <w:p w14:paraId="26398D29">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single" w:color="auto"/>
                <w:lang w:val="en-US" w:eastAsia="zh-CN"/>
              </w:rPr>
            </w:pPr>
            <w:r>
              <w:rPr>
                <w:rFonts w:hint="default" w:ascii="Times New Roman" w:hAnsi="Times New Roman" w:eastAsia="宋体" w:cs="Times New Roman"/>
                <w:b w:val="0"/>
                <w:bCs w:val="0"/>
                <w:color w:val="auto"/>
                <w:sz w:val="24"/>
                <w:highlight w:val="none"/>
                <w:u w:val="single" w:color="auto"/>
                <w:lang w:val="en-US" w:eastAsia="zh-CN"/>
              </w:rPr>
              <w:t>本项目为广西北部湾国际集装箱码头有限公司码头的8类、9类固态危险货物集装箱</w:t>
            </w:r>
            <w:r>
              <w:rPr>
                <w:rFonts w:hint="eastAsia" w:ascii="Times New Roman" w:hAnsi="Times New Roman" w:eastAsia="宋体" w:cs="Times New Roman"/>
                <w:b w:val="0"/>
                <w:bCs w:val="0"/>
                <w:color w:val="auto"/>
                <w:sz w:val="24"/>
                <w:highlight w:val="none"/>
                <w:u w:val="single" w:color="auto"/>
                <w:lang w:val="en-US" w:eastAsia="zh-CN"/>
              </w:rPr>
              <w:t>混堆作业</w:t>
            </w:r>
            <w:r>
              <w:rPr>
                <w:rFonts w:hint="default" w:ascii="Times New Roman" w:hAnsi="Times New Roman" w:eastAsia="宋体" w:cs="Times New Roman"/>
                <w:b w:val="0"/>
                <w:bCs w:val="0"/>
                <w:color w:val="auto"/>
                <w:sz w:val="24"/>
                <w:highlight w:val="none"/>
                <w:u w:val="single" w:color="auto"/>
                <w:lang w:val="en-US" w:eastAsia="zh-CN"/>
              </w:rPr>
              <w:t>项目，</w:t>
            </w:r>
            <w:r>
              <w:rPr>
                <w:rFonts w:hint="eastAsia" w:cs="Times New Roman"/>
                <w:b w:val="0"/>
                <w:bCs w:val="0"/>
                <w:color w:val="auto"/>
                <w:sz w:val="24"/>
                <w:highlight w:val="none"/>
                <w:u w:val="single" w:color="auto"/>
                <w:lang w:val="en-US" w:eastAsia="zh-CN"/>
              </w:rPr>
              <w:t>根据项目与《钦州港总体规划（2035年）》中的大榄坪南作业区布置规划图（附图5），项目位于集装箱泊位区，</w:t>
            </w:r>
            <w:r>
              <w:rPr>
                <w:rFonts w:hint="default" w:ascii="Times New Roman" w:hAnsi="Times New Roman" w:eastAsia="宋体" w:cs="Times New Roman"/>
                <w:b w:val="0"/>
                <w:bCs w:val="0"/>
                <w:color w:val="auto"/>
                <w:sz w:val="24"/>
                <w:highlight w:val="none"/>
                <w:u w:val="single" w:color="auto"/>
                <w:lang w:val="en-US" w:eastAsia="zh-CN"/>
              </w:rPr>
              <w:t>项目建设与大榄坪港区的规划定位相符。</w:t>
            </w:r>
          </w:p>
          <w:p w14:paraId="73283E88">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u w:val="none" w:color="auto"/>
                <w:lang w:val="en-US" w:eastAsia="zh-CN"/>
              </w:rPr>
            </w:pPr>
            <w:r>
              <w:rPr>
                <w:rFonts w:hint="default" w:ascii="Times New Roman" w:hAnsi="Times New Roman" w:eastAsia="宋体" w:cs="Times New Roman"/>
                <w:b/>
                <w:bCs/>
                <w:color w:val="auto"/>
                <w:sz w:val="24"/>
                <w:highlight w:val="none"/>
                <w:u w:val="none" w:color="auto"/>
                <w:lang w:val="en-US" w:eastAsia="zh-CN"/>
              </w:rPr>
              <w:t>2、与《钦州港总体规划（2019－2035年）环境影响报告书》相符性分析</w:t>
            </w:r>
          </w:p>
          <w:p w14:paraId="57B19A6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根据《钦州港总体规划（2019－2035年）环境影响报告书》，钦州港产业定位如下：</w:t>
            </w:r>
          </w:p>
          <w:p w14:paraId="11F26637">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（1）限制入区项目</w:t>
            </w:r>
          </w:p>
          <w:p w14:paraId="65C9AE93">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不属于保税港区规划产业类型，且废气、废水和其他废物排放高负荷的高污染项目。严格控制“两头在国内”或“以内销为主要市场”项目入内。</w:t>
            </w:r>
          </w:p>
          <w:p w14:paraId="7490068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（2）禁止入园项目</w:t>
            </w:r>
          </w:p>
          <w:p w14:paraId="3F6CE991">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根据《海关特殊监管区域适合入区项目指引》，不适合入区企业类型有：</w:t>
            </w:r>
          </w:p>
          <w:p w14:paraId="79541A3F">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①内销成品高税率型企业以面向国内市场内销征税进口为主，且成品进口关税税率高于原料进口关税税率的生产加工型企业。</w:t>
            </w:r>
          </w:p>
          <w:p w14:paraId="37CBF8B0">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②非保税企业</w:t>
            </w:r>
          </w:p>
          <w:p w14:paraId="030A2456">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主要</w:t>
            </w:r>
            <w:r>
              <w:rPr>
                <w:rFonts w:hint="eastAsia" w:ascii="Times New Roman" w:hAnsi="Times New Roman" w:eastAsia="宋体" w:cs="Times New Roman"/>
                <w:b w:val="0"/>
                <w:bCs w:val="0"/>
                <w:color w:val="auto"/>
                <w:sz w:val="24"/>
                <w:highlight w:val="none"/>
                <w:u w:val="none" w:color="auto"/>
                <w:lang w:val="en-US" w:eastAsia="zh-CN"/>
              </w:rPr>
              <w:t>经营</w:t>
            </w:r>
            <w:r>
              <w:rPr>
                <w:rFonts w:hint="default" w:ascii="Times New Roman" w:hAnsi="Times New Roman" w:eastAsia="宋体" w:cs="Times New Roman"/>
                <w:b w:val="0"/>
                <w:bCs w:val="0"/>
                <w:color w:val="auto"/>
                <w:sz w:val="24"/>
                <w:highlight w:val="none"/>
                <w:u w:val="none" w:color="auto"/>
                <w:lang w:val="en-US" w:eastAsia="zh-CN"/>
              </w:rPr>
              <w:t>非保税</w:t>
            </w:r>
            <w:r>
              <w:rPr>
                <w:rFonts w:hint="eastAsia" w:cs="Times New Roman"/>
                <w:b w:val="0"/>
                <w:bCs w:val="0"/>
                <w:color w:val="auto"/>
                <w:sz w:val="24"/>
                <w:highlight w:val="none"/>
                <w:u w:val="none" w:color="auto"/>
                <w:lang w:val="en-US" w:eastAsia="zh-CN"/>
              </w:rPr>
              <w:t>业务</w:t>
            </w:r>
            <w:r>
              <w:rPr>
                <w:rFonts w:hint="default" w:ascii="Times New Roman" w:hAnsi="Times New Roman" w:eastAsia="宋体" w:cs="Times New Roman"/>
                <w:b w:val="0"/>
                <w:bCs w:val="0"/>
                <w:color w:val="auto"/>
                <w:sz w:val="24"/>
                <w:highlight w:val="none"/>
                <w:u w:val="none" w:color="auto"/>
                <w:lang w:val="en-US" w:eastAsia="zh-CN"/>
              </w:rPr>
              <w:t>的企业。</w:t>
            </w:r>
          </w:p>
          <w:p w14:paraId="18C86F55">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③主要原料是国内原料并征收高额出口关税（或实施出口贸易管制）的生产型企业。</w:t>
            </w:r>
          </w:p>
          <w:p w14:paraId="069148C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④生产加工高耗能、高污染和资源性产品等不符合国家产业政策发展要求的产品，以及其他列入加工贸易禁止类目录的商品的生产加工型企业。</w:t>
            </w:r>
          </w:p>
          <w:p w14:paraId="59225308">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u w:val="none" w:color="auto"/>
                <w:lang w:val="en-US" w:eastAsia="zh-CN"/>
              </w:rPr>
            </w:pPr>
            <w:r>
              <w:rPr>
                <w:rFonts w:hint="eastAsia" w:cs="Times New Roman"/>
                <w:b w:val="0"/>
                <w:bCs w:val="0"/>
                <w:color w:val="auto"/>
                <w:sz w:val="24"/>
                <w:szCs w:val="24"/>
                <w:highlight w:val="none"/>
                <w:u w:val="single" w:color="auto"/>
                <w:lang w:val="en-US" w:eastAsia="zh-CN"/>
              </w:rPr>
              <w:t>《钦州港总体规划（2019－2035年）环境影响报告书》中未对大榄坪港区大榄坪南作业区提出规划优化调整建议，因此项目不涉及规划优化调整建议中的相关内容，根据报告书中表10.1-4钦州港环境准入负面清单一览表中对于大榄坪南作业区的规划用途为集装箱、件杂货、滚装、干散货、港口支持系统，负面清单为限制发展干散货货运功能，确需发展经充分论证。项目所在码头为集装箱码头，不在负面清单限制内。项目为码头的集装箱混堆场，</w:t>
            </w:r>
            <w:r>
              <w:rPr>
                <w:rFonts w:hint="default" w:ascii="Times New Roman" w:hAnsi="Times New Roman" w:eastAsia="宋体" w:cs="Times New Roman"/>
                <w:b w:val="0"/>
                <w:bCs w:val="0"/>
                <w:color w:val="auto"/>
                <w:sz w:val="24"/>
                <w:szCs w:val="24"/>
                <w:highlight w:val="none"/>
                <w:u w:val="single" w:color="auto"/>
                <w:lang w:val="en-US" w:eastAsia="zh-CN"/>
              </w:rPr>
              <w:t>项目已取得备案证，符合国家产业政策、地区产业政策</w:t>
            </w:r>
            <w:r>
              <w:rPr>
                <w:rFonts w:hint="eastAsia" w:cs="Times New Roman"/>
                <w:b w:val="0"/>
                <w:bCs w:val="0"/>
                <w:color w:val="auto"/>
                <w:sz w:val="24"/>
                <w:szCs w:val="24"/>
                <w:highlight w:val="none"/>
                <w:u w:val="single" w:color="auto"/>
                <w:lang w:val="en-US" w:eastAsia="zh-CN"/>
              </w:rPr>
              <w:t>。</w:t>
            </w:r>
          </w:p>
          <w:p w14:paraId="66E67AC4">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cs="Times New Roman"/>
                <w:b w:val="0"/>
                <w:bCs w:val="0"/>
                <w:color w:val="auto"/>
                <w:sz w:val="24"/>
                <w:szCs w:val="24"/>
                <w:highlight w:val="none"/>
                <w:u w:val="single" w:color="auto"/>
                <w:lang w:val="en-US" w:eastAsia="zh-CN"/>
              </w:rPr>
            </w:pPr>
            <w:r>
              <w:rPr>
                <w:rFonts w:hint="eastAsia" w:cs="Times New Roman"/>
                <w:b w:val="0"/>
                <w:bCs w:val="0"/>
                <w:color w:val="auto"/>
                <w:sz w:val="24"/>
                <w:szCs w:val="24"/>
                <w:highlight w:val="none"/>
                <w:u w:val="single" w:color="auto"/>
                <w:lang w:val="en-US" w:eastAsia="zh-CN"/>
              </w:rPr>
              <w:t>根据《钦州港总体规划（2019－2035年）环境影响报告书》中</w:t>
            </w:r>
            <w:bookmarkStart w:id="6" w:name="_Toc32220806"/>
            <w:r>
              <w:rPr>
                <w:rFonts w:hint="eastAsia" w:cs="Times New Roman"/>
                <w:b w:val="0"/>
                <w:bCs w:val="0"/>
                <w:color w:val="auto"/>
                <w:sz w:val="24"/>
                <w:szCs w:val="24"/>
                <w:highlight w:val="none"/>
                <w:u w:val="single" w:color="auto"/>
                <w:lang w:val="en-US" w:eastAsia="zh-CN"/>
              </w:rPr>
              <w:t>环境保护对策与环境影响减缓措施</w:t>
            </w:r>
            <w:bookmarkEnd w:id="6"/>
            <w:r>
              <w:rPr>
                <w:rFonts w:hint="eastAsia" w:cs="Times New Roman"/>
                <w:b w:val="0"/>
                <w:bCs w:val="0"/>
                <w:color w:val="auto"/>
                <w:sz w:val="24"/>
                <w:szCs w:val="24"/>
                <w:highlight w:val="none"/>
                <w:u w:val="single" w:color="auto"/>
                <w:lang w:val="en-US" w:eastAsia="zh-CN"/>
              </w:rPr>
              <w:t>章节，项目与规划环评中相关环保要求相符性详见下表。</w:t>
            </w:r>
          </w:p>
          <w:p w14:paraId="6EB791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表1-1项目与《钦州港总体规划（2019－2035年）环境影响报告书》中相关环保要求相符性分析</w:t>
            </w: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8"/>
              <w:gridCol w:w="3775"/>
              <w:gridCol w:w="2333"/>
            </w:tblGrid>
            <w:tr w14:paraId="10C2AB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tcBorders>
                    <w:tl2br w:val="nil"/>
                    <w:tr2bl w:val="nil"/>
                  </w:tcBorders>
                  <w:noWrap w:val="0"/>
                  <w:tcMar>
                    <w:left w:w="28" w:type="dxa"/>
                    <w:right w:w="28" w:type="dxa"/>
                  </w:tcMar>
                  <w:vAlign w:val="center"/>
                </w:tcPr>
                <w:p w14:paraId="43FF277D">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single" w:color="auto"/>
                      <w:lang w:val="en-US" w:eastAsia="zh-CN"/>
                    </w:rPr>
                  </w:pPr>
                  <w:r>
                    <w:rPr>
                      <w:rFonts w:hint="eastAsia" w:cs="Times New Roman"/>
                      <w:b/>
                      <w:bCs/>
                      <w:caps w:val="0"/>
                      <w:color w:val="auto"/>
                      <w:sz w:val="21"/>
                      <w:szCs w:val="21"/>
                      <w:highlight w:val="none"/>
                      <w:u w:val="single" w:color="auto"/>
                      <w:lang w:val="en-US" w:eastAsia="zh-CN"/>
                    </w:rPr>
                    <w:t>相关要素</w:t>
                  </w:r>
                </w:p>
              </w:tc>
              <w:tc>
                <w:tcPr>
                  <w:tcW w:w="3777" w:type="dxa"/>
                  <w:tcBorders>
                    <w:tl2br w:val="nil"/>
                    <w:tr2bl w:val="nil"/>
                  </w:tcBorders>
                  <w:noWrap w:val="0"/>
                  <w:tcMar>
                    <w:left w:w="28" w:type="dxa"/>
                    <w:right w:w="28" w:type="dxa"/>
                  </w:tcMar>
                  <w:vAlign w:val="center"/>
                </w:tcPr>
                <w:p w14:paraId="70FE23CB">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single" w:color="auto"/>
                      <w:lang w:val="en-US" w:eastAsia="zh-CN"/>
                    </w:rPr>
                  </w:pPr>
                  <w:r>
                    <w:rPr>
                      <w:rFonts w:hint="eastAsia" w:cs="Times New Roman"/>
                      <w:b/>
                      <w:bCs/>
                      <w:caps w:val="0"/>
                      <w:color w:val="auto"/>
                      <w:sz w:val="21"/>
                      <w:szCs w:val="21"/>
                      <w:highlight w:val="none"/>
                      <w:u w:val="single" w:color="auto"/>
                      <w:lang w:val="en-US" w:eastAsia="zh-CN"/>
                    </w:rPr>
                    <w:t>规划环评中与项目相关的要求</w:t>
                  </w:r>
                </w:p>
              </w:tc>
              <w:tc>
                <w:tcPr>
                  <w:tcW w:w="2334" w:type="dxa"/>
                  <w:tcBorders>
                    <w:tl2br w:val="nil"/>
                    <w:tr2bl w:val="nil"/>
                  </w:tcBorders>
                  <w:noWrap w:val="0"/>
                  <w:tcMar>
                    <w:left w:w="28" w:type="dxa"/>
                    <w:right w:w="28" w:type="dxa"/>
                  </w:tcMar>
                  <w:vAlign w:val="center"/>
                </w:tcPr>
                <w:p w14:paraId="0233B752">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single" w:color="auto"/>
                    </w:rPr>
                  </w:pPr>
                  <w:r>
                    <w:rPr>
                      <w:rFonts w:hint="eastAsia" w:cs="Times New Roman"/>
                      <w:b/>
                      <w:bCs/>
                      <w:caps w:val="0"/>
                      <w:color w:val="auto"/>
                      <w:sz w:val="21"/>
                      <w:szCs w:val="21"/>
                      <w:highlight w:val="none"/>
                      <w:u w:val="single" w:color="auto"/>
                      <w:lang w:val="en-US" w:eastAsia="zh-CN"/>
                    </w:rPr>
                    <w:t>项目</w:t>
                  </w:r>
                  <w:r>
                    <w:rPr>
                      <w:rFonts w:hint="default" w:ascii="Times New Roman" w:hAnsi="Times New Roman" w:eastAsia="宋体" w:cs="Times New Roman"/>
                      <w:b/>
                      <w:bCs/>
                      <w:caps w:val="0"/>
                      <w:color w:val="auto"/>
                      <w:sz w:val="21"/>
                      <w:szCs w:val="21"/>
                      <w:highlight w:val="none"/>
                      <w:u w:val="single" w:color="auto"/>
                    </w:rPr>
                    <w:t>相符性分析</w:t>
                  </w:r>
                </w:p>
              </w:tc>
            </w:tr>
            <w:tr w14:paraId="2E77B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tcBorders>
                    <w:tl2br w:val="nil"/>
                    <w:tr2bl w:val="nil"/>
                  </w:tcBorders>
                  <w:noWrap w:val="0"/>
                  <w:tcMar>
                    <w:left w:w="28" w:type="dxa"/>
                    <w:right w:w="28" w:type="dxa"/>
                  </w:tcMar>
                  <w:vAlign w:val="center"/>
                </w:tcPr>
                <w:p w14:paraId="417EF3E0">
                  <w:pPr>
                    <w:pStyle w:val="150"/>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aps w:val="0"/>
                      <w:color w:val="auto"/>
                      <w:sz w:val="21"/>
                      <w:szCs w:val="21"/>
                      <w:highlight w:val="none"/>
                      <w:u w:val="single" w:color="auto"/>
                      <w:lang w:eastAsia="zh-CN"/>
                    </w:rPr>
                  </w:pPr>
                  <w:r>
                    <w:rPr>
                      <w:rFonts w:hint="eastAsia" w:cs="Times New Roman"/>
                      <w:b w:val="0"/>
                      <w:bCs w:val="0"/>
                      <w:caps w:val="0"/>
                      <w:color w:val="auto"/>
                      <w:sz w:val="21"/>
                      <w:szCs w:val="21"/>
                      <w:highlight w:val="none"/>
                      <w:u w:val="single" w:color="auto"/>
                      <w:lang w:val="en-US" w:eastAsia="zh-CN"/>
                    </w:rPr>
                    <w:t>大气环境</w:t>
                  </w:r>
                </w:p>
              </w:tc>
              <w:tc>
                <w:tcPr>
                  <w:tcW w:w="3777" w:type="dxa"/>
                  <w:tcBorders>
                    <w:tl2br w:val="nil"/>
                    <w:tr2bl w:val="nil"/>
                  </w:tcBorders>
                  <w:noWrap w:val="0"/>
                  <w:tcMar>
                    <w:left w:w="28" w:type="dxa"/>
                    <w:right w:w="28" w:type="dxa"/>
                  </w:tcMar>
                  <w:vAlign w:val="center"/>
                </w:tcPr>
                <w:p w14:paraId="6D974443">
                  <w:pPr>
                    <w:keepNext w:val="0"/>
                    <w:keepLines w:val="0"/>
                    <w:suppressLineNumbers w:val="0"/>
                    <w:spacing w:before="0" w:beforeAutospacing="0" w:after="0" w:afterAutospacing="0" w:line="240" w:lineRule="auto"/>
                    <w:ind w:left="0" w:right="0" w:firstLine="0" w:firstLineChars="0"/>
                    <w:jc w:val="center"/>
                    <w:rPr>
                      <w:rStyle w:val="151"/>
                      <w:rFonts w:hint="eastAsia" w:ascii="Times New Roman" w:hAnsi="Times New Roman" w:eastAsia="宋体" w:cs="Times New Roman"/>
                      <w:b w:val="0"/>
                      <w:bCs w:val="0"/>
                      <w:caps w:val="0"/>
                      <w:color w:val="auto"/>
                      <w:sz w:val="21"/>
                      <w:szCs w:val="21"/>
                      <w:highlight w:val="none"/>
                      <w:u w:val="single" w:color="auto"/>
                      <w:lang w:eastAsia="zh-CN"/>
                    </w:rPr>
                  </w:pPr>
                  <w:r>
                    <w:rPr>
                      <w:rStyle w:val="151"/>
                      <w:rFonts w:hint="default" w:ascii="Times New Roman" w:hAnsi="Times New Roman" w:eastAsia="宋体" w:cs="Times New Roman"/>
                      <w:b w:val="0"/>
                      <w:bCs w:val="0"/>
                      <w:caps w:val="0"/>
                      <w:color w:val="auto"/>
                      <w:sz w:val="21"/>
                      <w:szCs w:val="21"/>
                      <w:highlight w:val="none"/>
                      <w:u w:val="single" w:color="auto"/>
                    </w:rPr>
                    <w:t>施工单位必须选用符合国家卫生防护标准的施工机械设备和运输工具，确保其废气排放符合国家有关标准</w:t>
                  </w:r>
                </w:p>
              </w:tc>
              <w:tc>
                <w:tcPr>
                  <w:tcW w:w="2334" w:type="dxa"/>
                  <w:tcBorders>
                    <w:tl2br w:val="nil"/>
                    <w:tr2bl w:val="nil"/>
                  </w:tcBorders>
                  <w:noWrap w:val="0"/>
                  <w:tcMar>
                    <w:left w:w="28" w:type="dxa"/>
                    <w:right w:w="28" w:type="dxa"/>
                  </w:tcMar>
                  <w:vAlign w:val="center"/>
                </w:tcPr>
                <w:p w14:paraId="5DD7FCB7">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aps w:val="0"/>
                      <w:color w:val="auto"/>
                      <w:sz w:val="21"/>
                      <w:szCs w:val="21"/>
                      <w:highlight w:val="none"/>
                      <w:u w:val="single" w:color="auto"/>
                      <w:lang w:val="en-US" w:eastAsia="zh-CN"/>
                    </w:rPr>
                  </w:pPr>
                  <w:r>
                    <w:rPr>
                      <w:rFonts w:hint="default" w:ascii="Times New Roman" w:hAnsi="Times New Roman" w:eastAsia="宋体" w:cs="Times New Roman"/>
                      <w:b w:val="0"/>
                      <w:bCs w:val="0"/>
                      <w:caps w:val="0"/>
                      <w:color w:val="auto"/>
                      <w:sz w:val="21"/>
                      <w:szCs w:val="21"/>
                      <w:highlight w:val="none"/>
                      <w:u w:val="single" w:color="auto"/>
                    </w:rPr>
                    <w:t>符合</w:t>
                  </w:r>
                  <w:r>
                    <w:rPr>
                      <w:rFonts w:hint="default" w:ascii="Times New Roman" w:hAnsi="Times New Roman" w:eastAsia="宋体" w:cs="Times New Roman"/>
                      <w:b w:val="0"/>
                      <w:bCs w:val="0"/>
                      <w:caps w:val="0"/>
                      <w:color w:val="auto"/>
                      <w:sz w:val="21"/>
                      <w:szCs w:val="21"/>
                      <w:highlight w:val="none"/>
                      <w:u w:val="single" w:color="auto"/>
                      <w:lang w:eastAsia="zh-CN"/>
                    </w:rPr>
                    <w:t>。</w:t>
                  </w:r>
                  <w:r>
                    <w:rPr>
                      <w:rFonts w:hint="eastAsia" w:cs="Times New Roman"/>
                      <w:b w:val="0"/>
                      <w:bCs w:val="0"/>
                      <w:caps w:val="0"/>
                      <w:color w:val="auto"/>
                      <w:sz w:val="21"/>
                      <w:szCs w:val="21"/>
                      <w:highlight w:val="none"/>
                      <w:u w:val="single" w:color="auto"/>
                      <w:lang w:val="en-US" w:eastAsia="zh-CN"/>
                    </w:rPr>
                    <w:t>项目使用符合国家卫生防护标准的施工机械设备和运输工具，并定期对机械设备进行维护，确保运行状况良好</w:t>
                  </w:r>
                </w:p>
              </w:tc>
            </w:tr>
            <w:tr w14:paraId="23D423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vMerge w:val="restart"/>
                  <w:tcBorders>
                    <w:tl2br w:val="nil"/>
                    <w:tr2bl w:val="nil"/>
                  </w:tcBorders>
                  <w:noWrap w:val="0"/>
                  <w:tcMar>
                    <w:left w:w="28" w:type="dxa"/>
                    <w:right w:w="28" w:type="dxa"/>
                  </w:tcMar>
                  <w:vAlign w:val="center"/>
                </w:tcPr>
                <w:p w14:paraId="31DE9814">
                  <w:pPr>
                    <w:pStyle w:val="150"/>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水环境</w:t>
                  </w:r>
                </w:p>
              </w:tc>
              <w:tc>
                <w:tcPr>
                  <w:tcW w:w="3777" w:type="dxa"/>
                  <w:tcBorders>
                    <w:tl2br w:val="nil"/>
                    <w:tr2bl w:val="nil"/>
                  </w:tcBorders>
                  <w:noWrap w:val="0"/>
                  <w:tcMar>
                    <w:left w:w="28" w:type="dxa"/>
                    <w:right w:w="28" w:type="dxa"/>
                  </w:tcMar>
                  <w:vAlign w:val="center"/>
                </w:tcPr>
                <w:p w14:paraId="31E32314">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规划集装箱码头应将集装箱洗箱污水送往港区以外的专业化单位予以处理，或设置专门的集装箱洗箱污水处理设施，将集装箱冲洗污水处理达标后优先考虑回用，无法回用的部分排入市政管网</w:t>
                  </w:r>
                </w:p>
              </w:tc>
              <w:tc>
                <w:tcPr>
                  <w:tcW w:w="2334" w:type="dxa"/>
                  <w:tcBorders>
                    <w:tl2br w:val="nil"/>
                    <w:tr2bl w:val="nil"/>
                  </w:tcBorders>
                  <w:noWrap w:val="0"/>
                  <w:tcMar>
                    <w:left w:w="28" w:type="dxa"/>
                    <w:right w:w="28" w:type="dxa"/>
                  </w:tcMar>
                  <w:vAlign w:val="center"/>
                </w:tcPr>
                <w:p w14:paraId="321751FB">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符合，项目不设置集装箱清洗</w:t>
                  </w:r>
                </w:p>
              </w:tc>
            </w:tr>
            <w:tr w14:paraId="0DB1E7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vMerge w:val="continue"/>
                  <w:tcBorders>
                    <w:tl2br w:val="nil"/>
                    <w:tr2bl w:val="nil"/>
                  </w:tcBorders>
                  <w:noWrap w:val="0"/>
                  <w:tcMar>
                    <w:left w:w="28" w:type="dxa"/>
                    <w:right w:w="28" w:type="dxa"/>
                  </w:tcMar>
                  <w:vAlign w:val="center"/>
                </w:tcPr>
                <w:p w14:paraId="38E3B74C">
                  <w:pPr>
                    <w:pStyle w:val="150"/>
                    <w:keepNext w:val="0"/>
                    <w:keepLines w:val="0"/>
                    <w:suppressLineNumbers w:val="0"/>
                    <w:spacing w:before="0" w:beforeAutospacing="0" w:after="0" w:afterAutospacing="0" w:line="240" w:lineRule="auto"/>
                    <w:ind w:left="0" w:right="0" w:firstLine="0" w:firstLineChars="0"/>
                    <w:jc w:val="center"/>
                    <w:rPr>
                      <w:rFonts w:hint="eastAsia" w:cs="Times New Roman"/>
                      <w:b w:val="0"/>
                      <w:bCs w:val="0"/>
                      <w:caps w:val="0"/>
                      <w:color w:val="auto"/>
                      <w:sz w:val="21"/>
                      <w:szCs w:val="21"/>
                      <w:highlight w:val="none"/>
                      <w:u w:val="single" w:color="auto"/>
                      <w:lang w:val="en-US" w:eastAsia="zh-CN"/>
                    </w:rPr>
                  </w:pPr>
                </w:p>
              </w:tc>
              <w:tc>
                <w:tcPr>
                  <w:tcW w:w="3777" w:type="dxa"/>
                  <w:tcBorders>
                    <w:tl2br w:val="nil"/>
                    <w:tr2bl w:val="nil"/>
                  </w:tcBorders>
                  <w:noWrap w:val="0"/>
                  <w:tcMar>
                    <w:left w:w="28" w:type="dxa"/>
                    <w:right w:w="28" w:type="dxa"/>
                  </w:tcMar>
                  <w:vAlign w:val="center"/>
                </w:tcPr>
                <w:p w14:paraId="0B64115B">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港区陆域油污水经隔油池、调节池、油水分离器处理达标后排入港区生活污水处理系统。同时应及时回收和清除废油污，严禁随意排放</w:t>
                  </w:r>
                </w:p>
              </w:tc>
              <w:tc>
                <w:tcPr>
                  <w:tcW w:w="2334" w:type="dxa"/>
                  <w:tcBorders>
                    <w:tl2br w:val="nil"/>
                    <w:tr2bl w:val="nil"/>
                  </w:tcBorders>
                  <w:noWrap w:val="0"/>
                  <w:tcMar>
                    <w:left w:w="28" w:type="dxa"/>
                    <w:right w:w="28" w:type="dxa"/>
                  </w:tcMar>
                  <w:vAlign w:val="center"/>
                </w:tcPr>
                <w:p w14:paraId="3A4D6E84">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符合，项目所在港区含油污水进入2#泊位后方和5#泊位后方的污水处理站处理，处理工艺为隔油池+混凝沉淀池+组合气浮装置。处理后回用于机械冲洗用水、厂区绿化和道路清扫，不外排</w:t>
                  </w:r>
                </w:p>
              </w:tc>
            </w:tr>
            <w:tr w14:paraId="4F218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tcBorders>
                    <w:tl2br w:val="nil"/>
                    <w:tr2bl w:val="nil"/>
                  </w:tcBorders>
                  <w:noWrap w:val="0"/>
                  <w:tcMar>
                    <w:left w:w="28" w:type="dxa"/>
                    <w:right w:w="28" w:type="dxa"/>
                  </w:tcMar>
                  <w:vAlign w:val="center"/>
                </w:tcPr>
                <w:p w14:paraId="3ACEA041">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声环境</w:t>
                  </w:r>
                </w:p>
              </w:tc>
              <w:tc>
                <w:tcPr>
                  <w:tcW w:w="3777" w:type="dxa"/>
                  <w:tcBorders>
                    <w:tl2br w:val="nil"/>
                    <w:tr2bl w:val="nil"/>
                  </w:tcBorders>
                  <w:noWrap w:val="0"/>
                  <w:tcMar>
                    <w:left w:w="28" w:type="dxa"/>
                    <w:right w:w="28" w:type="dxa"/>
                  </w:tcMar>
                  <w:vAlign w:val="center"/>
                </w:tcPr>
                <w:p w14:paraId="14BA6698">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优先选用先进的低噪声机械设备，采取相应的隔声减振措施，加强机械设备维护</w:t>
                  </w:r>
                  <w:r>
                    <w:rPr>
                      <w:rStyle w:val="151"/>
                      <w:rFonts w:hint="eastAsia" w:cs="Times New Roman"/>
                      <w:b w:val="0"/>
                      <w:bCs w:val="0"/>
                      <w:caps w:val="0"/>
                      <w:color w:val="auto"/>
                      <w:sz w:val="21"/>
                      <w:szCs w:val="21"/>
                      <w:highlight w:val="none"/>
                      <w:u w:val="single" w:color="auto"/>
                      <w:lang w:val="en-US" w:eastAsia="zh-CN"/>
                    </w:rPr>
                    <w:t>；加强机械维修和保养，避免因机械损坏而引起异常噪声</w:t>
                  </w:r>
                </w:p>
              </w:tc>
              <w:tc>
                <w:tcPr>
                  <w:tcW w:w="2334" w:type="dxa"/>
                  <w:tcBorders>
                    <w:tl2br w:val="nil"/>
                    <w:tr2bl w:val="nil"/>
                  </w:tcBorders>
                  <w:noWrap w:val="0"/>
                  <w:tcMar>
                    <w:left w:w="28" w:type="dxa"/>
                    <w:right w:w="28" w:type="dxa"/>
                  </w:tcMar>
                  <w:vAlign w:val="center"/>
                </w:tcPr>
                <w:p w14:paraId="0F623874">
                  <w:pPr>
                    <w:pStyle w:val="150"/>
                    <w:keepNext w:val="0"/>
                    <w:keepLines w:val="0"/>
                    <w:suppressLineNumbers w:val="0"/>
                    <w:spacing w:before="0" w:beforeAutospacing="0" w:after="0" w:afterAutospacing="0" w:line="240" w:lineRule="auto"/>
                    <w:ind w:left="0" w:right="0" w:firstLine="0" w:firstLineChars="0"/>
                    <w:jc w:val="center"/>
                    <w:rPr>
                      <w:rFonts w:hint="eastAsia"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符合，项目选用低噪声机械设备，同时加强机械设备维护；加强机械维修和保养</w:t>
                  </w:r>
                </w:p>
              </w:tc>
            </w:tr>
            <w:tr w14:paraId="6C427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tcBorders>
                    <w:tl2br w:val="nil"/>
                    <w:tr2bl w:val="nil"/>
                  </w:tcBorders>
                  <w:noWrap w:val="0"/>
                  <w:tcMar>
                    <w:left w:w="28" w:type="dxa"/>
                    <w:right w:w="28" w:type="dxa"/>
                  </w:tcMar>
                  <w:vAlign w:val="center"/>
                </w:tcPr>
                <w:p w14:paraId="5CCAF764">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固体废物</w:t>
                  </w:r>
                </w:p>
              </w:tc>
              <w:tc>
                <w:tcPr>
                  <w:tcW w:w="3777" w:type="dxa"/>
                  <w:tcBorders>
                    <w:tl2br w:val="nil"/>
                    <w:tr2bl w:val="nil"/>
                  </w:tcBorders>
                  <w:noWrap w:val="0"/>
                  <w:tcMar>
                    <w:left w:w="28" w:type="dxa"/>
                    <w:right w:w="28" w:type="dxa"/>
                  </w:tcMar>
                  <w:vAlign w:val="center"/>
                </w:tcPr>
                <w:p w14:paraId="6832CD3B">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码头生活垃圾应在码头前沿及作业区内设置垃圾箱统一收集后交由当地环卫部门处理</w:t>
                  </w:r>
                </w:p>
              </w:tc>
              <w:tc>
                <w:tcPr>
                  <w:tcW w:w="2334" w:type="dxa"/>
                  <w:tcBorders>
                    <w:tl2br w:val="nil"/>
                    <w:tr2bl w:val="nil"/>
                  </w:tcBorders>
                  <w:noWrap w:val="0"/>
                  <w:tcMar>
                    <w:left w:w="28" w:type="dxa"/>
                    <w:right w:w="28" w:type="dxa"/>
                  </w:tcMar>
                  <w:vAlign w:val="center"/>
                </w:tcPr>
                <w:p w14:paraId="2E60D83E">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符合，项目所在码头生活垃圾收集后交由环卫部门处理</w:t>
                  </w:r>
                </w:p>
              </w:tc>
            </w:tr>
          </w:tbl>
          <w:p w14:paraId="6101E3EE">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u w:val="single" w:color="auto"/>
                <w:lang w:val="en-US" w:eastAsia="zh-CN"/>
              </w:rPr>
            </w:pPr>
            <w:r>
              <w:rPr>
                <w:rFonts w:hint="eastAsia" w:cs="Times New Roman"/>
                <w:b w:val="0"/>
                <w:bCs w:val="0"/>
                <w:color w:val="auto"/>
                <w:sz w:val="24"/>
                <w:szCs w:val="24"/>
                <w:highlight w:val="none"/>
                <w:u w:val="single" w:color="auto"/>
                <w:lang w:val="en-US" w:eastAsia="zh-CN"/>
              </w:rPr>
              <w:t>综上，</w:t>
            </w:r>
            <w:r>
              <w:rPr>
                <w:rFonts w:hint="default" w:ascii="Times New Roman" w:hAnsi="Times New Roman" w:eastAsia="宋体" w:cs="Times New Roman"/>
                <w:b w:val="0"/>
                <w:bCs w:val="0"/>
                <w:color w:val="auto"/>
                <w:sz w:val="24"/>
                <w:szCs w:val="24"/>
                <w:highlight w:val="none"/>
                <w:u w:val="single" w:color="auto"/>
                <w:lang w:val="en-US" w:eastAsia="zh-CN"/>
              </w:rPr>
              <w:t>项目建设与《钦州港总体规划（2019－2035年）环境影响报告书》相符</w:t>
            </w:r>
            <w:r>
              <w:rPr>
                <w:rFonts w:hint="eastAsia" w:ascii="Times New Roman" w:hAnsi="Times New Roman" w:eastAsia="宋体" w:cs="Times New Roman"/>
                <w:b w:val="0"/>
                <w:bCs w:val="0"/>
                <w:color w:val="auto"/>
                <w:sz w:val="24"/>
                <w:szCs w:val="24"/>
                <w:highlight w:val="none"/>
                <w:u w:val="single" w:color="auto"/>
                <w:lang w:val="en-US" w:eastAsia="zh-CN"/>
              </w:rPr>
              <w:t>。</w:t>
            </w:r>
          </w:p>
          <w:p w14:paraId="06705F53">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u w:val="none" w:color="auto"/>
                <w:lang w:val="en-US" w:eastAsia="zh-CN"/>
              </w:rPr>
            </w:pPr>
            <w:r>
              <w:rPr>
                <w:rFonts w:hint="eastAsia" w:ascii="Times New Roman" w:hAnsi="Times New Roman" w:eastAsia="宋体" w:cs="Times New Roman"/>
                <w:b/>
                <w:bCs/>
                <w:color w:val="auto"/>
                <w:sz w:val="24"/>
                <w:highlight w:val="none"/>
                <w:u w:val="none" w:color="auto"/>
                <w:lang w:val="en-US" w:eastAsia="zh-CN"/>
              </w:rPr>
              <w:t>3</w:t>
            </w:r>
            <w:r>
              <w:rPr>
                <w:rFonts w:hint="default" w:ascii="Times New Roman" w:hAnsi="Times New Roman" w:eastAsia="宋体" w:cs="Times New Roman"/>
                <w:b/>
                <w:bCs/>
                <w:color w:val="auto"/>
                <w:sz w:val="24"/>
                <w:highlight w:val="none"/>
                <w:u w:val="none" w:color="auto"/>
                <w:lang w:val="en-US" w:eastAsia="zh-CN"/>
              </w:rPr>
              <w:t>、与《北部湾港总体规划（2035年）》相符性分析</w:t>
            </w:r>
          </w:p>
          <w:p w14:paraId="35B698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val="0"/>
                <w:bCs w:val="0"/>
                <w:color w:val="auto"/>
                <w:sz w:val="24"/>
                <w:highlight w:val="none"/>
                <w:u w:val="singl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项目为广西北部湾国际集装箱码头有限公司码头的8类、9类固态危险货物集装箱混堆作业项目，为改建项目，</w:t>
            </w:r>
            <w:r>
              <w:rPr>
                <w:rFonts w:hint="eastAsia" w:ascii="Times New Roman" w:hAnsi="Times New Roman" w:eastAsia="宋体" w:cs="Times New Roman"/>
                <w:b w:val="0"/>
                <w:bCs w:val="0"/>
                <w:color w:val="auto"/>
                <w:sz w:val="24"/>
                <w:highlight w:val="none"/>
                <w:u w:val="none" w:color="auto"/>
                <w:lang w:val="en-US" w:eastAsia="zh-CN"/>
              </w:rPr>
              <w:t>将3#-5#泊位后方的6个普通货物集装箱堆场改为混堆危险货物集装箱堆场，</w:t>
            </w:r>
            <w:r>
              <w:rPr>
                <w:rFonts w:hint="default" w:ascii="Times New Roman" w:hAnsi="Times New Roman" w:eastAsia="宋体" w:cs="Times New Roman"/>
                <w:b w:val="0"/>
                <w:bCs w:val="0"/>
                <w:color w:val="auto"/>
                <w:sz w:val="24"/>
                <w:highlight w:val="none"/>
                <w:u w:val="none" w:color="auto"/>
                <w:lang w:val="en-US" w:eastAsia="zh-CN"/>
              </w:rPr>
              <w:t>项目改建不改变现有码头性质及泊位吨级，3#-5#泊位为《北部湾港总体规划（2035年）》</w:t>
            </w:r>
            <w:r>
              <w:rPr>
                <w:rFonts w:hint="eastAsia" w:ascii="Times New Roman" w:hAnsi="Times New Roman" w:eastAsia="宋体" w:cs="Times New Roman"/>
                <w:b w:val="0"/>
                <w:bCs w:val="0"/>
                <w:color w:val="auto"/>
                <w:sz w:val="24"/>
                <w:highlight w:val="none"/>
                <w:u w:val="none" w:color="auto"/>
                <w:lang w:val="en-US" w:eastAsia="zh-CN"/>
              </w:rPr>
              <w:t>中大榄坪南作业区中建设内容的一部分</w:t>
            </w:r>
            <w:r>
              <w:rPr>
                <w:rFonts w:hint="default" w:ascii="Times New Roman" w:hAnsi="Times New Roman" w:eastAsia="宋体" w:cs="Times New Roman"/>
                <w:b w:val="0"/>
                <w:bCs w:val="0"/>
                <w:color w:val="auto"/>
                <w:sz w:val="24"/>
                <w:highlight w:val="none"/>
                <w:u w:val="none" w:color="auto"/>
                <w:lang w:val="en-US" w:eastAsia="zh-CN"/>
              </w:rPr>
              <w:t>，</w:t>
            </w:r>
            <w:r>
              <w:rPr>
                <w:rFonts w:hint="eastAsia" w:ascii="Times New Roman" w:hAnsi="Times New Roman" w:eastAsia="宋体" w:cs="Times New Roman"/>
                <w:b w:val="0"/>
                <w:bCs w:val="0"/>
                <w:color w:val="auto"/>
                <w:sz w:val="24"/>
                <w:highlight w:val="none"/>
                <w:u w:val="none" w:color="auto"/>
                <w:lang w:val="en-US" w:eastAsia="zh-CN"/>
              </w:rPr>
              <w:t>项目为泊位后方的堆场改建，</w:t>
            </w:r>
            <w:r>
              <w:rPr>
                <w:rFonts w:hint="eastAsia" w:cs="Times New Roman"/>
                <w:b w:val="0"/>
                <w:bCs w:val="0"/>
                <w:color w:val="auto"/>
                <w:sz w:val="24"/>
                <w:highlight w:val="none"/>
                <w:u w:val="single" w:color="auto"/>
                <w:lang w:val="en-US" w:eastAsia="zh-CN"/>
              </w:rPr>
              <w:t>根据《北部湾港总体规划（2035年）》中钦州港域规划图（详见附图4），项目所在港区为集装箱码头区，项目为码头区的集装箱堆场，因此项目</w:t>
            </w:r>
            <w:r>
              <w:rPr>
                <w:rFonts w:hint="default" w:ascii="Times New Roman" w:hAnsi="Times New Roman" w:eastAsia="宋体" w:cs="Times New Roman"/>
                <w:b w:val="0"/>
                <w:bCs w:val="0"/>
                <w:color w:val="auto"/>
                <w:sz w:val="24"/>
                <w:highlight w:val="none"/>
                <w:u w:val="single" w:color="auto"/>
                <w:lang w:val="en-US" w:eastAsia="zh-CN"/>
              </w:rPr>
              <w:t>与《北部湾港总体规划（2035年）》</w:t>
            </w:r>
            <w:r>
              <w:rPr>
                <w:rFonts w:hint="eastAsia" w:ascii="Times New Roman" w:hAnsi="Times New Roman" w:eastAsia="宋体" w:cs="Times New Roman"/>
                <w:b w:val="0"/>
                <w:bCs w:val="0"/>
                <w:color w:val="auto"/>
                <w:sz w:val="24"/>
                <w:highlight w:val="none"/>
                <w:u w:val="single" w:color="auto"/>
                <w:lang w:val="en-US" w:eastAsia="zh-CN"/>
              </w:rPr>
              <w:t>相符</w:t>
            </w:r>
            <w:r>
              <w:rPr>
                <w:rFonts w:hint="default" w:ascii="Times New Roman" w:hAnsi="Times New Roman" w:eastAsia="宋体" w:cs="Times New Roman"/>
                <w:b w:val="0"/>
                <w:bCs w:val="0"/>
                <w:color w:val="auto"/>
                <w:sz w:val="24"/>
                <w:highlight w:val="none"/>
                <w:u w:val="single" w:color="auto"/>
                <w:lang w:val="en-US" w:eastAsia="zh-CN"/>
              </w:rPr>
              <w:t>。</w:t>
            </w:r>
          </w:p>
          <w:p w14:paraId="2ED02E6B">
            <w:pPr>
              <w:keepNext w:val="0"/>
              <w:keepLines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highlight w:val="none"/>
                <w:u w:val="none" w:color="auto"/>
                <w:lang w:val="en-US" w:eastAsia="zh-CN"/>
              </w:rPr>
            </w:pPr>
            <w:r>
              <w:rPr>
                <w:rFonts w:hint="eastAsia" w:ascii="Times New Roman" w:hAnsi="Times New Roman" w:eastAsia="宋体" w:cs="Times New Roman"/>
                <w:b/>
                <w:bCs/>
                <w:color w:val="auto"/>
                <w:sz w:val="24"/>
                <w:highlight w:val="none"/>
                <w:u w:val="none" w:color="auto"/>
                <w:lang w:val="en-US" w:eastAsia="zh-CN"/>
              </w:rPr>
              <w:t>4</w:t>
            </w:r>
            <w:r>
              <w:rPr>
                <w:rFonts w:hint="default" w:ascii="Times New Roman" w:hAnsi="Times New Roman" w:eastAsia="宋体" w:cs="Times New Roman"/>
                <w:b/>
                <w:bCs/>
                <w:color w:val="auto"/>
                <w:sz w:val="24"/>
                <w:highlight w:val="none"/>
                <w:u w:val="none" w:color="auto"/>
                <w:lang w:val="en-US" w:eastAsia="zh-CN"/>
              </w:rPr>
              <w:t>、与《北部湾港总体规划（2035年）环境影响报告书</w:t>
            </w:r>
            <w:r>
              <w:rPr>
                <w:rFonts w:hint="eastAsia" w:cs="Times New Roman"/>
                <w:b/>
                <w:bCs/>
                <w:color w:val="auto"/>
                <w:sz w:val="24"/>
                <w:highlight w:val="none"/>
                <w:u w:val="none" w:color="auto"/>
                <w:lang w:val="en-US" w:eastAsia="zh-CN"/>
              </w:rPr>
              <w:t>》</w:t>
            </w:r>
            <w:r>
              <w:rPr>
                <w:rFonts w:hint="default" w:ascii="Times New Roman" w:hAnsi="Times New Roman" w:eastAsia="宋体" w:cs="Times New Roman"/>
                <w:b/>
                <w:bCs/>
                <w:color w:val="auto"/>
                <w:sz w:val="24"/>
                <w:highlight w:val="none"/>
                <w:u w:val="none" w:color="auto"/>
                <w:lang w:val="en-US" w:eastAsia="zh-CN"/>
              </w:rPr>
              <w:t>相符性分析</w:t>
            </w:r>
          </w:p>
          <w:p w14:paraId="10B98B68">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cs="Times New Roman"/>
                <w:b w:val="0"/>
                <w:bCs w:val="0"/>
                <w:color w:val="auto"/>
                <w:sz w:val="24"/>
                <w:szCs w:val="24"/>
                <w:highlight w:val="none"/>
                <w:u w:val="single" w:color="auto"/>
                <w:lang w:val="en-US" w:eastAsia="zh-CN"/>
              </w:rPr>
            </w:pPr>
            <w:r>
              <w:rPr>
                <w:rFonts w:hint="eastAsia" w:cs="Times New Roman"/>
                <w:b w:val="0"/>
                <w:bCs w:val="0"/>
                <w:color w:val="auto"/>
                <w:sz w:val="24"/>
                <w:szCs w:val="24"/>
                <w:highlight w:val="none"/>
                <w:u w:val="single" w:color="auto"/>
                <w:lang w:val="en-US" w:eastAsia="zh-CN"/>
              </w:rPr>
              <w:t>根据</w:t>
            </w:r>
            <w:r>
              <w:rPr>
                <w:rFonts w:hint="default" w:ascii="Times New Roman" w:hAnsi="Times New Roman" w:eastAsia="宋体" w:cs="Times New Roman"/>
                <w:b w:val="0"/>
                <w:bCs w:val="0"/>
                <w:color w:val="auto"/>
                <w:sz w:val="24"/>
                <w:szCs w:val="24"/>
                <w:highlight w:val="none"/>
                <w:u w:val="single" w:color="auto"/>
                <w:lang w:val="en-US" w:eastAsia="zh-CN"/>
              </w:rPr>
              <w:t>《北部湾港总体规划（2035年）环境影响报告书》</w:t>
            </w:r>
            <w:r>
              <w:rPr>
                <w:rFonts w:hint="eastAsia" w:cs="Times New Roman"/>
                <w:b w:val="0"/>
                <w:bCs w:val="0"/>
                <w:color w:val="auto"/>
                <w:sz w:val="24"/>
                <w:szCs w:val="24"/>
                <w:highlight w:val="none"/>
                <w:u w:val="single" w:color="auto"/>
                <w:lang w:val="en-US" w:eastAsia="zh-CN"/>
              </w:rPr>
              <w:t>13.5章节规划优化调整及实施建议中对于</w:t>
            </w:r>
            <w:r>
              <w:rPr>
                <w:rFonts w:hint="default" w:ascii="Times New Roman" w:hAnsi="Times New Roman" w:eastAsia="宋体" w:cs="Times New Roman"/>
                <w:b w:val="0"/>
                <w:bCs w:val="0"/>
                <w:color w:val="auto"/>
                <w:sz w:val="24"/>
                <w:szCs w:val="24"/>
                <w:highlight w:val="none"/>
                <w:u w:val="single" w:color="auto"/>
                <w:lang w:val="en-US" w:eastAsia="zh-CN"/>
              </w:rPr>
              <w:t>大榄坪港区大榄坪南作业区提出</w:t>
            </w:r>
            <w:r>
              <w:rPr>
                <w:rFonts w:hint="eastAsia" w:cs="Times New Roman"/>
                <w:b w:val="0"/>
                <w:bCs w:val="0"/>
                <w:color w:val="auto"/>
                <w:sz w:val="24"/>
                <w:szCs w:val="24"/>
                <w:highlight w:val="none"/>
                <w:u w:val="single" w:color="auto"/>
                <w:lang w:val="en-US" w:eastAsia="zh-CN"/>
              </w:rPr>
              <w:t>的</w:t>
            </w:r>
            <w:r>
              <w:rPr>
                <w:rFonts w:hint="default" w:ascii="Times New Roman" w:hAnsi="Times New Roman" w:eastAsia="宋体" w:cs="Times New Roman"/>
                <w:b w:val="0"/>
                <w:bCs w:val="0"/>
                <w:color w:val="auto"/>
                <w:sz w:val="24"/>
                <w:szCs w:val="24"/>
                <w:highlight w:val="none"/>
                <w:u w:val="single" w:color="auto"/>
                <w:lang w:val="en-US" w:eastAsia="zh-CN"/>
              </w:rPr>
              <w:t>规划优化调整建议</w:t>
            </w:r>
            <w:r>
              <w:rPr>
                <w:rFonts w:hint="eastAsia" w:cs="Times New Roman"/>
                <w:b w:val="0"/>
                <w:bCs w:val="0"/>
                <w:color w:val="auto"/>
                <w:sz w:val="24"/>
                <w:szCs w:val="24"/>
                <w:highlight w:val="none"/>
                <w:u w:val="single" w:color="auto"/>
                <w:lang w:val="en-US" w:eastAsia="zh-CN"/>
              </w:rPr>
              <w:t>为：大榄坪港区大榄坪南作业区支持系统区尚未有纳入国家重大战略的项目，建议采用透水式结构（栈桥或引桥）设置码头，取消新增围填海 16.4 公顷。</w:t>
            </w:r>
            <w:r>
              <w:rPr>
                <w:rFonts w:hint="default" w:ascii="Times New Roman" w:hAnsi="Times New Roman" w:eastAsia="宋体" w:cs="Times New Roman"/>
                <w:b w:val="0"/>
                <w:bCs w:val="0"/>
                <w:color w:val="auto"/>
                <w:sz w:val="24"/>
                <w:szCs w:val="24"/>
                <w:highlight w:val="none"/>
                <w:u w:val="single" w:color="auto"/>
                <w:lang w:val="en-US" w:eastAsia="zh-CN"/>
              </w:rPr>
              <w:t>项目为广西北部湾国际集装箱码头有限公司码头的8类、9类固态危险货物集装箱混堆作业项目</w:t>
            </w:r>
            <w:r>
              <w:rPr>
                <w:rFonts w:hint="eastAsia" w:ascii="Times New Roman" w:hAnsi="Times New Roman" w:eastAsia="宋体" w:cs="Times New Roman"/>
                <w:b w:val="0"/>
                <w:bCs w:val="0"/>
                <w:color w:val="auto"/>
                <w:sz w:val="24"/>
                <w:szCs w:val="24"/>
                <w:highlight w:val="none"/>
                <w:u w:val="single" w:color="auto"/>
                <w:lang w:val="en-US" w:eastAsia="zh-CN"/>
              </w:rPr>
              <w:t>，</w:t>
            </w:r>
            <w:r>
              <w:rPr>
                <w:rFonts w:hint="default" w:ascii="Times New Roman" w:hAnsi="Times New Roman" w:eastAsia="宋体" w:cs="Times New Roman"/>
                <w:b w:val="0"/>
                <w:bCs w:val="0"/>
                <w:color w:val="auto"/>
                <w:sz w:val="24"/>
                <w:szCs w:val="24"/>
                <w:highlight w:val="none"/>
                <w:u w:val="single" w:color="auto"/>
                <w:lang w:val="en-US" w:eastAsia="zh-CN"/>
              </w:rPr>
              <w:t>将3#-5#泊位后方的6个普通货物集装箱堆场改为混堆危险货物集装箱堆场</w:t>
            </w:r>
            <w:r>
              <w:rPr>
                <w:rFonts w:hint="eastAsia" w:cs="Times New Roman"/>
                <w:b w:val="0"/>
                <w:bCs w:val="0"/>
                <w:color w:val="auto"/>
                <w:sz w:val="24"/>
                <w:szCs w:val="24"/>
                <w:highlight w:val="none"/>
                <w:u w:val="single" w:color="auto"/>
                <w:lang w:val="en-US" w:eastAsia="zh-CN"/>
              </w:rPr>
              <w:t>。</w:t>
            </w:r>
            <w:r>
              <w:rPr>
                <w:rFonts w:hint="default" w:ascii="Times New Roman" w:hAnsi="Times New Roman" w:eastAsia="宋体" w:cs="Times New Roman"/>
                <w:b w:val="0"/>
                <w:bCs w:val="0"/>
                <w:color w:val="auto"/>
                <w:sz w:val="24"/>
                <w:szCs w:val="24"/>
                <w:highlight w:val="none"/>
                <w:u w:val="single" w:color="auto"/>
                <w:lang w:val="en-US" w:eastAsia="zh-CN"/>
              </w:rPr>
              <w:t>不涉及规划优化调整建议中的相关内容</w:t>
            </w:r>
            <w:r>
              <w:rPr>
                <w:rFonts w:hint="eastAsia" w:cs="Times New Roman"/>
                <w:b w:val="0"/>
                <w:bCs w:val="0"/>
                <w:color w:val="auto"/>
                <w:sz w:val="24"/>
                <w:szCs w:val="24"/>
                <w:highlight w:val="none"/>
                <w:u w:val="single" w:color="auto"/>
                <w:lang w:val="en-US" w:eastAsia="zh-CN"/>
              </w:rPr>
              <w:t>。</w:t>
            </w:r>
          </w:p>
          <w:p w14:paraId="39F15558">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cs="Times New Roman"/>
                <w:b w:val="0"/>
                <w:bCs w:val="0"/>
                <w:color w:val="auto"/>
                <w:sz w:val="24"/>
                <w:szCs w:val="24"/>
                <w:highlight w:val="none"/>
                <w:u w:val="single" w:color="auto"/>
                <w:lang w:val="en-US" w:eastAsia="zh-CN"/>
              </w:rPr>
            </w:pPr>
            <w:r>
              <w:rPr>
                <w:rFonts w:hint="default" w:ascii="Times New Roman" w:hAnsi="Times New Roman" w:eastAsia="宋体" w:cs="Times New Roman"/>
                <w:b w:val="0"/>
                <w:bCs w:val="0"/>
                <w:color w:val="auto"/>
                <w:sz w:val="24"/>
                <w:szCs w:val="24"/>
                <w:highlight w:val="none"/>
                <w:u w:val="single" w:color="auto"/>
                <w:lang w:val="en-US" w:eastAsia="zh-CN"/>
              </w:rPr>
              <w:t>根据报告书中表</w:t>
            </w:r>
            <w:r>
              <w:rPr>
                <w:rFonts w:hint="eastAsia" w:cs="Times New Roman"/>
                <w:b w:val="0"/>
                <w:bCs w:val="0"/>
                <w:color w:val="auto"/>
                <w:sz w:val="24"/>
                <w:szCs w:val="24"/>
                <w:highlight w:val="none"/>
                <w:u w:val="single" w:color="auto"/>
                <w:lang w:val="en-US" w:eastAsia="zh-CN"/>
              </w:rPr>
              <w:t>8.3-2北部湾港各港区准入负面清单</w:t>
            </w:r>
            <w:r>
              <w:rPr>
                <w:rFonts w:hint="default" w:ascii="Times New Roman" w:hAnsi="Times New Roman" w:eastAsia="宋体" w:cs="Times New Roman"/>
                <w:b w:val="0"/>
                <w:bCs w:val="0"/>
                <w:color w:val="auto"/>
                <w:sz w:val="24"/>
                <w:szCs w:val="24"/>
                <w:highlight w:val="none"/>
                <w:u w:val="single" w:color="auto"/>
                <w:lang w:val="en-US" w:eastAsia="zh-CN"/>
              </w:rPr>
              <w:t>中对于大榄坪</w:t>
            </w:r>
            <w:r>
              <w:rPr>
                <w:rFonts w:hint="eastAsia" w:cs="Times New Roman"/>
                <w:b w:val="0"/>
                <w:bCs w:val="0"/>
                <w:color w:val="auto"/>
                <w:sz w:val="24"/>
                <w:szCs w:val="24"/>
                <w:highlight w:val="none"/>
                <w:u w:val="single" w:color="auto"/>
                <w:lang w:val="en-US" w:eastAsia="zh-CN"/>
              </w:rPr>
              <w:t>港区的功能为以集装箱运输为主，兼顾滚装和散杂货运输，承担平陆运河海河联运；依托中国（广西）自由贸易试验区钦州港片区，发展现代航运服务功能，负面清单为油品、液体化工品。</w:t>
            </w:r>
            <w:r>
              <w:rPr>
                <w:rFonts w:hint="default" w:ascii="Times New Roman" w:hAnsi="Times New Roman" w:eastAsia="宋体" w:cs="Times New Roman"/>
                <w:b w:val="0"/>
                <w:bCs w:val="0"/>
                <w:color w:val="auto"/>
                <w:sz w:val="24"/>
                <w:szCs w:val="24"/>
                <w:highlight w:val="none"/>
                <w:u w:val="single" w:color="auto"/>
                <w:lang w:val="en-US" w:eastAsia="zh-CN"/>
              </w:rPr>
              <w:t>项目为码头的集装箱混堆场，</w:t>
            </w:r>
            <w:r>
              <w:rPr>
                <w:rFonts w:hint="eastAsia" w:cs="Times New Roman"/>
                <w:b w:val="0"/>
                <w:bCs w:val="0"/>
                <w:color w:val="auto"/>
                <w:sz w:val="24"/>
                <w:szCs w:val="24"/>
                <w:highlight w:val="none"/>
                <w:u w:val="single" w:color="auto"/>
                <w:lang w:val="en-US" w:eastAsia="zh-CN"/>
              </w:rPr>
              <w:t>混堆货种为8类、9类固态危险货物，不涉及负面清单中的油品、液体化工品。项目与北部湾港总体规划实施环境准入负面清单符合性详见下表。</w:t>
            </w:r>
          </w:p>
          <w:p w14:paraId="45AFD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表</w:t>
            </w:r>
            <w:r>
              <w:rPr>
                <w:rFonts w:hint="eastAsia" w:ascii="Times New Roman" w:hAnsi="Times New Roman" w:eastAsia="宋体" w:cs="Times New Roman"/>
                <w:b/>
                <w:bCs/>
                <w:color w:val="auto"/>
                <w:sz w:val="21"/>
                <w:szCs w:val="21"/>
                <w:highlight w:val="none"/>
                <w:u w:val="single" w:color="auto"/>
                <w:lang w:val="en-US" w:eastAsia="zh-CN"/>
              </w:rPr>
              <w:t>1-2</w:t>
            </w:r>
            <w:r>
              <w:rPr>
                <w:rFonts w:hint="default" w:ascii="Times New Roman" w:hAnsi="Times New Roman" w:eastAsia="宋体" w:cs="Times New Roman"/>
                <w:b/>
                <w:bCs/>
                <w:color w:val="auto"/>
                <w:sz w:val="21"/>
                <w:szCs w:val="21"/>
                <w:highlight w:val="none"/>
                <w:u w:val="single" w:color="auto"/>
                <w:lang w:val="en-US" w:eastAsia="zh-CN"/>
              </w:rPr>
              <w:t xml:space="preserve"> 北部湾港总体规划实施环境准入负面清单</w:t>
            </w:r>
          </w:p>
          <w:tbl>
            <w:tblPr>
              <w:tblStyle w:val="1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1"/>
              <w:gridCol w:w="720"/>
              <w:gridCol w:w="3376"/>
              <w:gridCol w:w="1656"/>
              <w:gridCol w:w="513"/>
            </w:tblGrid>
            <w:tr w14:paraId="7E14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noWrap w:val="0"/>
                  <w:vAlign w:val="center"/>
                </w:tcPr>
                <w:p w14:paraId="5740F9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b/>
                      <w:bCs/>
                      <w:color w:val="auto"/>
                      <w:spacing w:val="-4"/>
                      <w:sz w:val="21"/>
                      <w:szCs w:val="21"/>
                      <w:u w:val="single" w:color="auto"/>
                    </w:rPr>
                    <w:t>类别</w:t>
                  </w:r>
                </w:p>
              </w:tc>
              <w:tc>
                <w:tcPr>
                  <w:tcW w:w="720" w:type="dxa"/>
                  <w:noWrap w:val="0"/>
                  <w:vAlign w:val="center"/>
                </w:tcPr>
                <w:p w14:paraId="78EB74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b/>
                      <w:bCs/>
                      <w:color w:val="auto"/>
                      <w:spacing w:val="-4"/>
                      <w:sz w:val="21"/>
                      <w:szCs w:val="21"/>
                      <w:u w:val="single" w:color="auto"/>
                    </w:rPr>
                    <w:t>涉及内容</w:t>
                  </w:r>
                </w:p>
              </w:tc>
              <w:tc>
                <w:tcPr>
                  <w:tcW w:w="3376" w:type="dxa"/>
                  <w:noWrap w:val="0"/>
                  <w:vAlign w:val="center"/>
                </w:tcPr>
                <w:p w14:paraId="16A0D3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b/>
                      <w:bCs/>
                      <w:color w:val="auto"/>
                      <w:spacing w:val="-2"/>
                      <w:sz w:val="21"/>
                      <w:szCs w:val="21"/>
                      <w:u w:val="single" w:color="auto"/>
                    </w:rPr>
                    <w:t>禁止准入的工艺、建设项目、船舶、货种</w:t>
                  </w:r>
                </w:p>
              </w:tc>
              <w:tc>
                <w:tcPr>
                  <w:tcW w:w="1656" w:type="dxa"/>
                  <w:noWrap w:val="0"/>
                  <w:vAlign w:val="center"/>
                </w:tcPr>
                <w:p w14:paraId="6DFC28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b/>
                      <w:bCs/>
                      <w:color w:val="auto"/>
                      <w:sz w:val="21"/>
                      <w:szCs w:val="21"/>
                      <w:u w:val="single" w:color="auto"/>
                      <w:lang w:eastAsia="zh-CN"/>
                    </w:rPr>
                  </w:pPr>
                  <w:r>
                    <w:rPr>
                      <w:rFonts w:hint="eastAsia" w:ascii="Times New Roman" w:hAnsi="Times New Roman" w:eastAsia="宋体"/>
                      <w:b/>
                      <w:bCs/>
                      <w:color w:val="auto"/>
                      <w:sz w:val="21"/>
                      <w:szCs w:val="21"/>
                      <w:u w:val="single" w:color="auto"/>
                      <w:lang w:eastAsia="zh-CN"/>
                    </w:rPr>
                    <w:t>本项目</w:t>
                  </w:r>
                </w:p>
              </w:tc>
              <w:tc>
                <w:tcPr>
                  <w:tcW w:w="513" w:type="dxa"/>
                  <w:noWrap w:val="0"/>
                  <w:vAlign w:val="center"/>
                </w:tcPr>
                <w:p w14:paraId="1076DB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b/>
                      <w:bCs/>
                      <w:color w:val="auto"/>
                      <w:sz w:val="21"/>
                      <w:szCs w:val="21"/>
                      <w:u w:val="single" w:color="auto"/>
                      <w:lang w:eastAsia="zh-CN"/>
                    </w:rPr>
                  </w:pPr>
                  <w:r>
                    <w:rPr>
                      <w:rFonts w:hint="eastAsia" w:ascii="Times New Roman" w:hAnsi="Times New Roman" w:eastAsia="宋体"/>
                      <w:b/>
                      <w:bCs/>
                      <w:color w:val="auto"/>
                      <w:sz w:val="21"/>
                      <w:szCs w:val="21"/>
                      <w:u w:val="single" w:color="auto"/>
                      <w:lang w:eastAsia="zh-CN"/>
                    </w:rPr>
                    <w:t>符合性</w:t>
                  </w:r>
                </w:p>
              </w:tc>
            </w:tr>
            <w:tr w14:paraId="58D1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restart"/>
                  <w:noWrap w:val="0"/>
                  <w:vAlign w:val="center"/>
                </w:tcPr>
                <w:p w14:paraId="22E38C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5"/>
                      <w:sz w:val="21"/>
                      <w:szCs w:val="21"/>
                      <w:u w:val="single" w:color="auto"/>
                    </w:rPr>
                    <w:t>建设项目</w:t>
                  </w:r>
                </w:p>
              </w:tc>
              <w:tc>
                <w:tcPr>
                  <w:tcW w:w="720" w:type="dxa"/>
                  <w:noWrap w:val="0"/>
                  <w:vAlign w:val="center"/>
                </w:tcPr>
                <w:p w14:paraId="05A510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3"/>
                      <w:sz w:val="21"/>
                      <w:szCs w:val="21"/>
                      <w:u w:val="single" w:color="auto"/>
                    </w:rPr>
                    <w:t>工艺</w:t>
                  </w:r>
                </w:p>
              </w:tc>
              <w:tc>
                <w:tcPr>
                  <w:tcW w:w="3376" w:type="dxa"/>
                  <w:noWrap w:val="0"/>
                  <w:vAlign w:val="center"/>
                </w:tcPr>
                <w:p w14:paraId="405DB1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废旧船舶滩涂拆解工艺、船长大于</w:t>
                  </w:r>
                  <w:r>
                    <w:rPr>
                      <w:rFonts w:ascii="Times New Roman" w:hAnsi="Times New Roman" w:eastAsia="宋体" w:cs="Times New Roman"/>
                      <w:color w:val="auto"/>
                      <w:spacing w:val="-2"/>
                      <w:sz w:val="21"/>
                      <w:szCs w:val="21"/>
                      <w:u w:val="single" w:color="auto"/>
                    </w:rPr>
                    <w:t>80</w:t>
                  </w:r>
                  <w:r>
                    <w:rPr>
                      <w:rFonts w:ascii="Times New Roman" w:hAnsi="Times New Roman" w:eastAsia="宋体"/>
                      <w:color w:val="auto"/>
                      <w:spacing w:val="-2"/>
                      <w:sz w:val="21"/>
                      <w:szCs w:val="21"/>
                      <w:u w:val="single" w:color="auto"/>
                    </w:rPr>
                    <w:t>米的</w:t>
                  </w:r>
                  <w:r>
                    <w:rPr>
                      <w:rFonts w:ascii="Times New Roman" w:hAnsi="Times New Roman" w:eastAsia="宋体"/>
                      <w:color w:val="auto"/>
                      <w:spacing w:val="-1"/>
                      <w:sz w:val="21"/>
                      <w:szCs w:val="21"/>
                      <w:u w:val="single" w:color="auto"/>
                    </w:rPr>
                    <w:t>船舶整体建造工艺</w:t>
                  </w:r>
                </w:p>
              </w:tc>
              <w:tc>
                <w:tcPr>
                  <w:tcW w:w="1656" w:type="dxa"/>
                  <w:noWrap w:val="0"/>
                  <w:vAlign w:val="center"/>
                </w:tcPr>
                <w:p w14:paraId="3E8E76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val="en-US" w:eastAsia="zh-CN"/>
                    </w:rPr>
                    <w:t>项目</w:t>
                  </w:r>
                  <w:r>
                    <w:rPr>
                      <w:rFonts w:hint="eastAsia" w:ascii="Times New Roman" w:hAnsi="Times New Roman" w:eastAsia="宋体"/>
                      <w:color w:val="auto"/>
                      <w:sz w:val="21"/>
                      <w:szCs w:val="21"/>
                      <w:u w:val="single" w:color="auto"/>
                      <w:lang w:eastAsia="zh-CN"/>
                    </w:rPr>
                    <w:t>不涉及</w:t>
                  </w:r>
                </w:p>
              </w:tc>
              <w:tc>
                <w:tcPr>
                  <w:tcW w:w="513" w:type="dxa"/>
                  <w:noWrap w:val="0"/>
                  <w:vAlign w:val="center"/>
                </w:tcPr>
                <w:p w14:paraId="3385CF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符合</w:t>
                  </w:r>
                </w:p>
              </w:tc>
            </w:tr>
            <w:tr w14:paraId="74CF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78B6E8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vMerge w:val="restart"/>
                  <w:noWrap w:val="0"/>
                  <w:vAlign w:val="center"/>
                </w:tcPr>
                <w:p w14:paraId="60F384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污染控制</w:t>
                  </w:r>
                </w:p>
              </w:tc>
              <w:tc>
                <w:tcPr>
                  <w:tcW w:w="3376" w:type="dxa"/>
                  <w:noWrap w:val="0"/>
                  <w:vAlign w:val="center"/>
                </w:tcPr>
                <w:p w14:paraId="444E47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①粉尘排放浓度＞</w:t>
                  </w:r>
                  <w:r>
                    <w:rPr>
                      <w:rFonts w:ascii="Times New Roman" w:hAnsi="Times New Roman" w:eastAsia="宋体" w:cs="Times New Roman"/>
                      <w:color w:val="auto"/>
                      <w:spacing w:val="-1"/>
                      <w:sz w:val="21"/>
                      <w:szCs w:val="21"/>
                      <w:u w:val="single" w:color="auto"/>
                    </w:rPr>
                    <w:t>1.0mg/m</w:t>
                  </w:r>
                  <w:r>
                    <w:rPr>
                      <w:rFonts w:hint="eastAsia" w:ascii="Times New Roman" w:hAnsi="Times New Roman" w:eastAsia="宋体" w:cs="Times New Roman"/>
                      <w:color w:val="auto"/>
                      <w:spacing w:val="-1"/>
                      <w:sz w:val="21"/>
                      <w:szCs w:val="21"/>
                      <w:u w:val="single" w:color="auto"/>
                      <w:vertAlign w:val="superscript"/>
                      <w:lang w:val="en-US" w:eastAsia="zh-CN"/>
                    </w:rPr>
                    <w:t>3</w:t>
                  </w:r>
                  <w:r>
                    <w:rPr>
                      <w:rFonts w:ascii="Times New Roman" w:hAnsi="Times New Roman" w:eastAsia="宋体"/>
                      <w:color w:val="auto"/>
                      <w:spacing w:val="-1"/>
                      <w:sz w:val="21"/>
                      <w:szCs w:val="21"/>
                      <w:u w:val="single" w:color="auto"/>
                    </w:rPr>
                    <w:t>；</w:t>
                  </w:r>
                </w:p>
                <w:p w14:paraId="0E81C7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6"/>
                      <w:sz w:val="21"/>
                      <w:szCs w:val="21"/>
                      <w:u w:val="single" w:color="auto"/>
                    </w:rPr>
                    <w:t>②</w:t>
                  </w:r>
                  <w:r>
                    <w:rPr>
                      <w:rFonts w:ascii="Times New Roman" w:hAnsi="Times New Roman" w:eastAsia="宋体" w:cs="Times New Roman"/>
                      <w:color w:val="auto"/>
                      <w:sz w:val="21"/>
                      <w:szCs w:val="21"/>
                      <w:u w:val="single" w:color="auto"/>
                    </w:rPr>
                    <w:t>VOC</w:t>
                  </w:r>
                  <w:r>
                    <w:rPr>
                      <w:rFonts w:ascii="Times New Roman" w:hAnsi="Times New Roman" w:eastAsia="宋体"/>
                      <w:color w:val="auto"/>
                      <w:spacing w:val="6"/>
                      <w:sz w:val="21"/>
                      <w:szCs w:val="21"/>
                      <w:u w:val="single" w:color="auto"/>
                    </w:rPr>
                    <w:t>排放浓度＞《大气污染物综合排放</w:t>
                  </w:r>
                  <w:r>
                    <w:rPr>
                      <w:rFonts w:ascii="Times New Roman" w:hAnsi="Times New Roman" w:eastAsia="宋体"/>
                      <w:color w:val="auto"/>
                      <w:spacing w:val="1"/>
                      <w:sz w:val="21"/>
                      <w:szCs w:val="21"/>
                      <w:u w:val="single" w:color="auto"/>
                    </w:rPr>
                    <w:t>标准》</w:t>
                  </w:r>
                  <w:r>
                    <w:rPr>
                      <w:rFonts w:hint="eastAsia"/>
                      <w:color w:val="auto"/>
                      <w:spacing w:val="1"/>
                      <w:sz w:val="21"/>
                      <w:szCs w:val="21"/>
                      <w:u w:val="single" w:color="auto"/>
                      <w:lang w:eastAsia="zh-CN"/>
                    </w:rPr>
                    <w:t>（</w:t>
                  </w:r>
                  <w:r>
                    <w:rPr>
                      <w:rFonts w:ascii="Times New Roman" w:hAnsi="Times New Roman" w:eastAsia="宋体" w:cs="Times New Roman"/>
                      <w:color w:val="auto"/>
                      <w:sz w:val="21"/>
                      <w:szCs w:val="21"/>
                      <w:u w:val="single" w:color="auto"/>
                    </w:rPr>
                    <w:t>GB</w:t>
                  </w:r>
                  <w:r>
                    <w:rPr>
                      <w:rFonts w:ascii="Times New Roman" w:hAnsi="Times New Roman" w:eastAsia="宋体" w:cs="Times New Roman"/>
                      <w:color w:val="auto"/>
                      <w:spacing w:val="1"/>
                      <w:sz w:val="21"/>
                      <w:szCs w:val="21"/>
                      <w:u w:val="single" w:color="auto"/>
                    </w:rPr>
                    <w:t>16297)</w:t>
                  </w:r>
                  <w:r>
                    <w:rPr>
                      <w:rFonts w:ascii="Times New Roman" w:hAnsi="Times New Roman" w:eastAsia="宋体"/>
                      <w:color w:val="auto"/>
                      <w:spacing w:val="1"/>
                      <w:sz w:val="21"/>
                      <w:szCs w:val="21"/>
                      <w:u w:val="single" w:color="auto"/>
                    </w:rPr>
                    <w:t>表</w:t>
                  </w:r>
                  <w:r>
                    <w:rPr>
                      <w:rFonts w:ascii="Times New Roman" w:hAnsi="Times New Roman" w:eastAsia="宋体" w:cs="Times New Roman"/>
                      <w:color w:val="auto"/>
                      <w:spacing w:val="1"/>
                      <w:sz w:val="21"/>
                      <w:szCs w:val="21"/>
                      <w:u w:val="single" w:color="auto"/>
                    </w:rPr>
                    <w:t>2</w:t>
                  </w:r>
                  <w:r>
                    <w:rPr>
                      <w:rFonts w:ascii="Times New Roman" w:hAnsi="Times New Roman" w:eastAsia="宋体"/>
                      <w:color w:val="auto"/>
                      <w:spacing w:val="1"/>
                      <w:sz w:val="21"/>
                      <w:szCs w:val="21"/>
                      <w:u w:val="single" w:color="auto"/>
                    </w:rPr>
                    <w:t>无组织排放监控浓度</w:t>
                  </w:r>
                  <w:r>
                    <w:rPr>
                      <w:rFonts w:ascii="Times New Roman" w:hAnsi="Times New Roman" w:eastAsia="宋体"/>
                      <w:color w:val="auto"/>
                      <w:spacing w:val="-2"/>
                      <w:sz w:val="21"/>
                      <w:szCs w:val="21"/>
                      <w:u w:val="single" w:color="auto"/>
                    </w:rPr>
                    <w:t>限值</w:t>
                  </w:r>
                </w:p>
              </w:tc>
              <w:tc>
                <w:tcPr>
                  <w:tcW w:w="1656" w:type="dxa"/>
                  <w:noWrap w:val="0"/>
                  <w:vAlign w:val="center"/>
                </w:tcPr>
                <w:p w14:paraId="243479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扩建后项目</w:t>
                  </w:r>
                  <w:r>
                    <w:rPr>
                      <w:rFonts w:hint="eastAsia" w:ascii="Times New Roman" w:hAnsi="Times New Roman" w:eastAsia="宋体"/>
                      <w:color w:val="auto"/>
                      <w:sz w:val="21"/>
                      <w:szCs w:val="21"/>
                      <w:u w:val="single" w:color="auto"/>
                      <w:lang w:val="en-US" w:eastAsia="zh-CN"/>
                    </w:rPr>
                    <w:t>所在码头</w:t>
                  </w:r>
                  <w:r>
                    <w:rPr>
                      <w:rFonts w:hint="eastAsia" w:ascii="Times New Roman" w:hAnsi="Times New Roman" w:eastAsia="宋体"/>
                      <w:color w:val="auto"/>
                      <w:sz w:val="21"/>
                      <w:szCs w:val="21"/>
                      <w:u w:val="single" w:color="auto"/>
                      <w:lang w:eastAsia="zh-CN"/>
                    </w:rPr>
                    <w:t>厂界粉尘排放浓度≤</w:t>
                  </w:r>
                  <w:r>
                    <w:rPr>
                      <w:rFonts w:ascii="Times New Roman" w:hAnsi="Times New Roman" w:eastAsia="宋体" w:cs="Times New Roman"/>
                      <w:color w:val="auto"/>
                      <w:spacing w:val="-1"/>
                      <w:sz w:val="21"/>
                      <w:szCs w:val="21"/>
                      <w:u w:val="single" w:color="auto"/>
                    </w:rPr>
                    <w:t>1.0mg/m</w:t>
                  </w:r>
                  <w:r>
                    <w:rPr>
                      <w:rFonts w:hint="eastAsia" w:ascii="Times New Roman" w:hAnsi="Times New Roman" w:eastAsia="宋体" w:cs="Times New Roman"/>
                      <w:color w:val="auto"/>
                      <w:spacing w:val="-1"/>
                      <w:sz w:val="21"/>
                      <w:szCs w:val="21"/>
                      <w:u w:val="single" w:color="auto"/>
                      <w:vertAlign w:val="superscript"/>
                      <w:lang w:val="en-US" w:eastAsia="zh-CN"/>
                    </w:rPr>
                    <w:t>3</w:t>
                  </w:r>
                </w:p>
              </w:tc>
              <w:tc>
                <w:tcPr>
                  <w:tcW w:w="513" w:type="dxa"/>
                  <w:noWrap w:val="0"/>
                  <w:vAlign w:val="center"/>
                </w:tcPr>
                <w:p w14:paraId="058D16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符合</w:t>
                  </w:r>
                </w:p>
              </w:tc>
            </w:tr>
            <w:tr w14:paraId="0C21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33B9CE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vMerge w:val="continue"/>
                  <w:noWrap w:val="0"/>
                  <w:vAlign w:val="center"/>
                </w:tcPr>
                <w:p w14:paraId="100884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3376" w:type="dxa"/>
                  <w:noWrap w:val="0"/>
                  <w:vAlign w:val="center"/>
                </w:tcPr>
                <w:p w14:paraId="1E0F77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①</w:t>
                  </w:r>
                  <w:r>
                    <w:rPr>
                      <w:rFonts w:ascii="Times New Roman" w:hAnsi="Times New Roman" w:eastAsia="宋体" w:cs="Times New Roman"/>
                      <w:color w:val="auto"/>
                      <w:spacing w:val="-1"/>
                      <w:sz w:val="21"/>
                      <w:szCs w:val="21"/>
                      <w:u w:val="single" w:color="auto"/>
                    </w:rPr>
                    <w:t>COD</w:t>
                  </w:r>
                  <w:r>
                    <w:rPr>
                      <w:rFonts w:ascii="Times New Roman" w:hAnsi="Times New Roman" w:eastAsia="宋体"/>
                      <w:color w:val="auto"/>
                      <w:spacing w:val="-1"/>
                      <w:sz w:val="21"/>
                      <w:szCs w:val="21"/>
                      <w:u w:val="single" w:color="auto"/>
                    </w:rPr>
                    <w:t>排放浓度＞</w:t>
                  </w:r>
                  <w:r>
                    <w:rPr>
                      <w:rFonts w:ascii="Times New Roman" w:hAnsi="Times New Roman" w:eastAsia="宋体" w:cs="Times New Roman"/>
                      <w:color w:val="auto"/>
                      <w:spacing w:val="-1"/>
                      <w:sz w:val="21"/>
                      <w:szCs w:val="21"/>
                      <w:u w:val="single" w:color="auto"/>
                    </w:rPr>
                    <w:t>150mg/L</w:t>
                  </w:r>
                  <w:r>
                    <w:rPr>
                      <w:rFonts w:ascii="Times New Roman" w:hAnsi="Times New Roman" w:eastAsia="宋体"/>
                      <w:color w:val="auto"/>
                      <w:spacing w:val="-1"/>
                      <w:sz w:val="21"/>
                      <w:szCs w:val="21"/>
                      <w:u w:val="single" w:color="auto"/>
                    </w:rPr>
                    <w:t>；②石油类排放浓度＞</w:t>
                  </w:r>
                  <w:r>
                    <w:rPr>
                      <w:rFonts w:ascii="Times New Roman" w:hAnsi="Times New Roman" w:eastAsia="宋体" w:cs="Times New Roman"/>
                      <w:color w:val="auto"/>
                      <w:spacing w:val="-1"/>
                      <w:sz w:val="21"/>
                      <w:szCs w:val="21"/>
                      <w:u w:val="single" w:color="auto"/>
                    </w:rPr>
                    <w:t>10mg/L</w:t>
                  </w:r>
                  <w:r>
                    <w:rPr>
                      <w:rFonts w:ascii="Times New Roman" w:hAnsi="Times New Roman" w:eastAsia="宋体"/>
                      <w:color w:val="auto"/>
                      <w:spacing w:val="-1"/>
                      <w:sz w:val="21"/>
                      <w:szCs w:val="21"/>
                      <w:u w:val="single" w:color="auto"/>
                    </w:rPr>
                    <w:t>；</w:t>
                  </w:r>
                </w:p>
              </w:tc>
              <w:tc>
                <w:tcPr>
                  <w:tcW w:w="1656" w:type="dxa"/>
                  <w:noWrap w:val="0"/>
                  <w:vAlign w:val="center"/>
                </w:tcPr>
                <w:p w14:paraId="253E96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项目废水</w:t>
                  </w:r>
                  <w:r>
                    <w:rPr>
                      <w:rFonts w:hint="eastAsia" w:ascii="Times New Roman" w:hAnsi="Times New Roman" w:eastAsia="宋体" w:cs="宋体"/>
                      <w:color w:val="auto"/>
                      <w:kern w:val="0"/>
                      <w:szCs w:val="21"/>
                      <w:u w:val="single" w:color="auto"/>
                      <w:lang w:bidi="ar"/>
                    </w:rPr>
                    <w:t>均回收综合利用，不外排。</w:t>
                  </w:r>
                </w:p>
              </w:tc>
              <w:tc>
                <w:tcPr>
                  <w:tcW w:w="513" w:type="dxa"/>
                  <w:noWrap w:val="0"/>
                  <w:vAlign w:val="center"/>
                </w:tcPr>
                <w:p w14:paraId="78533B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符合</w:t>
                  </w:r>
                </w:p>
              </w:tc>
            </w:tr>
            <w:tr w14:paraId="4AFE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16F9BD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noWrap w:val="0"/>
                  <w:vAlign w:val="center"/>
                </w:tcPr>
                <w:p w14:paraId="0306D6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生态保护</w:t>
                  </w:r>
                </w:p>
              </w:tc>
              <w:tc>
                <w:tcPr>
                  <w:tcW w:w="3376" w:type="dxa"/>
                  <w:noWrap w:val="0"/>
                  <w:vAlign w:val="center"/>
                </w:tcPr>
                <w:p w14:paraId="6D7175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2"/>
                      <w:sz w:val="21"/>
                      <w:szCs w:val="21"/>
                      <w:u w:val="single" w:color="auto"/>
                    </w:rPr>
                    <w:t>①可能对广西山口红树林国家级自然保护</w:t>
                  </w:r>
                  <w:r>
                    <w:rPr>
                      <w:rFonts w:ascii="Times New Roman" w:hAnsi="Times New Roman" w:eastAsia="宋体"/>
                      <w:color w:val="auto"/>
                      <w:spacing w:val="1"/>
                      <w:sz w:val="21"/>
                      <w:szCs w:val="21"/>
                      <w:u w:val="single" w:color="auto"/>
                    </w:rPr>
                    <w:t>区、广西合浦儒艮国家级自然保护区、广西涠洲岛自治区级自然保护区、广西茅尾海红树林自治区级自然保护区、广西北仑河口国家级自然保护区、</w:t>
                  </w:r>
                  <w:r>
                    <w:rPr>
                      <w:rFonts w:hint="eastAsia"/>
                      <w:color w:val="auto"/>
                      <w:spacing w:val="1"/>
                      <w:sz w:val="21"/>
                      <w:szCs w:val="21"/>
                      <w:u w:val="single" w:color="auto"/>
                      <w:lang w:eastAsia="zh-CN"/>
                    </w:rPr>
                    <w:t>北部湾</w:t>
                  </w:r>
                  <w:r>
                    <w:rPr>
                      <w:rFonts w:ascii="Times New Roman" w:hAnsi="Times New Roman" w:eastAsia="宋体"/>
                      <w:color w:val="auto"/>
                      <w:spacing w:val="1"/>
                      <w:sz w:val="21"/>
                      <w:szCs w:val="21"/>
                      <w:u w:val="single" w:color="auto"/>
                    </w:rPr>
                    <w:t>长棘鲷长毛对虾</w:t>
                  </w:r>
                  <w:r>
                    <w:rPr>
                      <w:rFonts w:ascii="Times New Roman" w:hAnsi="Times New Roman" w:eastAsia="宋体"/>
                      <w:color w:val="auto"/>
                      <w:spacing w:val="-2"/>
                      <w:sz w:val="21"/>
                      <w:szCs w:val="21"/>
                      <w:u w:val="single" w:color="auto"/>
                    </w:rPr>
                    <w:t>国家级水产种质资源保护区，</w:t>
                  </w:r>
                  <w:r>
                    <w:rPr>
                      <w:rFonts w:ascii="Times New Roman" w:hAnsi="Times New Roman" w:eastAsia="宋体"/>
                      <w:color w:val="auto"/>
                      <w:spacing w:val="-45"/>
                      <w:sz w:val="21"/>
                      <w:szCs w:val="21"/>
                      <w:u w:val="single" w:color="auto"/>
                    </w:rPr>
                    <w:t xml:space="preserve"> </w:t>
                  </w:r>
                  <w:r>
                    <w:rPr>
                      <w:rFonts w:ascii="Times New Roman" w:hAnsi="Times New Roman" w:eastAsia="宋体"/>
                      <w:color w:val="auto"/>
                      <w:spacing w:val="-2"/>
                      <w:sz w:val="21"/>
                      <w:szCs w:val="21"/>
                      <w:u w:val="single" w:color="auto"/>
                    </w:rPr>
                    <w:t>以及现状红树</w:t>
                  </w:r>
                  <w:r>
                    <w:rPr>
                      <w:rFonts w:ascii="Times New Roman" w:hAnsi="Times New Roman" w:eastAsia="宋体"/>
                      <w:color w:val="auto"/>
                      <w:spacing w:val="1"/>
                      <w:sz w:val="21"/>
                      <w:szCs w:val="21"/>
                      <w:u w:val="single" w:color="auto"/>
                    </w:rPr>
                    <w:t>林和中华白海豚、中国鲎、珊瑚礁、海草床等敏感生物造成影响的，未征求相关主管部</w:t>
                  </w:r>
                  <w:r>
                    <w:rPr>
                      <w:rFonts w:ascii="Times New Roman" w:hAnsi="Times New Roman" w:eastAsia="宋体"/>
                      <w:color w:val="auto"/>
                      <w:spacing w:val="4"/>
                      <w:sz w:val="21"/>
                      <w:szCs w:val="21"/>
                      <w:u w:val="single" w:color="auto"/>
                    </w:rPr>
                    <w:t xml:space="preserve"> </w:t>
                  </w:r>
                  <w:r>
                    <w:rPr>
                      <w:rFonts w:ascii="Times New Roman" w:hAnsi="Times New Roman" w:eastAsia="宋体"/>
                      <w:color w:val="auto"/>
                      <w:spacing w:val="-2"/>
                      <w:sz w:val="21"/>
                      <w:szCs w:val="21"/>
                      <w:u w:val="single" w:color="auto"/>
                    </w:rPr>
                    <w:t>门意见并依法办理有关手续的建设项目；</w:t>
                  </w:r>
                </w:p>
                <w:p w14:paraId="67EB58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②违反国家填海政策的围填海项目</w:t>
                  </w:r>
                </w:p>
              </w:tc>
              <w:tc>
                <w:tcPr>
                  <w:tcW w:w="1656" w:type="dxa"/>
                  <w:noWrap w:val="0"/>
                  <w:vAlign w:val="center"/>
                </w:tcPr>
                <w:p w14:paraId="6DF9F5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val="en-US" w:eastAsia="zh-CN"/>
                    </w:rPr>
                    <w:t>项目为混堆场，</w:t>
                  </w:r>
                  <w:r>
                    <w:rPr>
                      <w:rFonts w:hint="eastAsia" w:ascii="Times New Roman" w:hAnsi="Times New Roman" w:eastAsia="宋体"/>
                      <w:color w:val="auto"/>
                      <w:sz w:val="21"/>
                      <w:szCs w:val="21"/>
                      <w:u w:val="single" w:color="auto"/>
                      <w:lang w:eastAsia="zh-CN"/>
                    </w:rPr>
                    <w:t>依托现有码头，</w:t>
                  </w:r>
                  <w:r>
                    <w:rPr>
                      <w:rFonts w:hint="eastAsia" w:ascii="Times New Roman" w:hAnsi="Times New Roman" w:eastAsia="宋体"/>
                      <w:color w:val="auto"/>
                      <w:sz w:val="21"/>
                      <w:szCs w:val="21"/>
                      <w:u w:val="single" w:color="auto"/>
                      <w:lang w:val="en-US" w:eastAsia="zh-CN"/>
                    </w:rPr>
                    <w:t>不</w:t>
                  </w:r>
                  <w:r>
                    <w:rPr>
                      <w:rFonts w:hint="eastAsia" w:ascii="Times New Roman" w:hAnsi="Times New Roman" w:eastAsia="宋体"/>
                      <w:color w:val="auto"/>
                      <w:sz w:val="21"/>
                      <w:szCs w:val="21"/>
                      <w:u w:val="single" w:color="auto"/>
                    </w:rPr>
                    <w:t>新增围填海内容</w:t>
                  </w:r>
                </w:p>
              </w:tc>
              <w:tc>
                <w:tcPr>
                  <w:tcW w:w="513" w:type="dxa"/>
                  <w:noWrap w:val="0"/>
                  <w:vAlign w:val="center"/>
                </w:tcPr>
                <w:p w14:paraId="6C2E93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符合</w:t>
                  </w:r>
                </w:p>
              </w:tc>
            </w:tr>
            <w:tr w14:paraId="5AE7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restart"/>
                  <w:noWrap w:val="0"/>
                  <w:vAlign w:val="center"/>
                </w:tcPr>
                <w:p w14:paraId="60FF90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进出港船</w:t>
                  </w:r>
                  <w:r>
                    <w:rPr>
                      <w:rFonts w:ascii="Times New Roman" w:hAnsi="Times New Roman" w:eastAsia="宋体"/>
                      <w:color w:val="auto"/>
                      <w:sz w:val="21"/>
                      <w:szCs w:val="21"/>
                      <w:u w:val="single" w:color="auto"/>
                    </w:rPr>
                    <w:t>舶</w:t>
                  </w:r>
                </w:p>
              </w:tc>
              <w:tc>
                <w:tcPr>
                  <w:tcW w:w="720" w:type="dxa"/>
                  <w:noWrap w:val="0"/>
                  <w:vAlign w:val="center"/>
                </w:tcPr>
                <w:p w14:paraId="738A42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船型</w:t>
                  </w:r>
                </w:p>
              </w:tc>
              <w:tc>
                <w:tcPr>
                  <w:tcW w:w="3376" w:type="dxa"/>
                  <w:noWrap w:val="0"/>
                  <w:vAlign w:val="center"/>
                </w:tcPr>
                <w:p w14:paraId="625244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采用整体造船法建造的钢制运输船舶；不符</w:t>
                  </w:r>
                  <w:r>
                    <w:rPr>
                      <w:rFonts w:ascii="Times New Roman" w:hAnsi="Times New Roman" w:eastAsia="宋体"/>
                      <w:color w:val="auto"/>
                      <w:spacing w:val="-1"/>
                      <w:sz w:val="21"/>
                      <w:szCs w:val="21"/>
                      <w:u w:val="single" w:color="auto"/>
                    </w:rPr>
                    <w:t>合规范的改装船舶和已到报废期限的船舶、单壳油船、挂桨机船</w:t>
                  </w:r>
                </w:p>
              </w:tc>
              <w:tc>
                <w:tcPr>
                  <w:tcW w:w="1656" w:type="dxa"/>
                  <w:noWrap w:val="0"/>
                  <w:vAlign w:val="center"/>
                </w:tcPr>
                <w:p w14:paraId="4EF7B1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项目</w:t>
                  </w:r>
                  <w:r>
                    <w:rPr>
                      <w:rFonts w:hint="eastAsia" w:ascii="Times New Roman" w:hAnsi="Times New Roman" w:eastAsia="宋体"/>
                      <w:color w:val="auto"/>
                      <w:sz w:val="21"/>
                      <w:szCs w:val="21"/>
                      <w:u w:val="single" w:color="auto"/>
                      <w:lang w:val="en-US" w:eastAsia="zh-CN"/>
                    </w:rPr>
                    <w:t>所在港区</w:t>
                  </w:r>
                  <w:r>
                    <w:rPr>
                      <w:rFonts w:hint="eastAsia" w:ascii="Times New Roman" w:hAnsi="Times New Roman" w:eastAsia="宋体"/>
                      <w:color w:val="auto"/>
                      <w:sz w:val="21"/>
                      <w:szCs w:val="21"/>
                      <w:u w:val="single" w:color="auto"/>
                      <w:lang w:eastAsia="zh-CN"/>
                    </w:rPr>
                    <w:t>进出港船舶均不涉及以上船型，均满足</w:t>
                  </w:r>
                  <w:r>
                    <w:rPr>
                      <w:rFonts w:ascii="Times New Roman" w:hAnsi="Times New Roman" w:eastAsia="宋体"/>
                      <w:color w:val="auto"/>
                      <w:spacing w:val="-2"/>
                      <w:sz w:val="21"/>
                      <w:szCs w:val="21"/>
                      <w:u w:val="single" w:color="auto"/>
                    </w:rPr>
                    <w:t>《产业结构调整指导目录》</w:t>
                  </w:r>
                  <w:r>
                    <w:rPr>
                      <w:rFonts w:hint="eastAsia" w:ascii="Times New Roman" w:hAnsi="Times New Roman" w:eastAsia="宋体"/>
                      <w:color w:val="auto"/>
                      <w:spacing w:val="-2"/>
                      <w:sz w:val="21"/>
                      <w:szCs w:val="21"/>
                      <w:u w:val="single" w:color="auto"/>
                      <w:lang w:eastAsia="zh-CN"/>
                    </w:rPr>
                    <w:t>，不属于淘汰类设备</w:t>
                  </w:r>
                </w:p>
              </w:tc>
              <w:tc>
                <w:tcPr>
                  <w:tcW w:w="513" w:type="dxa"/>
                  <w:noWrap w:val="0"/>
                  <w:vAlign w:val="center"/>
                </w:tcPr>
                <w:p w14:paraId="510C20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符合</w:t>
                  </w:r>
                </w:p>
              </w:tc>
            </w:tr>
            <w:tr w14:paraId="6061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609ABE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vMerge w:val="restart"/>
                  <w:noWrap w:val="0"/>
                  <w:vAlign w:val="center"/>
                </w:tcPr>
                <w:p w14:paraId="3B58F6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污染物排</w:t>
                  </w:r>
                  <w:r>
                    <w:rPr>
                      <w:rFonts w:ascii="Times New Roman" w:hAnsi="Times New Roman" w:eastAsia="宋体"/>
                      <w:color w:val="auto"/>
                      <w:sz w:val="21"/>
                      <w:szCs w:val="21"/>
                      <w:u w:val="single" w:color="auto"/>
                    </w:rPr>
                    <w:t>放</w:t>
                  </w:r>
                </w:p>
              </w:tc>
              <w:tc>
                <w:tcPr>
                  <w:tcW w:w="3376" w:type="dxa"/>
                  <w:noWrap w:val="0"/>
                  <w:vAlign w:val="center"/>
                </w:tcPr>
                <w:p w14:paraId="20087C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①向沿海海域直接排放油类污染物的船舶；</w:t>
                  </w:r>
                </w:p>
                <w:p w14:paraId="60947F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②船舶的</w:t>
                  </w:r>
                  <w:r>
                    <w:rPr>
                      <w:rFonts w:hint="eastAsia"/>
                      <w:color w:val="auto"/>
                      <w:spacing w:val="1"/>
                      <w:sz w:val="21"/>
                      <w:szCs w:val="21"/>
                      <w:u w:val="single" w:color="auto"/>
                      <w:lang w:eastAsia="zh-CN"/>
                    </w:rPr>
                    <w:t>油</w:t>
                  </w:r>
                  <w:r>
                    <w:rPr>
                      <w:rFonts w:ascii="Times New Roman" w:hAnsi="Times New Roman" w:eastAsia="宋体"/>
                      <w:color w:val="auto"/>
                      <w:spacing w:val="1"/>
                      <w:sz w:val="21"/>
                      <w:szCs w:val="21"/>
                      <w:u w:val="single" w:color="auto"/>
                    </w:rPr>
                    <w:t>污水系统的排放阀以及能够替代该系统工作的其他系统与油污水管路直接相</w:t>
                  </w:r>
                  <w:r>
                    <w:rPr>
                      <w:rFonts w:ascii="Times New Roman" w:hAnsi="Times New Roman" w:eastAsia="宋体"/>
                      <w:color w:val="auto"/>
                      <w:spacing w:val="-1"/>
                      <w:sz w:val="21"/>
                      <w:szCs w:val="21"/>
                      <w:u w:val="single" w:color="auto"/>
                    </w:rPr>
                    <w:t>连的阀门未按要求予以铅封的船舶</w:t>
                  </w:r>
                </w:p>
              </w:tc>
              <w:tc>
                <w:tcPr>
                  <w:tcW w:w="1656" w:type="dxa"/>
                  <w:noWrap w:val="0"/>
                  <w:vAlign w:val="center"/>
                </w:tcPr>
                <w:p w14:paraId="17C6FD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val="en-US" w:eastAsia="zh-CN"/>
                    </w:rPr>
                    <w:t>项目所在港区船舶污水由船方或船代自行委托有资质的相关单位进行处置，不直接外排。</w:t>
                  </w:r>
                </w:p>
              </w:tc>
              <w:tc>
                <w:tcPr>
                  <w:tcW w:w="513" w:type="dxa"/>
                  <w:noWrap w:val="0"/>
                  <w:vAlign w:val="center"/>
                </w:tcPr>
                <w:p w14:paraId="6D241E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符合</w:t>
                  </w:r>
                </w:p>
              </w:tc>
            </w:tr>
            <w:tr w14:paraId="40AA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6E0412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vMerge w:val="continue"/>
                  <w:noWrap w:val="0"/>
                  <w:vAlign w:val="center"/>
                </w:tcPr>
                <w:p w14:paraId="5EA7FC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3376" w:type="dxa"/>
                  <w:noWrap w:val="0"/>
                  <w:vAlign w:val="center"/>
                </w:tcPr>
                <w:p w14:paraId="3209E7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船舶污染物排放不符合《船舶污染物排放标</w:t>
                  </w:r>
                  <w:r>
                    <w:rPr>
                      <w:rFonts w:ascii="Times New Roman" w:hAnsi="Times New Roman" w:eastAsia="宋体"/>
                      <w:color w:val="auto"/>
                      <w:spacing w:val="-1"/>
                      <w:sz w:val="21"/>
                      <w:szCs w:val="21"/>
                      <w:u w:val="single" w:color="auto"/>
                    </w:rPr>
                    <w:t>准》</w:t>
                  </w:r>
                  <w:r>
                    <w:rPr>
                      <w:rFonts w:hint="eastAsia"/>
                      <w:color w:val="auto"/>
                      <w:spacing w:val="-1"/>
                      <w:sz w:val="21"/>
                      <w:szCs w:val="21"/>
                      <w:u w:val="single" w:color="auto"/>
                      <w:lang w:eastAsia="zh-CN"/>
                    </w:rPr>
                    <w:t>（</w:t>
                  </w:r>
                  <w:r>
                    <w:rPr>
                      <w:rFonts w:ascii="Times New Roman" w:hAnsi="Times New Roman" w:eastAsia="宋体" w:cs="Times New Roman"/>
                      <w:color w:val="auto"/>
                      <w:spacing w:val="-1"/>
                      <w:sz w:val="21"/>
                      <w:szCs w:val="21"/>
                      <w:u w:val="single" w:color="auto"/>
                    </w:rPr>
                    <w:t>GB3552-2018)</w:t>
                  </w:r>
                  <w:r>
                    <w:rPr>
                      <w:rFonts w:ascii="Times New Roman" w:hAnsi="Times New Roman" w:eastAsia="宋体"/>
                      <w:color w:val="auto"/>
                      <w:spacing w:val="-1"/>
                      <w:sz w:val="21"/>
                      <w:szCs w:val="21"/>
                      <w:u w:val="single" w:color="auto"/>
                    </w:rPr>
                    <w:t>的船舶</w:t>
                  </w:r>
                </w:p>
              </w:tc>
              <w:tc>
                <w:tcPr>
                  <w:tcW w:w="1656" w:type="dxa"/>
                  <w:noWrap w:val="0"/>
                  <w:vAlign w:val="center"/>
                </w:tcPr>
                <w:p w14:paraId="2F8267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color w:val="auto"/>
                      <w:sz w:val="21"/>
                      <w:szCs w:val="21"/>
                      <w:u w:val="single" w:color="auto"/>
                    </w:rPr>
                  </w:pPr>
                  <w:r>
                    <w:rPr>
                      <w:rFonts w:ascii="Times New Roman" w:hAnsi="Times New Roman" w:eastAsia="宋体"/>
                      <w:color w:val="auto"/>
                      <w:spacing w:val="1"/>
                      <w:sz w:val="21"/>
                      <w:szCs w:val="21"/>
                      <w:u w:val="single" w:color="auto"/>
                    </w:rPr>
                    <w:t>船舶污染物排放符合《船舶污染物排放标</w:t>
                  </w:r>
                  <w:r>
                    <w:rPr>
                      <w:rFonts w:ascii="Times New Roman" w:hAnsi="Times New Roman" w:eastAsia="宋体"/>
                      <w:color w:val="auto"/>
                      <w:spacing w:val="-1"/>
                      <w:sz w:val="21"/>
                      <w:szCs w:val="21"/>
                      <w:u w:val="single" w:color="auto"/>
                    </w:rPr>
                    <w:t>准》</w:t>
                  </w:r>
                  <w:r>
                    <w:rPr>
                      <w:rFonts w:hint="eastAsia"/>
                      <w:color w:val="auto"/>
                      <w:spacing w:val="-1"/>
                      <w:sz w:val="21"/>
                      <w:szCs w:val="21"/>
                      <w:u w:val="single" w:color="auto"/>
                      <w:lang w:eastAsia="zh-CN"/>
                    </w:rPr>
                    <w:t>（</w:t>
                  </w:r>
                  <w:r>
                    <w:rPr>
                      <w:rFonts w:ascii="Times New Roman" w:hAnsi="Times New Roman" w:eastAsia="宋体" w:cs="Times New Roman"/>
                      <w:color w:val="auto"/>
                      <w:spacing w:val="-1"/>
                      <w:sz w:val="21"/>
                      <w:szCs w:val="21"/>
                      <w:u w:val="single" w:color="auto"/>
                    </w:rPr>
                    <w:t>GB3552-2018)</w:t>
                  </w:r>
                </w:p>
              </w:tc>
              <w:tc>
                <w:tcPr>
                  <w:tcW w:w="513" w:type="dxa"/>
                  <w:noWrap w:val="0"/>
                  <w:vAlign w:val="center"/>
                </w:tcPr>
                <w:p w14:paraId="2D9F98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s="Times New Roman"/>
                      <w:color w:val="auto"/>
                      <w:sz w:val="21"/>
                      <w:szCs w:val="21"/>
                      <w:u w:val="single" w:color="auto"/>
                    </w:rPr>
                  </w:pPr>
                  <w:r>
                    <w:rPr>
                      <w:rFonts w:hint="eastAsia" w:ascii="Times New Roman" w:hAnsi="Times New Roman" w:eastAsia="宋体"/>
                      <w:color w:val="auto"/>
                      <w:sz w:val="21"/>
                      <w:szCs w:val="21"/>
                      <w:u w:val="single" w:color="auto"/>
                      <w:lang w:eastAsia="zh-CN"/>
                    </w:rPr>
                    <w:t>符合</w:t>
                  </w:r>
                </w:p>
              </w:tc>
            </w:tr>
            <w:tr w14:paraId="2E2E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5C0817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vMerge w:val="continue"/>
                  <w:noWrap w:val="0"/>
                  <w:vAlign w:val="center"/>
                </w:tcPr>
                <w:p w14:paraId="3AE1FA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3376" w:type="dxa"/>
                  <w:noWrap w:val="0"/>
                  <w:vAlign w:val="center"/>
                </w:tcPr>
                <w:p w14:paraId="7749DA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不符合</w:t>
                  </w:r>
                  <w:r>
                    <w:rPr>
                      <w:rFonts w:ascii="Times New Roman" w:hAnsi="Times New Roman" w:eastAsia="宋体" w:cs="Times New Roman"/>
                      <w:color w:val="auto"/>
                      <w:spacing w:val="-2"/>
                      <w:sz w:val="21"/>
                      <w:szCs w:val="21"/>
                      <w:u w:val="single" w:color="auto"/>
                    </w:rPr>
                    <w:t>73/78</w:t>
                  </w:r>
                  <w:r>
                    <w:rPr>
                      <w:rFonts w:ascii="Times New Roman" w:hAnsi="Times New Roman" w:eastAsia="宋体"/>
                      <w:color w:val="auto"/>
                      <w:spacing w:val="-2"/>
                      <w:sz w:val="21"/>
                      <w:szCs w:val="21"/>
                      <w:u w:val="single" w:color="auto"/>
                    </w:rPr>
                    <w:t>防污染公约要求的船舶</w:t>
                  </w:r>
                </w:p>
              </w:tc>
              <w:tc>
                <w:tcPr>
                  <w:tcW w:w="1656" w:type="dxa"/>
                  <w:noWrap w:val="0"/>
                  <w:vAlign w:val="center"/>
                </w:tcPr>
                <w:p w14:paraId="3ED26A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val="en-US" w:eastAsia="zh-CN"/>
                    </w:rPr>
                    <w:t>项目</w:t>
                  </w:r>
                  <w:r>
                    <w:rPr>
                      <w:rFonts w:hint="eastAsia" w:ascii="Times New Roman" w:hAnsi="Times New Roman" w:eastAsia="宋体"/>
                      <w:color w:val="auto"/>
                      <w:sz w:val="21"/>
                      <w:szCs w:val="21"/>
                      <w:u w:val="single" w:color="auto"/>
                      <w:lang w:eastAsia="zh-CN"/>
                    </w:rPr>
                    <w:t>不涉及</w:t>
                  </w:r>
                </w:p>
              </w:tc>
              <w:tc>
                <w:tcPr>
                  <w:tcW w:w="513" w:type="dxa"/>
                  <w:noWrap w:val="0"/>
                  <w:vAlign w:val="center"/>
                </w:tcPr>
                <w:p w14:paraId="3B1293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符合</w:t>
                  </w:r>
                </w:p>
              </w:tc>
            </w:tr>
            <w:tr w14:paraId="237A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481AFE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vMerge w:val="continue"/>
                  <w:noWrap w:val="0"/>
                  <w:vAlign w:val="center"/>
                </w:tcPr>
                <w:p w14:paraId="7C1F37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3376" w:type="dxa"/>
                  <w:noWrap w:val="0"/>
                  <w:vAlign w:val="center"/>
                </w:tcPr>
                <w:p w14:paraId="7855AD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不符合《交通运输部关于印发船舶大气污染</w:t>
                  </w:r>
                  <w:r>
                    <w:rPr>
                      <w:rFonts w:ascii="Times New Roman" w:hAnsi="Times New Roman" w:eastAsia="宋体"/>
                      <w:color w:val="auto"/>
                      <w:spacing w:val="12"/>
                      <w:sz w:val="21"/>
                      <w:szCs w:val="21"/>
                      <w:u w:val="single" w:color="auto"/>
                    </w:rPr>
                    <w:t>物排放控制区实施方案的通知》（交海发</w:t>
                  </w:r>
                  <w:r>
                    <w:rPr>
                      <w:rFonts w:ascii="Times New Roman" w:hAnsi="Times New Roman" w:eastAsia="宋体"/>
                      <w:color w:val="auto"/>
                      <w:sz w:val="21"/>
                      <w:szCs w:val="21"/>
                      <w:u w:val="single" w:color="auto"/>
                    </w:rPr>
                    <w:t>〔</w:t>
                  </w:r>
                  <w:r>
                    <w:rPr>
                      <w:rFonts w:ascii="Times New Roman" w:hAnsi="Times New Roman" w:eastAsia="宋体" w:cs="Times New Roman"/>
                      <w:color w:val="auto"/>
                      <w:sz w:val="21"/>
                      <w:szCs w:val="21"/>
                      <w:u w:val="single" w:color="auto"/>
                    </w:rPr>
                    <w:t>2018</w:t>
                  </w:r>
                  <w:r>
                    <w:rPr>
                      <w:rFonts w:ascii="Times New Roman" w:hAnsi="Times New Roman" w:eastAsia="宋体"/>
                      <w:color w:val="auto"/>
                      <w:sz w:val="21"/>
                      <w:szCs w:val="21"/>
                      <w:u w:val="single" w:color="auto"/>
                    </w:rPr>
                    <w:t>〕</w:t>
                  </w:r>
                  <w:r>
                    <w:rPr>
                      <w:rFonts w:ascii="Times New Roman" w:hAnsi="Times New Roman" w:eastAsia="宋体" w:cs="Times New Roman"/>
                      <w:color w:val="auto"/>
                      <w:sz w:val="21"/>
                      <w:szCs w:val="21"/>
                      <w:u w:val="single" w:color="auto"/>
                    </w:rPr>
                    <w:t>168</w:t>
                  </w:r>
                  <w:r>
                    <w:rPr>
                      <w:rFonts w:ascii="Times New Roman" w:hAnsi="Times New Roman" w:eastAsia="宋体"/>
                      <w:color w:val="auto"/>
                      <w:sz w:val="21"/>
                      <w:szCs w:val="21"/>
                      <w:u w:val="single" w:color="auto"/>
                    </w:rPr>
                    <w:t>号）各时段管理要求以及其他</w:t>
                  </w:r>
                  <w:r>
                    <w:rPr>
                      <w:rFonts w:ascii="Times New Roman" w:hAnsi="Times New Roman" w:eastAsia="宋体"/>
                      <w:color w:val="auto"/>
                      <w:spacing w:val="-3"/>
                      <w:sz w:val="21"/>
                      <w:szCs w:val="21"/>
                      <w:u w:val="single" w:color="auto"/>
                    </w:rPr>
                    <w:t>国</w:t>
                  </w:r>
                  <w:r>
                    <w:rPr>
                      <w:rFonts w:hint="eastAsia"/>
                      <w:color w:val="auto"/>
                      <w:spacing w:val="-3"/>
                      <w:sz w:val="21"/>
                      <w:szCs w:val="21"/>
                      <w:u w:val="single" w:color="auto"/>
                      <w:lang w:eastAsia="zh-CN"/>
                    </w:rPr>
                    <w:t>家和</w:t>
                  </w:r>
                  <w:r>
                    <w:rPr>
                      <w:rFonts w:ascii="Times New Roman" w:hAnsi="Times New Roman" w:eastAsia="宋体"/>
                      <w:color w:val="auto"/>
                      <w:spacing w:val="-3"/>
                      <w:sz w:val="21"/>
                      <w:szCs w:val="21"/>
                      <w:u w:val="single" w:color="auto"/>
                    </w:rPr>
                    <w:t>地方有关法律法规要求</w:t>
                  </w:r>
                </w:p>
              </w:tc>
              <w:tc>
                <w:tcPr>
                  <w:tcW w:w="1656" w:type="dxa"/>
                  <w:noWrap w:val="0"/>
                  <w:vAlign w:val="center"/>
                </w:tcPr>
                <w:p w14:paraId="169ADF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val="en-US" w:eastAsia="zh-CN"/>
                    </w:rPr>
                    <w:t>项目</w:t>
                  </w:r>
                  <w:r>
                    <w:rPr>
                      <w:rFonts w:hint="eastAsia" w:ascii="Times New Roman" w:hAnsi="Times New Roman" w:eastAsia="宋体"/>
                      <w:color w:val="auto"/>
                      <w:sz w:val="21"/>
                      <w:szCs w:val="21"/>
                      <w:u w:val="single" w:color="auto"/>
                      <w:lang w:eastAsia="zh-CN"/>
                    </w:rPr>
                    <w:t>不涉及</w:t>
                  </w:r>
                </w:p>
              </w:tc>
              <w:tc>
                <w:tcPr>
                  <w:tcW w:w="513" w:type="dxa"/>
                  <w:noWrap w:val="0"/>
                  <w:vAlign w:val="center"/>
                </w:tcPr>
                <w:p w14:paraId="7A36C7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hint="eastAsia" w:ascii="Times New Roman" w:hAnsi="Times New Roman" w:eastAsia="宋体"/>
                      <w:color w:val="auto"/>
                      <w:sz w:val="21"/>
                      <w:szCs w:val="21"/>
                      <w:u w:val="single" w:color="auto"/>
                      <w:lang w:eastAsia="zh-CN"/>
                    </w:rPr>
                    <w:t>符合</w:t>
                  </w:r>
                </w:p>
              </w:tc>
            </w:tr>
            <w:tr w14:paraId="5594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vMerge w:val="continue"/>
                  <w:noWrap w:val="0"/>
                  <w:vAlign w:val="center"/>
                </w:tcPr>
                <w:p w14:paraId="15F53A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p>
              </w:tc>
              <w:tc>
                <w:tcPr>
                  <w:tcW w:w="720" w:type="dxa"/>
                  <w:noWrap w:val="0"/>
                  <w:vAlign w:val="center"/>
                </w:tcPr>
                <w:p w14:paraId="1870CD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压载水管</w:t>
                  </w:r>
                  <w:r>
                    <w:rPr>
                      <w:rFonts w:ascii="Times New Roman" w:hAnsi="Times New Roman" w:eastAsia="宋体"/>
                      <w:color w:val="auto"/>
                      <w:sz w:val="21"/>
                      <w:szCs w:val="21"/>
                      <w:u w:val="single" w:color="auto"/>
                    </w:rPr>
                    <w:t>理</w:t>
                  </w:r>
                </w:p>
              </w:tc>
              <w:tc>
                <w:tcPr>
                  <w:tcW w:w="3376" w:type="dxa"/>
                  <w:noWrap w:val="0"/>
                  <w:vAlign w:val="center"/>
                </w:tcPr>
                <w:p w14:paraId="45FE48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1"/>
                      <w:sz w:val="21"/>
                      <w:szCs w:val="21"/>
                      <w:u w:val="single" w:color="auto"/>
                    </w:rPr>
                    <w:t>从</w:t>
                  </w:r>
                  <w:r>
                    <w:rPr>
                      <w:rFonts w:ascii="Times New Roman" w:hAnsi="Times New Roman" w:eastAsia="宋体" w:cs="Times New Roman"/>
                      <w:color w:val="auto"/>
                      <w:spacing w:val="1"/>
                      <w:sz w:val="21"/>
                      <w:szCs w:val="21"/>
                      <w:u w:val="single" w:color="auto"/>
                    </w:rPr>
                    <w:t>2009</w:t>
                  </w:r>
                  <w:r>
                    <w:rPr>
                      <w:rFonts w:ascii="Times New Roman" w:hAnsi="Times New Roman" w:eastAsia="宋体"/>
                      <w:color w:val="auto"/>
                      <w:spacing w:val="1"/>
                      <w:sz w:val="21"/>
                      <w:szCs w:val="21"/>
                      <w:u w:val="single" w:color="auto"/>
                    </w:rPr>
                    <w:t>年起未安装压载水处理设备新造船</w:t>
                  </w:r>
                  <w:r>
                    <w:rPr>
                      <w:rFonts w:ascii="Times New Roman" w:hAnsi="Times New Roman" w:eastAsia="宋体"/>
                      <w:color w:val="auto"/>
                      <w:spacing w:val="-1"/>
                      <w:sz w:val="21"/>
                      <w:szCs w:val="21"/>
                      <w:u w:val="single" w:color="auto"/>
                    </w:rPr>
                    <w:t>舶，未安装压载水处理设备的远洋船舶</w:t>
                  </w:r>
                </w:p>
              </w:tc>
              <w:tc>
                <w:tcPr>
                  <w:tcW w:w="1656" w:type="dxa"/>
                  <w:noWrap w:val="0"/>
                  <w:vAlign w:val="center"/>
                </w:tcPr>
                <w:p w14:paraId="6A7986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项目</w:t>
                  </w:r>
                  <w:r>
                    <w:rPr>
                      <w:rFonts w:hint="eastAsia" w:ascii="Times New Roman" w:hAnsi="Times New Roman" w:eastAsia="宋体"/>
                      <w:color w:val="auto"/>
                      <w:sz w:val="21"/>
                      <w:szCs w:val="21"/>
                      <w:u w:val="single" w:color="auto"/>
                      <w:lang w:val="en-US" w:eastAsia="zh-CN"/>
                    </w:rPr>
                    <w:t>所在港区</w:t>
                  </w:r>
                  <w:r>
                    <w:rPr>
                      <w:rFonts w:hint="eastAsia" w:ascii="Times New Roman" w:hAnsi="Times New Roman" w:eastAsia="宋体"/>
                      <w:color w:val="auto"/>
                      <w:sz w:val="21"/>
                      <w:szCs w:val="21"/>
                      <w:u w:val="single" w:color="auto"/>
                      <w:lang w:eastAsia="zh-CN"/>
                    </w:rPr>
                    <w:t>进港船舶已安装</w:t>
                  </w:r>
                  <w:r>
                    <w:rPr>
                      <w:rFonts w:ascii="Times New Roman" w:hAnsi="Times New Roman" w:eastAsia="宋体"/>
                      <w:color w:val="auto"/>
                      <w:spacing w:val="1"/>
                      <w:sz w:val="21"/>
                      <w:szCs w:val="21"/>
                      <w:u w:val="single" w:color="auto"/>
                    </w:rPr>
                    <w:t>压载水处理设备</w:t>
                  </w:r>
                </w:p>
              </w:tc>
              <w:tc>
                <w:tcPr>
                  <w:tcW w:w="513" w:type="dxa"/>
                  <w:noWrap w:val="0"/>
                  <w:vAlign w:val="center"/>
                </w:tcPr>
                <w:p w14:paraId="0B274D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符合</w:t>
                  </w:r>
                </w:p>
              </w:tc>
            </w:tr>
            <w:tr w14:paraId="7488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1" w:type="dxa"/>
                  <w:noWrap w:val="0"/>
                  <w:vAlign w:val="center"/>
                </w:tcPr>
                <w:p w14:paraId="3FC0A9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3"/>
                      <w:sz w:val="21"/>
                      <w:szCs w:val="21"/>
                      <w:u w:val="single" w:color="auto"/>
                    </w:rPr>
                    <w:t>运输</w:t>
                  </w:r>
                  <w:r>
                    <w:rPr>
                      <w:rFonts w:ascii="Times New Roman" w:hAnsi="Times New Roman" w:eastAsia="宋体"/>
                      <w:color w:val="auto"/>
                      <w:spacing w:val="-6"/>
                      <w:sz w:val="21"/>
                      <w:szCs w:val="21"/>
                      <w:u w:val="single" w:color="auto"/>
                    </w:rPr>
                    <w:t>货种</w:t>
                  </w:r>
                </w:p>
              </w:tc>
              <w:tc>
                <w:tcPr>
                  <w:tcW w:w="720" w:type="dxa"/>
                  <w:noWrap w:val="0"/>
                  <w:vAlign w:val="center"/>
                </w:tcPr>
                <w:p w14:paraId="0A91D0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宋体"/>
                      <w:color w:val="auto"/>
                      <w:sz w:val="21"/>
                      <w:szCs w:val="21"/>
                      <w:u w:val="single" w:color="auto"/>
                    </w:rPr>
                  </w:pPr>
                  <w:r>
                    <w:rPr>
                      <w:rFonts w:ascii="Times New Roman" w:hAnsi="Times New Roman" w:eastAsia="宋体"/>
                      <w:color w:val="auto"/>
                      <w:spacing w:val="-3"/>
                      <w:sz w:val="21"/>
                      <w:szCs w:val="21"/>
                      <w:u w:val="single" w:color="auto"/>
                    </w:rPr>
                    <w:t>货物性质</w:t>
                  </w:r>
                </w:p>
              </w:tc>
              <w:tc>
                <w:tcPr>
                  <w:tcW w:w="3376" w:type="dxa"/>
                  <w:noWrap w:val="0"/>
                  <w:vAlign w:val="center"/>
                </w:tcPr>
                <w:p w14:paraId="34A5F0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both"/>
                    <w:textAlignment w:val="auto"/>
                    <w:rPr>
                      <w:rFonts w:ascii="Times New Roman" w:hAnsi="Times New Roman" w:eastAsia="宋体"/>
                      <w:color w:val="auto"/>
                      <w:sz w:val="21"/>
                      <w:szCs w:val="21"/>
                      <w:u w:val="single" w:color="auto"/>
                    </w:rPr>
                  </w:pPr>
                  <w:r>
                    <w:rPr>
                      <w:rFonts w:ascii="Times New Roman" w:hAnsi="Times New Roman" w:eastAsia="宋体"/>
                      <w:color w:val="auto"/>
                      <w:spacing w:val="-2"/>
                      <w:sz w:val="21"/>
                      <w:szCs w:val="21"/>
                      <w:u w:val="single" w:color="auto"/>
                    </w:rPr>
                    <w:t>《产业结构调整指导目录》淘汰类的设备、</w:t>
                  </w:r>
                  <w:r>
                    <w:rPr>
                      <w:rFonts w:ascii="Times New Roman" w:hAnsi="Times New Roman" w:eastAsia="宋体"/>
                      <w:color w:val="auto"/>
                      <w:spacing w:val="-1"/>
                      <w:sz w:val="21"/>
                      <w:szCs w:val="21"/>
                      <w:u w:val="single" w:color="auto"/>
                    </w:rPr>
                    <w:t>产品以及原辅材料</w:t>
                  </w:r>
                </w:p>
              </w:tc>
              <w:tc>
                <w:tcPr>
                  <w:tcW w:w="1656" w:type="dxa"/>
                  <w:noWrap w:val="0"/>
                  <w:vAlign w:val="center"/>
                </w:tcPr>
                <w:p w14:paraId="31D29D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项目</w:t>
                  </w:r>
                  <w:r>
                    <w:rPr>
                      <w:rFonts w:hint="eastAsia" w:ascii="Times New Roman" w:hAnsi="Times New Roman" w:eastAsia="宋体"/>
                      <w:color w:val="auto"/>
                      <w:sz w:val="21"/>
                      <w:szCs w:val="21"/>
                      <w:u w:val="single" w:color="auto"/>
                      <w:lang w:val="en-US" w:eastAsia="zh-CN"/>
                    </w:rPr>
                    <w:t>所在港区</w:t>
                  </w:r>
                  <w:r>
                    <w:rPr>
                      <w:rFonts w:hint="eastAsia" w:ascii="Times New Roman" w:hAnsi="Times New Roman" w:eastAsia="宋体"/>
                      <w:color w:val="auto"/>
                      <w:sz w:val="21"/>
                      <w:szCs w:val="21"/>
                      <w:u w:val="single" w:color="auto"/>
                      <w:lang w:eastAsia="zh-CN"/>
                    </w:rPr>
                    <w:t>船舶等设备、运输货种等均不属于</w:t>
                  </w:r>
                  <w:r>
                    <w:rPr>
                      <w:rFonts w:ascii="Times New Roman" w:hAnsi="Times New Roman" w:eastAsia="宋体"/>
                      <w:color w:val="auto"/>
                      <w:spacing w:val="-2"/>
                      <w:sz w:val="21"/>
                      <w:szCs w:val="21"/>
                      <w:u w:val="single" w:color="auto"/>
                    </w:rPr>
                    <w:t>《产业结构调整指导目录》淘汰类</w:t>
                  </w:r>
                </w:p>
              </w:tc>
              <w:tc>
                <w:tcPr>
                  <w:tcW w:w="513" w:type="dxa"/>
                  <w:noWrap w:val="0"/>
                  <w:vAlign w:val="center"/>
                </w:tcPr>
                <w:p w14:paraId="0682AC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olor w:val="auto"/>
                      <w:sz w:val="21"/>
                      <w:szCs w:val="21"/>
                      <w:u w:val="single" w:color="auto"/>
                      <w:lang w:eastAsia="zh-CN"/>
                    </w:rPr>
                  </w:pPr>
                  <w:r>
                    <w:rPr>
                      <w:rFonts w:hint="eastAsia" w:ascii="Times New Roman" w:hAnsi="Times New Roman" w:eastAsia="宋体"/>
                      <w:color w:val="auto"/>
                      <w:sz w:val="21"/>
                      <w:szCs w:val="21"/>
                      <w:u w:val="single" w:color="auto"/>
                      <w:lang w:eastAsia="zh-CN"/>
                    </w:rPr>
                    <w:t>符合</w:t>
                  </w:r>
                </w:p>
              </w:tc>
            </w:tr>
          </w:tbl>
          <w:p w14:paraId="27F3E628">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cs="Times New Roman"/>
                <w:b w:val="0"/>
                <w:bCs w:val="0"/>
                <w:color w:val="auto"/>
                <w:sz w:val="24"/>
                <w:szCs w:val="24"/>
                <w:highlight w:val="none"/>
                <w:u w:val="single" w:color="auto"/>
                <w:lang w:val="en-US" w:eastAsia="zh-CN"/>
              </w:rPr>
            </w:pPr>
            <w:r>
              <w:rPr>
                <w:rFonts w:hint="eastAsia" w:cs="Times New Roman"/>
                <w:b w:val="0"/>
                <w:bCs w:val="0"/>
                <w:color w:val="auto"/>
                <w:sz w:val="24"/>
                <w:szCs w:val="24"/>
                <w:highlight w:val="none"/>
                <w:u w:val="single" w:color="auto"/>
                <w:lang w:val="en-US" w:eastAsia="zh-CN"/>
              </w:rPr>
              <w:t>根据《北部湾港总体规划（2035年）环境影响报告书》中规划环境保护对策章节，项目与规划环评中相关环保要求相符性详见下表。</w:t>
            </w:r>
          </w:p>
          <w:p w14:paraId="571F4E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表1-3项目与《北部湾港总体规划（2035年）环境影响报告书》中相关环保要求相符性分析</w:t>
            </w: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8"/>
              <w:gridCol w:w="3775"/>
              <w:gridCol w:w="2333"/>
            </w:tblGrid>
            <w:tr w14:paraId="50D708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tcBorders>
                    <w:tl2br w:val="nil"/>
                    <w:tr2bl w:val="nil"/>
                  </w:tcBorders>
                  <w:noWrap w:val="0"/>
                  <w:tcMar>
                    <w:left w:w="28" w:type="dxa"/>
                    <w:right w:w="28" w:type="dxa"/>
                  </w:tcMar>
                  <w:vAlign w:val="center"/>
                </w:tcPr>
                <w:p w14:paraId="0CD58C88">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single" w:color="auto"/>
                      <w:lang w:val="en-US" w:eastAsia="zh-CN"/>
                    </w:rPr>
                  </w:pPr>
                  <w:r>
                    <w:rPr>
                      <w:rFonts w:hint="eastAsia" w:cs="Times New Roman"/>
                      <w:b/>
                      <w:bCs/>
                      <w:caps w:val="0"/>
                      <w:color w:val="auto"/>
                      <w:sz w:val="21"/>
                      <w:szCs w:val="21"/>
                      <w:highlight w:val="none"/>
                      <w:u w:val="single" w:color="auto"/>
                      <w:lang w:val="en-US" w:eastAsia="zh-CN"/>
                    </w:rPr>
                    <w:t>相关要素</w:t>
                  </w:r>
                </w:p>
              </w:tc>
              <w:tc>
                <w:tcPr>
                  <w:tcW w:w="3775" w:type="dxa"/>
                  <w:tcBorders>
                    <w:tl2br w:val="nil"/>
                    <w:tr2bl w:val="nil"/>
                  </w:tcBorders>
                  <w:noWrap w:val="0"/>
                  <w:tcMar>
                    <w:left w:w="28" w:type="dxa"/>
                    <w:right w:w="28" w:type="dxa"/>
                  </w:tcMar>
                  <w:vAlign w:val="center"/>
                </w:tcPr>
                <w:p w14:paraId="696F8BE9">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single" w:color="auto"/>
                      <w:lang w:val="en-US" w:eastAsia="zh-CN"/>
                    </w:rPr>
                  </w:pPr>
                  <w:r>
                    <w:rPr>
                      <w:rFonts w:hint="eastAsia" w:cs="Times New Roman"/>
                      <w:b/>
                      <w:bCs/>
                      <w:caps w:val="0"/>
                      <w:color w:val="auto"/>
                      <w:sz w:val="21"/>
                      <w:szCs w:val="21"/>
                      <w:highlight w:val="none"/>
                      <w:u w:val="single" w:color="auto"/>
                      <w:lang w:val="en-US" w:eastAsia="zh-CN"/>
                    </w:rPr>
                    <w:t>规划环评中与项目相关要求</w:t>
                  </w:r>
                </w:p>
              </w:tc>
              <w:tc>
                <w:tcPr>
                  <w:tcW w:w="2333" w:type="dxa"/>
                  <w:tcBorders>
                    <w:tl2br w:val="nil"/>
                    <w:tr2bl w:val="nil"/>
                  </w:tcBorders>
                  <w:noWrap w:val="0"/>
                  <w:tcMar>
                    <w:left w:w="28" w:type="dxa"/>
                    <w:right w:w="28" w:type="dxa"/>
                  </w:tcMar>
                  <w:vAlign w:val="center"/>
                </w:tcPr>
                <w:p w14:paraId="535B5724">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single" w:color="auto"/>
                    </w:rPr>
                  </w:pPr>
                  <w:r>
                    <w:rPr>
                      <w:rFonts w:hint="eastAsia" w:cs="Times New Roman"/>
                      <w:b/>
                      <w:bCs/>
                      <w:caps w:val="0"/>
                      <w:color w:val="auto"/>
                      <w:sz w:val="21"/>
                      <w:szCs w:val="21"/>
                      <w:highlight w:val="none"/>
                      <w:u w:val="single" w:color="auto"/>
                      <w:lang w:val="en-US" w:eastAsia="zh-CN"/>
                    </w:rPr>
                    <w:t>项目</w:t>
                  </w:r>
                  <w:r>
                    <w:rPr>
                      <w:rFonts w:hint="default" w:ascii="Times New Roman" w:hAnsi="Times New Roman" w:eastAsia="宋体" w:cs="Times New Roman"/>
                      <w:b/>
                      <w:bCs/>
                      <w:caps w:val="0"/>
                      <w:color w:val="auto"/>
                      <w:sz w:val="21"/>
                      <w:szCs w:val="21"/>
                      <w:highlight w:val="none"/>
                      <w:u w:val="single" w:color="auto"/>
                    </w:rPr>
                    <w:t>相符性分析</w:t>
                  </w:r>
                </w:p>
              </w:tc>
            </w:tr>
            <w:tr w14:paraId="4B1133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tcBorders>
                    <w:tl2br w:val="nil"/>
                    <w:tr2bl w:val="nil"/>
                  </w:tcBorders>
                  <w:noWrap w:val="0"/>
                  <w:tcMar>
                    <w:left w:w="28" w:type="dxa"/>
                    <w:right w:w="28" w:type="dxa"/>
                  </w:tcMar>
                  <w:vAlign w:val="center"/>
                </w:tcPr>
                <w:p w14:paraId="29B25A82">
                  <w:pPr>
                    <w:pStyle w:val="150"/>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aps w:val="0"/>
                      <w:color w:val="auto"/>
                      <w:sz w:val="21"/>
                      <w:szCs w:val="21"/>
                      <w:highlight w:val="none"/>
                      <w:u w:val="single" w:color="auto"/>
                      <w:lang w:eastAsia="zh-CN"/>
                    </w:rPr>
                  </w:pPr>
                  <w:r>
                    <w:rPr>
                      <w:rFonts w:hint="eastAsia" w:cs="Times New Roman"/>
                      <w:b w:val="0"/>
                      <w:bCs w:val="0"/>
                      <w:caps w:val="0"/>
                      <w:color w:val="auto"/>
                      <w:sz w:val="21"/>
                      <w:szCs w:val="21"/>
                      <w:highlight w:val="none"/>
                      <w:u w:val="single" w:color="auto"/>
                      <w:lang w:val="en-US" w:eastAsia="zh-CN"/>
                    </w:rPr>
                    <w:t>大气环境</w:t>
                  </w:r>
                </w:p>
              </w:tc>
              <w:tc>
                <w:tcPr>
                  <w:tcW w:w="3775" w:type="dxa"/>
                  <w:tcBorders>
                    <w:tl2br w:val="nil"/>
                    <w:tr2bl w:val="nil"/>
                  </w:tcBorders>
                  <w:noWrap w:val="0"/>
                  <w:tcMar>
                    <w:left w:w="28" w:type="dxa"/>
                    <w:right w:w="28" w:type="dxa"/>
                  </w:tcMar>
                  <w:vAlign w:val="center"/>
                </w:tcPr>
                <w:p w14:paraId="61557897">
                  <w:pPr>
                    <w:keepNext w:val="0"/>
                    <w:keepLines w:val="0"/>
                    <w:suppressLineNumbers w:val="0"/>
                    <w:spacing w:before="0" w:beforeAutospacing="0" w:after="0" w:afterAutospacing="0" w:line="240" w:lineRule="auto"/>
                    <w:ind w:left="0" w:right="0" w:firstLine="0" w:firstLineChars="0"/>
                    <w:jc w:val="both"/>
                    <w:rPr>
                      <w:rStyle w:val="151"/>
                      <w:rFonts w:hint="eastAsia" w:ascii="Times New Roman" w:hAnsi="Times New Roman" w:eastAsia="宋体" w:cs="Times New Roman"/>
                      <w:b w:val="0"/>
                      <w:bCs w:val="0"/>
                      <w:caps w:val="0"/>
                      <w:color w:val="auto"/>
                      <w:sz w:val="21"/>
                      <w:szCs w:val="21"/>
                      <w:highlight w:val="none"/>
                      <w:u w:val="single" w:color="auto"/>
                      <w:lang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北部湾港集疏运车辆及机械设备应选用耗油低、污染物排放量少型号的汽车和流动装卸机械维修</w:t>
                  </w:r>
                  <w:r>
                    <w:rPr>
                      <w:rStyle w:val="151"/>
                      <w:rFonts w:hint="eastAsia" w:cs="Times New Roman"/>
                      <w:b w:val="0"/>
                      <w:bCs w:val="0"/>
                      <w:caps w:val="0"/>
                      <w:color w:val="auto"/>
                      <w:sz w:val="21"/>
                      <w:szCs w:val="21"/>
                      <w:highlight w:val="none"/>
                      <w:u w:val="single" w:color="auto"/>
                      <w:lang w:val="en-US" w:eastAsia="zh-CN"/>
                    </w:rPr>
                    <w:t>；</w:t>
                  </w:r>
                  <w:r>
                    <w:rPr>
                      <w:rStyle w:val="151"/>
                      <w:rFonts w:hint="default" w:ascii="Times New Roman" w:hAnsi="Times New Roman" w:eastAsia="宋体" w:cs="Times New Roman"/>
                      <w:b w:val="0"/>
                      <w:bCs w:val="0"/>
                      <w:caps w:val="0"/>
                      <w:color w:val="auto"/>
                      <w:sz w:val="21"/>
                      <w:szCs w:val="21"/>
                      <w:highlight w:val="none"/>
                      <w:u w:val="single" w:color="auto"/>
                      <w:lang w:val="en-US" w:eastAsia="zh-CN"/>
                    </w:rPr>
                    <w:t>保养应严格执行 I/M 制度，使汽车和机械设备维持良好的工作状态，以降低车辆、装卸机械燃油产生的尾气</w:t>
                  </w:r>
                </w:p>
              </w:tc>
              <w:tc>
                <w:tcPr>
                  <w:tcW w:w="2333" w:type="dxa"/>
                  <w:tcBorders>
                    <w:tl2br w:val="nil"/>
                    <w:tr2bl w:val="nil"/>
                  </w:tcBorders>
                  <w:noWrap w:val="0"/>
                  <w:tcMar>
                    <w:left w:w="28" w:type="dxa"/>
                    <w:right w:w="28" w:type="dxa"/>
                  </w:tcMar>
                  <w:vAlign w:val="center"/>
                </w:tcPr>
                <w:p w14:paraId="3A9FD3C6">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aps w:val="0"/>
                      <w:color w:val="auto"/>
                      <w:sz w:val="21"/>
                      <w:szCs w:val="21"/>
                      <w:highlight w:val="none"/>
                      <w:u w:val="single" w:color="auto"/>
                      <w:lang w:val="en-US" w:eastAsia="zh-CN"/>
                    </w:rPr>
                  </w:pPr>
                  <w:r>
                    <w:rPr>
                      <w:rFonts w:hint="default" w:ascii="Times New Roman" w:hAnsi="Times New Roman" w:eastAsia="宋体" w:cs="Times New Roman"/>
                      <w:b w:val="0"/>
                      <w:bCs w:val="0"/>
                      <w:caps w:val="0"/>
                      <w:color w:val="auto"/>
                      <w:sz w:val="21"/>
                      <w:szCs w:val="21"/>
                      <w:highlight w:val="none"/>
                      <w:u w:val="single" w:color="auto"/>
                    </w:rPr>
                    <w:t>符合</w:t>
                  </w:r>
                  <w:r>
                    <w:rPr>
                      <w:rFonts w:hint="default" w:ascii="Times New Roman" w:hAnsi="Times New Roman" w:eastAsia="宋体" w:cs="Times New Roman"/>
                      <w:b w:val="0"/>
                      <w:bCs w:val="0"/>
                      <w:caps w:val="0"/>
                      <w:color w:val="auto"/>
                      <w:sz w:val="21"/>
                      <w:szCs w:val="21"/>
                      <w:highlight w:val="none"/>
                      <w:u w:val="single" w:color="auto"/>
                      <w:lang w:eastAsia="zh-CN"/>
                    </w:rPr>
                    <w:t>。</w:t>
                  </w:r>
                  <w:r>
                    <w:rPr>
                      <w:rFonts w:hint="eastAsia" w:cs="Times New Roman"/>
                      <w:b w:val="0"/>
                      <w:bCs w:val="0"/>
                      <w:caps w:val="0"/>
                      <w:color w:val="auto"/>
                      <w:sz w:val="21"/>
                      <w:szCs w:val="21"/>
                      <w:highlight w:val="none"/>
                      <w:u w:val="single" w:color="auto"/>
                      <w:lang w:val="en-US" w:eastAsia="zh-CN"/>
                    </w:rPr>
                    <w:t>项目使用选用耗油低、污染物排放量少型号的汽车和流动装卸机械维修，并定期对机械设备进行维护，确保运行状况良好</w:t>
                  </w:r>
                </w:p>
              </w:tc>
            </w:tr>
            <w:tr w14:paraId="0FED14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vMerge w:val="restart"/>
                  <w:tcBorders>
                    <w:tl2br w:val="nil"/>
                    <w:tr2bl w:val="nil"/>
                  </w:tcBorders>
                  <w:noWrap w:val="0"/>
                  <w:tcMar>
                    <w:left w:w="28" w:type="dxa"/>
                    <w:right w:w="28" w:type="dxa"/>
                  </w:tcMar>
                  <w:vAlign w:val="center"/>
                </w:tcPr>
                <w:p w14:paraId="3B106CF0">
                  <w:pPr>
                    <w:pStyle w:val="150"/>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水环境</w:t>
                  </w:r>
                </w:p>
              </w:tc>
              <w:tc>
                <w:tcPr>
                  <w:tcW w:w="3775" w:type="dxa"/>
                  <w:tcBorders>
                    <w:tl2br w:val="nil"/>
                    <w:tr2bl w:val="nil"/>
                  </w:tcBorders>
                  <w:noWrap w:val="0"/>
                  <w:tcMar>
                    <w:left w:w="28" w:type="dxa"/>
                    <w:right w:w="28" w:type="dxa"/>
                  </w:tcMar>
                  <w:vAlign w:val="center"/>
                </w:tcPr>
                <w:p w14:paraId="7C26ABEB">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建议港区附近分布有市政污水处理厂（包括现状和规划）的，港区生活污水就近排入该市政污水处理厂，否则港区自建污水处理设施</w:t>
                  </w:r>
                </w:p>
              </w:tc>
              <w:tc>
                <w:tcPr>
                  <w:tcW w:w="2333" w:type="dxa"/>
                  <w:tcBorders>
                    <w:tl2br w:val="nil"/>
                    <w:tr2bl w:val="nil"/>
                  </w:tcBorders>
                  <w:noWrap w:val="0"/>
                  <w:tcMar>
                    <w:left w:w="28" w:type="dxa"/>
                    <w:right w:w="28" w:type="dxa"/>
                  </w:tcMar>
                  <w:vAlign w:val="center"/>
                </w:tcPr>
                <w:p w14:paraId="4363BB9C">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符合，项目港区生活污水经过化粪池处理后排入大榄坪污水处理厂处理</w:t>
                  </w:r>
                </w:p>
              </w:tc>
            </w:tr>
            <w:tr w14:paraId="18CFF9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vMerge w:val="continue"/>
                  <w:tcBorders>
                    <w:tl2br w:val="nil"/>
                    <w:tr2bl w:val="nil"/>
                  </w:tcBorders>
                  <w:noWrap w:val="0"/>
                  <w:tcMar>
                    <w:left w:w="28" w:type="dxa"/>
                    <w:right w:w="28" w:type="dxa"/>
                  </w:tcMar>
                  <w:vAlign w:val="center"/>
                </w:tcPr>
                <w:p w14:paraId="327453DC">
                  <w:pPr>
                    <w:pStyle w:val="150"/>
                    <w:keepNext w:val="0"/>
                    <w:keepLines w:val="0"/>
                    <w:suppressLineNumbers w:val="0"/>
                    <w:spacing w:before="0" w:beforeAutospacing="0" w:after="0" w:afterAutospacing="0" w:line="240" w:lineRule="auto"/>
                    <w:ind w:left="0" w:right="0" w:firstLine="0" w:firstLineChars="0"/>
                    <w:jc w:val="center"/>
                    <w:rPr>
                      <w:rFonts w:hint="eastAsia" w:cs="Times New Roman"/>
                      <w:b w:val="0"/>
                      <w:bCs w:val="0"/>
                      <w:caps w:val="0"/>
                      <w:color w:val="auto"/>
                      <w:sz w:val="21"/>
                      <w:szCs w:val="21"/>
                      <w:highlight w:val="none"/>
                      <w:u w:val="single" w:color="auto"/>
                      <w:lang w:val="en-US" w:eastAsia="zh-CN"/>
                    </w:rPr>
                  </w:pPr>
                </w:p>
              </w:tc>
              <w:tc>
                <w:tcPr>
                  <w:tcW w:w="3775" w:type="dxa"/>
                  <w:tcBorders>
                    <w:tl2br w:val="nil"/>
                    <w:tr2bl w:val="nil"/>
                  </w:tcBorders>
                  <w:noWrap w:val="0"/>
                  <w:tcMar>
                    <w:left w:w="28" w:type="dxa"/>
                    <w:right w:w="28" w:type="dxa"/>
                  </w:tcMar>
                  <w:vAlign w:val="center"/>
                </w:tcPr>
                <w:p w14:paraId="37B41ACE">
                  <w:pPr>
                    <w:keepNext w:val="0"/>
                    <w:keepLines w:val="0"/>
                    <w:suppressLineNumbers w:val="0"/>
                    <w:spacing w:before="0" w:beforeAutospacing="0" w:after="0" w:afterAutospacing="0" w:line="240" w:lineRule="auto"/>
                    <w:ind w:left="0" w:right="0" w:firstLine="0" w:firstLineChars="0"/>
                    <w:jc w:val="both"/>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港区生产含油污水应先进行隔油，然后进入调节池沉淀，经油水分离器处理达标后排放。机械、车辆维修和清洁产生的冲洗水，应加强管理、严格控制。冲洗作业可在冲洗台或冲洗间进行，并设置隔油池进行回收和处理，达标后排入市政污水管道或生活污水处理</w:t>
                  </w:r>
                </w:p>
              </w:tc>
              <w:tc>
                <w:tcPr>
                  <w:tcW w:w="2333" w:type="dxa"/>
                  <w:tcBorders>
                    <w:tl2br w:val="nil"/>
                    <w:tr2bl w:val="nil"/>
                  </w:tcBorders>
                  <w:noWrap w:val="0"/>
                  <w:tcMar>
                    <w:left w:w="28" w:type="dxa"/>
                    <w:right w:w="28" w:type="dxa"/>
                  </w:tcMar>
                  <w:vAlign w:val="center"/>
                </w:tcPr>
                <w:p w14:paraId="596280F1">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符合，项目机修含油污水经过2#泊位后方和5#泊位后方的污水处理站处理，处理工艺为隔油池+混凝沉淀池+组合气浮装置。处理后回用于机械冲洗用水、厂区绿化和道路清扫，不外排</w:t>
                  </w:r>
                </w:p>
              </w:tc>
            </w:tr>
            <w:tr w14:paraId="21ABBF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tcBorders>
                    <w:tl2br w:val="nil"/>
                    <w:tr2bl w:val="nil"/>
                  </w:tcBorders>
                  <w:noWrap w:val="0"/>
                  <w:tcMar>
                    <w:left w:w="28" w:type="dxa"/>
                    <w:right w:w="28" w:type="dxa"/>
                  </w:tcMar>
                  <w:vAlign w:val="center"/>
                </w:tcPr>
                <w:p w14:paraId="248708CF">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声环境</w:t>
                  </w:r>
                </w:p>
              </w:tc>
              <w:tc>
                <w:tcPr>
                  <w:tcW w:w="3775" w:type="dxa"/>
                  <w:tcBorders>
                    <w:tl2br w:val="nil"/>
                    <w:tr2bl w:val="nil"/>
                  </w:tcBorders>
                  <w:noWrap w:val="0"/>
                  <w:tcMar>
                    <w:left w:w="28" w:type="dxa"/>
                    <w:right w:w="28" w:type="dxa"/>
                  </w:tcMar>
                  <w:vAlign w:val="center"/>
                </w:tcPr>
                <w:p w14:paraId="167ABD4E">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对集装箱作业区的固定设备采取安装消声器、隔声等措施，减少设备运行噪声</w:t>
                  </w:r>
                </w:p>
                <w:p w14:paraId="430D43EF">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p>
              </w:tc>
              <w:tc>
                <w:tcPr>
                  <w:tcW w:w="2333" w:type="dxa"/>
                  <w:tcBorders>
                    <w:tl2br w:val="nil"/>
                    <w:tr2bl w:val="nil"/>
                  </w:tcBorders>
                  <w:noWrap w:val="0"/>
                  <w:tcMar>
                    <w:left w:w="28" w:type="dxa"/>
                    <w:right w:w="28" w:type="dxa"/>
                  </w:tcMar>
                  <w:vAlign w:val="center"/>
                </w:tcPr>
                <w:p w14:paraId="6C710EF8">
                  <w:pPr>
                    <w:pStyle w:val="150"/>
                    <w:keepNext w:val="0"/>
                    <w:keepLines w:val="0"/>
                    <w:suppressLineNumbers w:val="0"/>
                    <w:spacing w:before="0" w:beforeAutospacing="0" w:after="0" w:afterAutospacing="0" w:line="240" w:lineRule="auto"/>
                    <w:ind w:left="0" w:right="0" w:firstLine="0" w:firstLineChars="0"/>
                    <w:jc w:val="center"/>
                    <w:rPr>
                      <w:rFonts w:hint="eastAsia"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符合，项目选用低噪声机械设备，对固定的设备安装减振隔声等措施。</w:t>
                  </w:r>
                </w:p>
              </w:tc>
            </w:tr>
            <w:tr w14:paraId="2CB33D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vMerge w:val="restart"/>
                  <w:tcBorders>
                    <w:tl2br w:val="nil"/>
                    <w:tr2bl w:val="nil"/>
                  </w:tcBorders>
                  <w:noWrap w:val="0"/>
                  <w:tcMar>
                    <w:left w:w="28" w:type="dxa"/>
                    <w:right w:w="28" w:type="dxa"/>
                  </w:tcMar>
                  <w:vAlign w:val="center"/>
                </w:tcPr>
                <w:p w14:paraId="7EF4207B">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固体废物</w:t>
                  </w:r>
                </w:p>
              </w:tc>
              <w:tc>
                <w:tcPr>
                  <w:tcW w:w="3775" w:type="dxa"/>
                  <w:tcBorders>
                    <w:tl2br w:val="nil"/>
                    <w:tr2bl w:val="nil"/>
                  </w:tcBorders>
                  <w:noWrap w:val="0"/>
                  <w:tcMar>
                    <w:left w:w="28" w:type="dxa"/>
                    <w:right w:w="28" w:type="dxa"/>
                  </w:tcMar>
                  <w:vAlign w:val="center"/>
                </w:tcPr>
                <w:p w14:paraId="482E4034">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码头生活垃圾应在码头前沿及作业区内设置垃圾箱统一收集后交由当地环卫部门处理</w:t>
                  </w:r>
                </w:p>
              </w:tc>
              <w:tc>
                <w:tcPr>
                  <w:tcW w:w="2333" w:type="dxa"/>
                  <w:tcBorders>
                    <w:tl2br w:val="nil"/>
                    <w:tr2bl w:val="nil"/>
                  </w:tcBorders>
                  <w:noWrap w:val="0"/>
                  <w:tcMar>
                    <w:left w:w="28" w:type="dxa"/>
                    <w:right w:w="28" w:type="dxa"/>
                  </w:tcMar>
                  <w:vAlign w:val="center"/>
                </w:tcPr>
                <w:p w14:paraId="27406E33">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符合，项目所在码头生活垃圾收集后交由环卫部门处理</w:t>
                  </w:r>
                </w:p>
              </w:tc>
            </w:tr>
            <w:tr w14:paraId="3892B3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88" w:type="dxa"/>
                  <w:vMerge w:val="continue"/>
                  <w:tcBorders>
                    <w:tl2br w:val="nil"/>
                    <w:tr2bl w:val="nil"/>
                  </w:tcBorders>
                  <w:noWrap w:val="0"/>
                  <w:tcMar>
                    <w:left w:w="28" w:type="dxa"/>
                    <w:right w:w="28" w:type="dxa"/>
                  </w:tcMar>
                  <w:vAlign w:val="center"/>
                </w:tcPr>
                <w:p w14:paraId="3B75F7CC">
                  <w:pPr>
                    <w:pStyle w:val="150"/>
                    <w:keepNext w:val="0"/>
                    <w:keepLines w:val="0"/>
                    <w:suppressLineNumbers w:val="0"/>
                    <w:spacing w:before="0" w:beforeAutospacing="0" w:after="0" w:afterAutospacing="0" w:line="240" w:lineRule="auto"/>
                    <w:ind w:left="0" w:right="0" w:firstLine="0" w:firstLineChars="0"/>
                    <w:jc w:val="center"/>
                    <w:rPr>
                      <w:rFonts w:hint="eastAsia" w:cs="Times New Roman"/>
                      <w:b w:val="0"/>
                      <w:bCs w:val="0"/>
                      <w:caps w:val="0"/>
                      <w:color w:val="auto"/>
                      <w:sz w:val="21"/>
                      <w:szCs w:val="21"/>
                      <w:highlight w:val="none"/>
                      <w:u w:val="single" w:color="auto"/>
                      <w:lang w:val="en-US" w:eastAsia="zh-CN"/>
                    </w:rPr>
                  </w:pPr>
                </w:p>
              </w:tc>
              <w:tc>
                <w:tcPr>
                  <w:tcW w:w="3775" w:type="dxa"/>
                  <w:tcBorders>
                    <w:tl2br w:val="nil"/>
                    <w:tr2bl w:val="nil"/>
                  </w:tcBorders>
                  <w:noWrap w:val="0"/>
                  <w:tcMar>
                    <w:left w:w="28" w:type="dxa"/>
                    <w:right w:w="28" w:type="dxa"/>
                  </w:tcMar>
                  <w:vAlign w:val="center"/>
                </w:tcPr>
                <w:p w14:paraId="6F89D746">
                  <w:pPr>
                    <w:keepNext w:val="0"/>
                    <w:keepLines w:val="0"/>
                    <w:suppressLineNumbers w:val="0"/>
                    <w:spacing w:before="0" w:beforeAutospacing="0" w:after="0" w:afterAutospacing="0" w:line="240" w:lineRule="auto"/>
                    <w:ind w:left="0" w:right="0" w:firstLine="0" w:firstLineChars="0"/>
                    <w:jc w:val="center"/>
                    <w:rPr>
                      <w:rStyle w:val="151"/>
                      <w:rFonts w:hint="default" w:ascii="Times New Roman" w:hAnsi="Times New Roman" w:eastAsia="宋体" w:cs="Times New Roman"/>
                      <w:b w:val="0"/>
                      <w:bCs w:val="0"/>
                      <w:caps w:val="0"/>
                      <w:color w:val="auto"/>
                      <w:sz w:val="21"/>
                      <w:szCs w:val="21"/>
                      <w:highlight w:val="none"/>
                      <w:u w:val="single" w:color="auto"/>
                      <w:lang w:val="en-US" w:eastAsia="zh-CN"/>
                    </w:rPr>
                  </w:pPr>
                  <w:r>
                    <w:rPr>
                      <w:rStyle w:val="151"/>
                      <w:rFonts w:hint="default" w:ascii="Times New Roman" w:hAnsi="Times New Roman" w:eastAsia="宋体" w:cs="Times New Roman"/>
                      <w:b w:val="0"/>
                      <w:bCs w:val="0"/>
                      <w:caps w:val="0"/>
                      <w:color w:val="auto"/>
                      <w:sz w:val="21"/>
                      <w:szCs w:val="21"/>
                      <w:highlight w:val="none"/>
                      <w:u w:val="single" w:color="auto"/>
                      <w:lang w:val="en-US" w:eastAsia="zh-CN"/>
                    </w:rPr>
                    <w:t>由于《全国危险废物和医疗废物设施建设规划》中不提倡生产企业建设危险废物处置中心，因此北部湾港的危险废物可选择在北钦防三市的危险品处置中心进行接收、转运、处理处置和安全填埋污油和油渣必须交由具有从事接收、贮存、运输危险废物经营许可证的单位接收处理，或送往专业工业固废处理中心处置</w:t>
                  </w:r>
                </w:p>
              </w:tc>
              <w:tc>
                <w:tcPr>
                  <w:tcW w:w="2333" w:type="dxa"/>
                  <w:tcBorders>
                    <w:tl2br w:val="nil"/>
                    <w:tr2bl w:val="nil"/>
                  </w:tcBorders>
                  <w:noWrap w:val="0"/>
                  <w:tcMar>
                    <w:left w:w="28" w:type="dxa"/>
                    <w:right w:w="28" w:type="dxa"/>
                  </w:tcMar>
                  <w:vAlign w:val="center"/>
                </w:tcPr>
                <w:p w14:paraId="128E07A2">
                  <w:pPr>
                    <w:pStyle w:val="150"/>
                    <w:keepNext w:val="0"/>
                    <w:keepLines w:val="0"/>
                    <w:suppressLineNumbers w:val="0"/>
                    <w:spacing w:before="0" w:beforeAutospacing="0" w:after="0" w:afterAutospacing="0" w:line="240" w:lineRule="auto"/>
                    <w:ind w:left="0" w:right="0" w:firstLine="0" w:firstLineChars="0"/>
                    <w:jc w:val="center"/>
                    <w:rPr>
                      <w:rFonts w:hint="default" w:cs="Times New Roman"/>
                      <w:b w:val="0"/>
                      <w:bCs w:val="0"/>
                      <w:caps w:val="0"/>
                      <w:color w:val="auto"/>
                      <w:sz w:val="21"/>
                      <w:szCs w:val="21"/>
                      <w:highlight w:val="none"/>
                      <w:u w:val="single" w:color="auto"/>
                      <w:lang w:val="en-US" w:eastAsia="zh-CN"/>
                    </w:rPr>
                  </w:pPr>
                  <w:r>
                    <w:rPr>
                      <w:rFonts w:hint="eastAsia" w:cs="Times New Roman"/>
                      <w:b w:val="0"/>
                      <w:bCs w:val="0"/>
                      <w:caps w:val="0"/>
                      <w:color w:val="auto"/>
                      <w:sz w:val="21"/>
                      <w:szCs w:val="21"/>
                      <w:highlight w:val="none"/>
                      <w:u w:val="single" w:color="auto"/>
                      <w:lang w:val="en-US" w:eastAsia="zh-CN"/>
                    </w:rPr>
                    <w:t>符合，项目产生的危险废物收集后暂存在危废暂存库，定期交由有资质的单位处理</w:t>
                  </w:r>
                </w:p>
              </w:tc>
            </w:tr>
          </w:tbl>
          <w:p w14:paraId="13423DBB">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sz w:val="24"/>
                <w:szCs w:val="24"/>
                <w:highlight w:val="none"/>
                <w:u w:val="single" w:color="auto"/>
                <w:lang w:val="en-US" w:eastAsia="zh-CN"/>
              </w:rPr>
            </w:pPr>
            <w:r>
              <w:rPr>
                <w:rFonts w:hint="eastAsia" w:cs="Times New Roman"/>
                <w:b w:val="0"/>
                <w:bCs w:val="0"/>
                <w:color w:val="auto"/>
                <w:sz w:val="24"/>
                <w:szCs w:val="24"/>
                <w:highlight w:val="none"/>
                <w:u w:val="single" w:color="auto"/>
                <w:lang w:val="en-US" w:eastAsia="zh-CN"/>
              </w:rPr>
              <w:t>综上，</w:t>
            </w:r>
            <w:r>
              <w:rPr>
                <w:rFonts w:hint="default" w:ascii="Times New Roman" w:hAnsi="Times New Roman" w:eastAsia="宋体" w:cs="Times New Roman"/>
                <w:b w:val="0"/>
                <w:bCs w:val="0"/>
                <w:color w:val="auto"/>
                <w:sz w:val="24"/>
                <w:szCs w:val="24"/>
                <w:highlight w:val="none"/>
                <w:u w:val="single" w:color="auto"/>
                <w:lang w:val="en-US" w:eastAsia="zh-CN"/>
              </w:rPr>
              <w:t>拟建项目符合《北部湾港总体规划（2021年~2035年）环境影响报告书》</w:t>
            </w:r>
            <w:r>
              <w:rPr>
                <w:rFonts w:hint="eastAsia" w:ascii="Times New Roman" w:hAnsi="Times New Roman" w:eastAsia="宋体" w:cs="Times New Roman"/>
                <w:b w:val="0"/>
                <w:bCs w:val="0"/>
                <w:color w:val="auto"/>
                <w:sz w:val="24"/>
                <w:szCs w:val="24"/>
                <w:highlight w:val="none"/>
                <w:u w:val="single" w:color="auto"/>
                <w:lang w:val="en-US" w:eastAsia="zh-CN"/>
              </w:rPr>
              <w:t>及其</w:t>
            </w:r>
            <w:r>
              <w:rPr>
                <w:rFonts w:hint="default" w:ascii="Times New Roman" w:hAnsi="Times New Roman" w:eastAsia="宋体" w:cs="Times New Roman"/>
                <w:b w:val="0"/>
                <w:bCs w:val="0"/>
                <w:color w:val="auto"/>
                <w:sz w:val="24"/>
                <w:szCs w:val="24"/>
                <w:highlight w:val="none"/>
                <w:u w:val="single" w:color="auto"/>
                <w:lang w:val="en-US" w:eastAsia="zh-CN"/>
              </w:rPr>
              <w:t>审查意见的有关要求，项目的建设将完善大榄坪南作业区</w:t>
            </w:r>
            <w:r>
              <w:rPr>
                <w:rFonts w:hint="eastAsia" w:ascii="Times New Roman" w:hAnsi="Times New Roman" w:eastAsia="宋体" w:cs="Times New Roman"/>
                <w:b w:val="0"/>
                <w:bCs w:val="0"/>
                <w:color w:val="auto"/>
                <w:sz w:val="24"/>
                <w:szCs w:val="24"/>
                <w:highlight w:val="none"/>
                <w:u w:val="single" w:color="auto"/>
                <w:lang w:val="en-US" w:eastAsia="zh-CN"/>
              </w:rPr>
              <w:t>3#-5#泊位后方堆场</w:t>
            </w:r>
            <w:r>
              <w:rPr>
                <w:rFonts w:hint="default" w:ascii="Times New Roman" w:hAnsi="Times New Roman" w:eastAsia="宋体" w:cs="Times New Roman"/>
                <w:b w:val="0"/>
                <w:bCs w:val="0"/>
                <w:color w:val="auto"/>
                <w:sz w:val="24"/>
                <w:szCs w:val="24"/>
                <w:highlight w:val="none"/>
                <w:u w:val="single" w:color="auto"/>
                <w:lang w:val="en-US" w:eastAsia="zh-CN"/>
              </w:rPr>
              <w:t>的建设，加快北部湾港集约、高效的发展。</w:t>
            </w:r>
          </w:p>
        </w:tc>
      </w:tr>
      <w:tr w14:paraId="44ADE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2" w:hRule="atLeast"/>
          <w:jc w:val="center"/>
        </w:trPr>
        <w:tc>
          <w:tcPr>
            <w:tcW w:w="1938" w:type="dxa"/>
            <w:noWrap w:val="0"/>
            <w:vAlign w:val="center"/>
          </w:tcPr>
          <w:p w14:paraId="07962AE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其他符合性分析</w:t>
            </w:r>
          </w:p>
        </w:tc>
        <w:tc>
          <w:tcPr>
            <w:tcW w:w="6932" w:type="dxa"/>
            <w:gridSpan w:val="3"/>
            <w:noWrap w:val="0"/>
            <w:vAlign w:val="center"/>
          </w:tcPr>
          <w:p w14:paraId="412B967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1、</w:t>
            </w:r>
            <w:r>
              <w:rPr>
                <w:rFonts w:hint="default" w:ascii="Times New Roman" w:hAnsi="Times New Roman" w:eastAsia="宋体" w:cs="Times New Roman"/>
                <w:b/>
                <w:bCs/>
                <w:color w:val="auto"/>
                <w:sz w:val="24"/>
                <w:szCs w:val="24"/>
                <w:highlight w:val="none"/>
                <w:u w:val="none" w:color="auto"/>
              </w:rPr>
              <w:t>项目与</w:t>
            </w:r>
            <w:r>
              <w:rPr>
                <w:rFonts w:hint="default" w:ascii="Times New Roman" w:hAnsi="Times New Roman" w:eastAsia="宋体" w:cs="Times New Roman"/>
                <w:b/>
                <w:bCs/>
                <w:color w:val="auto"/>
                <w:sz w:val="24"/>
                <w:szCs w:val="24"/>
                <w:highlight w:val="none"/>
                <w:u w:val="none" w:color="auto"/>
                <w:lang w:eastAsia="zh-CN"/>
              </w:rPr>
              <w:t>生态环境分区管控</w:t>
            </w:r>
            <w:r>
              <w:rPr>
                <w:rFonts w:hint="default" w:ascii="Times New Roman" w:hAnsi="Times New Roman" w:eastAsia="宋体" w:cs="Times New Roman"/>
                <w:b/>
                <w:bCs/>
                <w:color w:val="auto"/>
                <w:sz w:val="24"/>
                <w:szCs w:val="24"/>
                <w:highlight w:val="none"/>
                <w:u w:val="none" w:color="auto"/>
              </w:rPr>
              <w:t>相符性分析</w:t>
            </w:r>
          </w:p>
          <w:p w14:paraId="62A10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val="en-US" w:eastAsia="zh-CN"/>
              </w:rPr>
              <w:t>本项目位于广西北部湾国际集装箱码头有限公司大榄坪南作业区</w:t>
            </w:r>
            <w:r>
              <w:rPr>
                <w:rFonts w:hint="eastAsia" w:ascii="Times New Roman" w:hAnsi="Times New Roman" w:eastAsia="宋体" w:cs="Times New Roman"/>
                <w:color w:val="auto"/>
                <w:sz w:val="24"/>
                <w:highlight w:val="none"/>
                <w:u w:val="none" w:color="auto"/>
                <w:lang w:val="en-US" w:eastAsia="zh-CN"/>
              </w:rPr>
              <w:t>3#、4#、5#泊位后方</w:t>
            </w:r>
            <w:r>
              <w:rPr>
                <w:rFonts w:hint="default" w:ascii="Times New Roman" w:hAnsi="Times New Roman" w:eastAsia="宋体" w:cs="Times New Roman"/>
                <w:color w:val="auto"/>
                <w:sz w:val="24"/>
                <w:highlight w:val="none"/>
                <w:u w:val="none" w:color="auto"/>
                <w:lang w:val="en-US" w:eastAsia="zh-CN"/>
              </w:rPr>
              <w:t>堆场</w:t>
            </w:r>
            <w:r>
              <w:rPr>
                <w:rFonts w:hint="eastAsia" w:ascii="Times New Roman" w:hAnsi="Times New Roman" w:eastAsia="宋体" w:cs="Times New Roman"/>
                <w:color w:val="auto"/>
                <w:sz w:val="24"/>
                <w:highlight w:val="none"/>
                <w:u w:val="none" w:color="auto"/>
                <w:lang w:val="en-US" w:eastAsia="zh-CN"/>
              </w:rPr>
              <w:t>内。</w:t>
            </w:r>
            <w:r>
              <w:rPr>
                <w:rFonts w:hint="default" w:ascii="Times New Roman" w:hAnsi="Times New Roman" w:eastAsia="宋体" w:cs="Times New Roman"/>
                <w:color w:val="auto"/>
                <w:sz w:val="24"/>
                <w:highlight w:val="none"/>
                <w:u w:val="none" w:color="auto"/>
                <w:lang w:val="en-US" w:eastAsia="zh-CN"/>
              </w:rPr>
              <w:t>根据《钦州市生态环境分区管控动态更新成果（2023版）》和《广西“生态云”平台建设项目智能研判报告》</w:t>
            </w:r>
            <w:r>
              <w:rPr>
                <w:rFonts w:hint="eastAsia" w:ascii="Times New Roman" w:hAnsi="Times New Roman" w:eastAsia="宋体" w:cs="Times New Roman"/>
                <w:color w:val="auto"/>
                <w:sz w:val="24"/>
                <w:highlight w:val="none"/>
                <w:u w:val="none" w:color="auto"/>
                <w:lang w:val="en-US" w:eastAsia="zh-CN"/>
              </w:rPr>
              <w:t>，本项目所在区域属于广西钦州保税港区重点管控单元（ZH45070220001），项目与管控单元生态环境准入清单符合性分析详见表1-</w:t>
            </w:r>
            <w:r>
              <w:rPr>
                <w:rFonts w:hint="eastAsia" w:cs="Times New Roman"/>
                <w:color w:val="auto"/>
                <w:sz w:val="24"/>
                <w:highlight w:val="none"/>
                <w:u w:val="none" w:color="auto"/>
                <w:lang w:val="en-US" w:eastAsia="zh-CN"/>
              </w:rPr>
              <w:t>4</w:t>
            </w:r>
            <w:r>
              <w:rPr>
                <w:rFonts w:hint="default" w:ascii="Times New Roman" w:hAnsi="Times New Roman" w:eastAsia="宋体" w:cs="Times New Roman"/>
                <w:color w:val="auto"/>
                <w:sz w:val="24"/>
                <w:highlight w:val="none"/>
                <w:u w:val="none" w:color="auto"/>
                <w:lang w:eastAsia="zh-CN"/>
              </w:rPr>
              <w:t>。</w:t>
            </w:r>
          </w:p>
          <w:p w14:paraId="5833D362">
            <w:pPr>
              <w:keepNext w:val="0"/>
              <w:keepLines w:val="0"/>
              <w:suppressLineNumbers w:val="0"/>
              <w:bidi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aps w:val="0"/>
                <w:color w:val="auto"/>
                <w:sz w:val="21"/>
                <w:szCs w:val="21"/>
                <w:highlight w:val="none"/>
                <w:u w:val="none" w:color="auto"/>
                <w:lang w:val="en-US" w:eastAsia="zh-CN"/>
              </w:rPr>
            </w:pPr>
            <w:r>
              <w:rPr>
                <w:rFonts w:hint="default" w:ascii="Times New Roman" w:hAnsi="Times New Roman" w:eastAsia="宋体" w:cs="Times New Roman"/>
                <w:b/>
                <w:bCs/>
                <w:caps w:val="0"/>
                <w:color w:val="auto"/>
                <w:sz w:val="21"/>
                <w:szCs w:val="21"/>
                <w:highlight w:val="none"/>
                <w:u w:val="none" w:color="auto"/>
                <w:lang w:val="en-US" w:eastAsia="zh-CN"/>
              </w:rPr>
              <w:t>表</w:t>
            </w:r>
            <w:r>
              <w:rPr>
                <w:rFonts w:hint="eastAsia" w:ascii="Times New Roman" w:hAnsi="Times New Roman" w:eastAsia="宋体" w:cs="Times New Roman"/>
                <w:b/>
                <w:bCs/>
                <w:caps w:val="0"/>
                <w:color w:val="auto"/>
                <w:sz w:val="21"/>
                <w:szCs w:val="21"/>
                <w:highlight w:val="none"/>
                <w:u w:val="none" w:color="auto"/>
                <w:lang w:val="en-US" w:eastAsia="zh-CN"/>
              </w:rPr>
              <w:t>1-</w:t>
            </w:r>
            <w:r>
              <w:rPr>
                <w:rFonts w:hint="eastAsia" w:cs="Times New Roman"/>
                <w:b/>
                <w:bCs/>
                <w:caps w:val="0"/>
                <w:color w:val="auto"/>
                <w:sz w:val="21"/>
                <w:szCs w:val="21"/>
                <w:highlight w:val="none"/>
                <w:u w:val="none" w:color="auto"/>
                <w:lang w:val="en-US" w:eastAsia="zh-CN"/>
              </w:rPr>
              <w:t>4</w:t>
            </w:r>
            <w:r>
              <w:rPr>
                <w:rFonts w:hint="default" w:ascii="Times New Roman" w:hAnsi="Times New Roman" w:eastAsia="宋体" w:cs="Times New Roman"/>
                <w:b/>
                <w:bCs/>
                <w:caps w:val="0"/>
                <w:color w:val="auto"/>
                <w:sz w:val="21"/>
                <w:szCs w:val="21"/>
                <w:highlight w:val="none"/>
                <w:u w:val="none" w:color="auto"/>
              </w:rPr>
              <w:t>项目与</w:t>
            </w:r>
            <w:r>
              <w:rPr>
                <w:rFonts w:hint="default" w:ascii="Times New Roman" w:hAnsi="Times New Roman" w:eastAsia="宋体" w:cs="Times New Roman"/>
                <w:b/>
                <w:bCs/>
                <w:caps w:val="0"/>
                <w:color w:val="auto"/>
                <w:sz w:val="21"/>
                <w:szCs w:val="21"/>
                <w:highlight w:val="none"/>
                <w:u w:val="none" w:color="auto"/>
                <w:lang w:val="en-US" w:eastAsia="zh-CN"/>
              </w:rPr>
              <w:t>广西钦州保税港区重点管控单元</w:t>
            </w:r>
            <w:r>
              <w:rPr>
                <w:rFonts w:hint="default" w:ascii="Times New Roman" w:hAnsi="Times New Roman" w:eastAsia="宋体" w:cs="Times New Roman"/>
                <w:b/>
                <w:bCs/>
                <w:caps w:val="0"/>
                <w:color w:val="auto"/>
                <w:sz w:val="21"/>
                <w:szCs w:val="21"/>
                <w:highlight w:val="none"/>
                <w:u w:val="none" w:color="auto"/>
              </w:rPr>
              <w:t>相符性</w:t>
            </w:r>
            <w:r>
              <w:rPr>
                <w:rFonts w:hint="eastAsia" w:ascii="Times New Roman" w:hAnsi="Times New Roman" w:eastAsia="宋体" w:cs="Times New Roman"/>
                <w:b/>
                <w:bCs/>
                <w:caps w:val="0"/>
                <w:color w:val="auto"/>
                <w:sz w:val="21"/>
                <w:szCs w:val="21"/>
                <w:highlight w:val="none"/>
                <w:u w:val="none" w:color="auto"/>
                <w:lang w:val="en-US" w:eastAsia="zh-CN"/>
              </w:rPr>
              <w:t>分析</w:t>
            </w:r>
          </w:p>
          <w:tbl>
            <w:tblPr>
              <w:tblStyle w:val="46"/>
              <w:tblW w:w="669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88"/>
              <w:gridCol w:w="4390"/>
              <w:gridCol w:w="1721"/>
            </w:tblGrid>
            <w:tr w14:paraId="12167D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7" w:hRule="atLeast"/>
                <w:jc w:val="center"/>
              </w:trPr>
              <w:tc>
                <w:tcPr>
                  <w:tcW w:w="588" w:type="dxa"/>
                  <w:tcBorders>
                    <w:tl2br w:val="nil"/>
                    <w:tr2bl w:val="nil"/>
                  </w:tcBorders>
                  <w:noWrap w:val="0"/>
                  <w:tcMar>
                    <w:left w:w="28" w:type="dxa"/>
                    <w:right w:w="28" w:type="dxa"/>
                  </w:tcMar>
                  <w:vAlign w:val="center"/>
                </w:tcPr>
                <w:p w14:paraId="6D145AAB">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caps w:val="0"/>
                      <w:color w:val="auto"/>
                      <w:sz w:val="21"/>
                      <w:szCs w:val="21"/>
                      <w:highlight w:val="none"/>
                      <w:u w:val="none" w:color="auto"/>
                    </w:rPr>
                    <w:t>管控类别</w:t>
                  </w:r>
                </w:p>
              </w:tc>
              <w:tc>
                <w:tcPr>
                  <w:tcW w:w="4390" w:type="dxa"/>
                  <w:tcBorders>
                    <w:tl2br w:val="nil"/>
                    <w:tr2bl w:val="nil"/>
                  </w:tcBorders>
                  <w:noWrap w:val="0"/>
                  <w:tcMar>
                    <w:left w:w="28" w:type="dxa"/>
                    <w:right w:w="28" w:type="dxa"/>
                  </w:tcMar>
                  <w:vAlign w:val="center"/>
                </w:tcPr>
                <w:p w14:paraId="1BB29741">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caps w:val="0"/>
                      <w:color w:val="auto"/>
                      <w:sz w:val="21"/>
                      <w:szCs w:val="21"/>
                      <w:highlight w:val="none"/>
                      <w:u w:val="none" w:color="auto"/>
                    </w:rPr>
                    <w:t>生态环境准入及管控要求</w:t>
                  </w:r>
                </w:p>
              </w:tc>
              <w:tc>
                <w:tcPr>
                  <w:tcW w:w="1721" w:type="dxa"/>
                  <w:tcBorders>
                    <w:tl2br w:val="nil"/>
                    <w:tr2bl w:val="nil"/>
                  </w:tcBorders>
                  <w:noWrap w:val="0"/>
                  <w:tcMar>
                    <w:left w:w="28" w:type="dxa"/>
                    <w:right w:w="28" w:type="dxa"/>
                  </w:tcMar>
                  <w:vAlign w:val="center"/>
                </w:tcPr>
                <w:p w14:paraId="3CB5C3F8">
                  <w:pPr>
                    <w:pStyle w:val="150"/>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caps w:val="0"/>
                      <w:color w:val="auto"/>
                      <w:sz w:val="21"/>
                      <w:szCs w:val="21"/>
                      <w:highlight w:val="none"/>
                      <w:u w:val="none" w:color="auto"/>
                    </w:rPr>
                    <w:t>相符性分析</w:t>
                  </w:r>
                </w:p>
              </w:tc>
            </w:tr>
            <w:tr w14:paraId="537F8F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48" w:hRule="atLeast"/>
                <w:jc w:val="center"/>
              </w:trPr>
              <w:tc>
                <w:tcPr>
                  <w:tcW w:w="588" w:type="dxa"/>
                  <w:tcBorders>
                    <w:tl2br w:val="nil"/>
                    <w:tr2bl w:val="nil"/>
                  </w:tcBorders>
                  <w:noWrap w:val="0"/>
                  <w:tcMar>
                    <w:left w:w="28" w:type="dxa"/>
                    <w:right w:w="28" w:type="dxa"/>
                  </w:tcMar>
                  <w:vAlign w:val="center"/>
                </w:tcPr>
                <w:p w14:paraId="741701F0">
                  <w:pPr>
                    <w:pStyle w:val="150"/>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b w:val="0"/>
                      <w:bCs w:val="0"/>
                      <w:caps w:val="0"/>
                      <w:color w:val="auto"/>
                      <w:sz w:val="21"/>
                      <w:szCs w:val="21"/>
                      <w:highlight w:val="none"/>
                      <w:u w:val="none" w:color="auto"/>
                    </w:rPr>
                  </w:pPr>
                  <w:r>
                    <w:rPr>
                      <w:rFonts w:hint="default" w:ascii="Times New Roman" w:hAnsi="Times New Roman" w:eastAsia="宋体" w:cs="Times New Roman"/>
                      <w:b w:val="0"/>
                      <w:bCs w:val="0"/>
                      <w:caps w:val="0"/>
                      <w:color w:val="auto"/>
                      <w:sz w:val="21"/>
                      <w:szCs w:val="21"/>
                      <w:highlight w:val="none"/>
                      <w:u w:val="none" w:color="auto"/>
                    </w:rPr>
                    <w:t>空间布局约束</w:t>
                  </w:r>
                </w:p>
              </w:tc>
              <w:tc>
                <w:tcPr>
                  <w:tcW w:w="4390" w:type="dxa"/>
                  <w:tcBorders>
                    <w:tl2br w:val="nil"/>
                    <w:tr2bl w:val="nil"/>
                  </w:tcBorders>
                  <w:noWrap w:val="0"/>
                  <w:tcMar>
                    <w:left w:w="28" w:type="dxa"/>
                    <w:right w:w="28" w:type="dxa"/>
                  </w:tcMar>
                  <w:vAlign w:val="center"/>
                </w:tcPr>
                <w:p w14:paraId="4916AA13">
                  <w:pPr>
                    <w:keepNext w:val="0"/>
                    <w:keepLines w:val="0"/>
                    <w:suppressLineNumbers w:val="0"/>
                    <w:spacing w:before="0" w:beforeAutospacing="0" w:after="0" w:afterAutospacing="0" w:line="240" w:lineRule="auto"/>
                    <w:ind w:left="0" w:right="0" w:firstLine="0" w:firstLineChars="0"/>
                    <w:rPr>
                      <w:rStyle w:val="151"/>
                      <w:rFonts w:hint="default" w:ascii="Times New Roman" w:hAnsi="Times New Roman" w:eastAsia="宋体" w:cs="Times New Roman"/>
                      <w:b w:val="0"/>
                      <w:bCs w:val="0"/>
                      <w:caps w:val="0"/>
                      <w:color w:val="auto"/>
                      <w:sz w:val="21"/>
                      <w:szCs w:val="21"/>
                      <w:highlight w:val="none"/>
                      <w:u w:val="none" w:color="auto"/>
                    </w:rPr>
                  </w:pPr>
                  <w:r>
                    <w:rPr>
                      <w:rStyle w:val="151"/>
                      <w:rFonts w:hint="eastAsia" w:cs="Times New Roman"/>
                      <w:b w:val="0"/>
                      <w:bCs w:val="0"/>
                      <w:caps w:val="0"/>
                      <w:color w:val="auto"/>
                      <w:sz w:val="21"/>
                      <w:szCs w:val="21"/>
                      <w:highlight w:val="none"/>
                      <w:u w:val="none" w:color="auto"/>
                      <w:lang w:val="en-US" w:eastAsia="zh-CN"/>
                    </w:rPr>
                    <w:t>1.</w:t>
                  </w:r>
                  <w:r>
                    <w:rPr>
                      <w:rStyle w:val="151"/>
                      <w:rFonts w:hint="default" w:ascii="Times New Roman" w:hAnsi="Times New Roman" w:eastAsia="宋体" w:cs="Times New Roman"/>
                      <w:b w:val="0"/>
                      <w:bCs w:val="0"/>
                      <w:caps w:val="0"/>
                      <w:color w:val="auto"/>
                      <w:sz w:val="21"/>
                      <w:szCs w:val="21"/>
                      <w:highlight w:val="none"/>
                      <w:u w:val="none" w:color="auto"/>
                      <w:lang w:val="en-US" w:eastAsia="zh-CN"/>
                    </w:rPr>
                    <w:t>园区管理机构应负责统筹区域内生态环境基础设施建设，不得引进与园区产业定位不符的产业，引进项目清洁生产水平须达到国内同行业先进水平，严格控制污染物排放大的项目进驻。 2．园区产业准入执行《广西壮族自治区人民政府办公厅关于印发北钦防一体化产业协同发展限制布局清单（工业类2021 年版）的通知》（桂政办函〔2021〕4 号）要求，限制新建不符合综合保税区产业政策的产品加工制造和产业服务项目。 3．新建、改建、扩建项目应按照国家、自治区行业建设项目环境影响评价文件审批原则入园；不得引入废水排放量大</w:t>
                  </w:r>
                  <w:r>
                    <w:rPr>
                      <w:rStyle w:val="151"/>
                      <w:rFonts w:hint="eastAsia" w:ascii="Times New Roman" w:hAnsi="Times New Roman" w:eastAsia="宋体" w:cs="Times New Roman"/>
                      <w:b w:val="0"/>
                      <w:bCs w:val="0"/>
                      <w:caps w:val="0"/>
                      <w:color w:val="auto"/>
                      <w:sz w:val="21"/>
                      <w:szCs w:val="21"/>
                      <w:highlight w:val="none"/>
                      <w:u w:val="none" w:color="auto"/>
                      <w:lang w:val="en-US" w:eastAsia="zh-CN"/>
                    </w:rPr>
                    <w:t>、</w:t>
                  </w:r>
                  <w:r>
                    <w:rPr>
                      <w:rStyle w:val="151"/>
                      <w:rFonts w:hint="default" w:ascii="Times New Roman" w:hAnsi="Times New Roman" w:eastAsia="宋体" w:cs="Times New Roman"/>
                      <w:b w:val="0"/>
                      <w:bCs w:val="0"/>
                      <w:caps w:val="0"/>
                      <w:color w:val="auto"/>
                      <w:sz w:val="21"/>
                      <w:szCs w:val="21"/>
                      <w:highlight w:val="none"/>
                      <w:u w:val="none" w:color="auto"/>
                      <w:lang w:val="en-US" w:eastAsia="zh-CN"/>
                    </w:rPr>
                    <w:t>水污染严重的相关企业</w:t>
                  </w:r>
                  <w:r>
                    <w:rPr>
                      <w:rStyle w:val="151"/>
                      <w:rFonts w:hint="default" w:ascii="Times New Roman" w:hAnsi="Times New Roman" w:eastAsia="宋体" w:cs="Times New Roman"/>
                      <w:b w:val="0"/>
                      <w:bCs w:val="0"/>
                      <w:caps w:val="0"/>
                      <w:color w:val="auto"/>
                      <w:sz w:val="21"/>
                      <w:szCs w:val="21"/>
                      <w:highlight w:val="none"/>
                      <w:u w:val="none" w:color="auto"/>
                    </w:rPr>
                    <w:t>。</w:t>
                  </w:r>
                </w:p>
              </w:tc>
              <w:tc>
                <w:tcPr>
                  <w:tcW w:w="1721" w:type="dxa"/>
                  <w:tcBorders>
                    <w:tl2br w:val="nil"/>
                    <w:tr2bl w:val="nil"/>
                  </w:tcBorders>
                  <w:noWrap w:val="0"/>
                  <w:tcMar>
                    <w:left w:w="28" w:type="dxa"/>
                    <w:right w:w="28" w:type="dxa"/>
                  </w:tcMar>
                  <w:vAlign w:val="center"/>
                </w:tcPr>
                <w:p w14:paraId="71082AA2">
                  <w:pPr>
                    <w:pStyle w:val="150"/>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color="auto"/>
                    </w:rPr>
                  </w:pPr>
                  <w:r>
                    <w:rPr>
                      <w:rFonts w:hint="default" w:ascii="Times New Roman" w:hAnsi="Times New Roman" w:eastAsia="宋体" w:cs="Times New Roman"/>
                      <w:b w:val="0"/>
                      <w:bCs w:val="0"/>
                      <w:caps w:val="0"/>
                      <w:color w:val="auto"/>
                      <w:sz w:val="21"/>
                      <w:szCs w:val="21"/>
                      <w:highlight w:val="none"/>
                      <w:u w:val="none" w:color="auto"/>
                    </w:rPr>
                    <w:t>项目为</w:t>
                  </w:r>
                  <w:r>
                    <w:rPr>
                      <w:rFonts w:hint="default" w:ascii="Times New Roman" w:hAnsi="Times New Roman" w:eastAsia="宋体" w:cs="Times New Roman"/>
                      <w:b w:val="0"/>
                      <w:bCs w:val="0"/>
                      <w:caps w:val="0"/>
                      <w:color w:val="auto"/>
                      <w:sz w:val="21"/>
                      <w:szCs w:val="21"/>
                      <w:highlight w:val="none"/>
                      <w:u w:val="none" w:color="auto"/>
                      <w:lang w:val="en-US" w:eastAsia="zh-CN"/>
                    </w:rPr>
                    <w:t>将原有</w:t>
                  </w:r>
                  <w:r>
                    <w:rPr>
                      <w:rFonts w:hint="eastAsia" w:ascii="Times New Roman" w:hAnsi="Times New Roman" w:eastAsia="宋体" w:cs="Times New Roman"/>
                      <w:b w:val="0"/>
                      <w:bCs w:val="0"/>
                      <w:caps w:val="0"/>
                      <w:color w:val="auto"/>
                      <w:sz w:val="21"/>
                      <w:szCs w:val="21"/>
                      <w:highlight w:val="none"/>
                      <w:u w:val="none" w:color="auto"/>
                      <w:lang w:val="en-US" w:eastAsia="zh-CN"/>
                    </w:rPr>
                    <w:t>部分</w:t>
                  </w:r>
                  <w:r>
                    <w:rPr>
                      <w:rFonts w:hint="default" w:ascii="Times New Roman" w:hAnsi="Times New Roman" w:eastAsia="宋体" w:cs="Times New Roman"/>
                      <w:b w:val="0"/>
                      <w:bCs w:val="0"/>
                      <w:caps w:val="0"/>
                      <w:color w:val="auto"/>
                      <w:sz w:val="21"/>
                      <w:szCs w:val="21"/>
                      <w:highlight w:val="none"/>
                      <w:u w:val="none" w:color="auto"/>
                      <w:lang w:val="en-US" w:eastAsia="zh-CN"/>
                    </w:rPr>
                    <w:t>普通货物集装箱堆场改为混堆危险货物集装箱的混堆场</w:t>
                  </w:r>
                  <w:r>
                    <w:rPr>
                      <w:rFonts w:hint="eastAsia" w:ascii="Times New Roman" w:hAnsi="Times New Roman" w:eastAsia="宋体" w:cs="Times New Roman"/>
                      <w:b w:val="0"/>
                      <w:bCs w:val="0"/>
                      <w:caps w:val="0"/>
                      <w:color w:val="auto"/>
                      <w:sz w:val="21"/>
                      <w:szCs w:val="21"/>
                      <w:highlight w:val="none"/>
                      <w:u w:val="none" w:color="auto"/>
                      <w:lang w:val="en-US" w:eastAsia="zh-CN"/>
                    </w:rPr>
                    <w:t>，</w:t>
                  </w:r>
                  <w:r>
                    <w:rPr>
                      <w:rFonts w:hint="default" w:ascii="Times New Roman" w:hAnsi="Times New Roman" w:eastAsia="宋体" w:cs="Times New Roman"/>
                      <w:b w:val="0"/>
                      <w:bCs w:val="0"/>
                      <w:caps w:val="0"/>
                      <w:color w:val="auto"/>
                      <w:sz w:val="21"/>
                      <w:szCs w:val="21"/>
                      <w:highlight w:val="none"/>
                      <w:u w:val="none" w:color="auto"/>
                    </w:rPr>
                    <w:t>符合</w:t>
                  </w:r>
                  <w:r>
                    <w:rPr>
                      <w:rFonts w:hint="default" w:ascii="Times New Roman" w:hAnsi="Times New Roman" w:eastAsia="宋体" w:cs="Times New Roman"/>
                      <w:b w:val="0"/>
                      <w:bCs w:val="0"/>
                      <w:caps w:val="0"/>
                      <w:color w:val="auto"/>
                      <w:sz w:val="21"/>
                      <w:szCs w:val="21"/>
                      <w:highlight w:val="none"/>
                      <w:u w:val="none" w:color="auto"/>
                      <w:lang w:val="en-US" w:eastAsia="zh-CN"/>
                    </w:rPr>
                    <w:t>钦州港总体规划</w:t>
                  </w:r>
                  <w:r>
                    <w:rPr>
                      <w:rFonts w:hint="eastAsia" w:ascii="Times New Roman" w:hAnsi="Times New Roman" w:eastAsia="宋体" w:cs="Times New Roman"/>
                      <w:b w:val="0"/>
                      <w:bCs w:val="0"/>
                      <w:caps w:val="0"/>
                      <w:color w:val="auto"/>
                      <w:sz w:val="21"/>
                      <w:szCs w:val="21"/>
                      <w:highlight w:val="none"/>
                      <w:u w:val="none" w:color="auto"/>
                      <w:lang w:val="en-US" w:eastAsia="zh-CN"/>
                    </w:rPr>
                    <w:t>和北部湾港总体规划</w:t>
                  </w:r>
                  <w:r>
                    <w:rPr>
                      <w:rFonts w:hint="default" w:ascii="Times New Roman" w:hAnsi="Times New Roman" w:eastAsia="宋体" w:cs="Times New Roman"/>
                      <w:b w:val="0"/>
                      <w:bCs w:val="0"/>
                      <w:caps w:val="0"/>
                      <w:color w:val="auto"/>
                      <w:sz w:val="21"/>
                      <w:szCs w:val="21"/>
                      <w:highlight w:val="none"/>
                      <w:u w:val="none" w:color="auto"/>
                    </w:rPr>
                    <w:t>，</w:t>
                  </w:r>
                  <w:r>
                    <w:rPr>
                      <w:rFonts w:hint="eastAsia" w:ascii="Times New Roman" w:hAnsi="Times New Roman" w:eastAsia="宋体" w:cs="Times New Roman"/>
                      <w:b w:val="0"/>
                      <w:bCs w:val="0"/>
                      <w:caps w:val="0"/>
                      <w:color w:val="auto"/>
                      <w:sz w:val="21"/>
                      <w:szCs w:val="21"/>
                      <w:highlight w:val="none"/>
                      <w:u w:val="none" w:color="auto"/>
                      <w:lang w:val="en-US" w:eastAsia="zh-CN"/>
                    </w:rPr>
                    <w:t>项目不改变原有吞吐量和堆存量，不新增机械设备，不新增废水、废气产生</w:t>
                  </w:r>
                  <w:r>
                    <w:rPr>
                      <w:rFonts w:hint="default" w:ascii="Times New Roman" w:hAnsi="Times New Roman" w:eastAsia="宋体" w:cs="Times New Roman"/>
                      <w:b w:val="0"/>
                      <w:bCs w:val="0"/>
                      <w:caps w:val="0"/>
                      <w:color w:val="auto"/>
                      <w:sz w:val="21"/>
                      <w:szCs w:val="21"/>
                      <w:highlight w:val="none"/>
                      <w:u w:val="none" w:color="auto"/>
                    </w:rPr>
                    <w:t>。</w:t>
                  </w:r>
                </w:p>
                <w:p w14:paraId="7A5D0373">
                  <w:pPr>
                    <w:pStyle w:val="150"/>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 w:val="0"/>
                      <w:bCs w:val="0"/>
                      <w:caps w:val="0"/>
                      <w:color w:val="auto"/>
                      <w:sz w:val="21"/>
                      <w:szCs w:val="21"/>
                      <w:highlight w:val="none"/>
                      <w:u w:val="none" w:color="auto"/>
                      <w:lang w:val="en-US" w:eastAsia="zh-CN"/>
                    </w:rPr>
                  </w:pPr>
                  <w:r>
                    <w:rPr>
                      <w:rFonts w:hint="default" w:ascii="Times New Roman" w:hAnsi="Times New Roman" w:eastAsia="宋体" w:cs="Times New Roman"/>
                      <w:b/>
                      <w:bCs/>
                      <w:caps w:val="0"/>
                      <w:color w:val="auto"/>
                      <w:sz w:val="21"/>
                      <w:szCs w:val="21"/>
                      <w:highlight w:val="none"/>
                      <w:u w:val="none" w:color="auto"/>
                    </w:rPr>
                    <w:t>符合</w:t>
                  </w:r>
                  <w:r>
                    <w:rPr>
                      <w:rFonts w:hint="default" w:ascii="Times New Roman" w:hAnsi="Times New Roman" w:eastAsia="宋体" w:cs="Times New Roman"/>
                      <w:b/>
                      <w:bCs/>
                      <w:caps w:val="0"/>
                      <w:color w:val="auto"/>
                      <w:sz w:val="21"/>
                      <w:szCs w:val="21"/>
                      <w:highlight w:val="none"/>
                      <w:u w:val="none" w:color="auto"/>
                      <w:lang w:eastAsia="zh-CN"/>
                    </w:rPr>
                    <w:t>。</w:t>
                  </w:r>
                </w:p>
              </w:tc>
            </w:tr>
          </w:tbl>
          <w:p w14:paraId="051CBD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根据上表分析，本项目与</w:t>
            </w:r>
            <w:r>
              <w:rPr>
                <w:rFonts w:hint="default" w:ascii="Times New Roman" w:hAnsi="Times New Roman" w:eastAsia="宋体" w:cs="Times New Roman"/>
                <w:color w:val="auto"/>
                <w:sz w:val="24"/>
                <w:szCs w:val="24"/>
                <w:highlight w:val="none"/>
                <w:u w:val="none" w:color="auto"/>
                <w:lang w:eastAsia="zh-CN"/>
              </w:rPr>
              <w:t>生态环境分区</w:t>
            </w:r>
            <w:r>
              <w:rPr>
                <w:rFonts w:hint="default" w:ascii="Times New Roman" w:hAnsi="Times New Roman" w:eastAsia="宋体" w:cs="Times New Roman"/>
                <w:color w:val="auto"/>
                <w:sz w:val="24"/>
                <w:szCs w:val="24"/>
                <w:highlight w:val="none"/>
                <w:u w:val="none" w:color="auto"/>
              </w:rPr>
              <w:t>管控要求相符。</w:t>
            </w:r>
          </w:p>
          <w:p w14:paraId="632458F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2</w:t>
            </w:r>
            <w:r>
              <w:rPr>
                <w:rFonts w:hint="default" w:ascii="Times New Roman" w:hAnsi="Times New Roman" w:eastAsia="宋体" w:cs="Times New Roman"/>
                <w:b/>
                <w:bCs/>
                <w:color w:val="auto"/>
                <w:sz w:val="24"/>
                <w:szCs w:val="24"/>
                <w:highlight w:val="none"/>
                <w:u w:val="none" w:color="auto"/>
              </w:rPr>
              <w:t>、产业政策相符性分析</w:t>
            </w:r>
          </w:p>
          <w:p w14:paraId="56730A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根据《产业结构调整指导目录》</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2024</w:t>
            </w:r>
            <w:r>
              <w:rPr>
                <w:rFonts w:hint="default" w:ascii="Times New Roman" w:hAnsi="Times New Roman" w:eastAsia="宋体" w:cs="Times New Roman"/>
                <w:color w:val="auto"/>
                <w:sz w:val="24"/>
                <w:szCs w:val="24"/>
                <w:highlight w:val="none"/>
                <w:u w:val="none" w:color="auto"/>
              </w:rPr>
              <w:t>年本</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，本项目不属于国家《产业结构调整指导目录》</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2024</w:t>
            </w:r>
            <w:r>
              <w:rPr>
                <w:rFonts w:hint="default" w:ascii="Times New Roman" w:hAnsi="Times New Roman" w:eastAsia="宋体" w:cs="Times New Roman"/>
                <w:color w:val="auto"/>
                <w:sz w:val="24"/>
                <w:szCs w:val="24"/>
                <w:highlight w:val="none"/>
                <w:u w:val="none" w:color="auto"/>
              </w:rPr>
              <w:t>年本</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中的</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鼓励类</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限制类</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和</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淘汰类</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，为产业政策允许建设项目</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本项目已获得</w:t>
            </w:r>
            <w:r>
              <w:rPr>
                <w:rFonts w:hint="eastAsia" w:ascii="Times New Roman" w:hAnsi="Times New Roman" w:eastAsia="宋体" w:cs="Times New Roman"/>
                <w:color w:val="auto"/>
                <w:sz w:val="24"/>
                <w:szCs w:val="24"/>
                <w:highlight w:val="none"/>
                <w:u w:val="none" w:color="auto"/>
                <w:lang w:val="en-US" w:eastAsia="zh-CN"/>
              </w:rPr>
              <w:t>中国-马来西亚钦州产业园区行政审批局</w:t>
            </w:r>
            <w:r>
              <w:rPr>
                <w:rFonts w:hint="default" w:ascii="Times New Roman" w:hAnsi="Times New Roman" w:eastAsia="宋体" w:cs="Times New Roman"/>
                <w:color w:val="auto"/>
                <w:sz w:val="24"/>
                <w:szCs w:val="24"/>
                <w:highlight w:val="none"/>
                <w:u w:val="none" w:color="auto"/>
              </w:rPr>
              <w:t>的《广西壮族自治区投资项目备案证明》（项目代码：</w:t>
            </w:r>
            <w:r>
              <w:rPr>
                <w:rFonts w:hint="eastAsia" w:ascii="Times New Roman" w:hAnsi="Times New Roman" w:eastAsia="宋体" w:cs="Times New Roman"/>
                <w:color w:val="auto"/>
                <w:sz w:val="24"/>
                <w:szCs w:val="24"/>
                <w:highlight w:val="none"/>
                <w:u w:val="none" w:color="auto"/>
                <w:lang w:val="en-US" w:eastAsia="zh-CN"/>
              </w:rPr>
              <w:t>2507</w:t>
            </w:r>
            <w:r>
              <w:rPr>
                <w:rFonts w:hint="default" w:ascii="Times New Roman" w:hAnsi="Times New Roman" w:eastAsia="宋体" w:cs="Times New Roman"/>
                <w:color w:val="auto"/>
                <w:sz w:val="24"/>
                <w:szCs w:val="24"/>
                <w:highlight w:val="none"/>
                <w:u w:val="none" w:color="auto"/>
                <w:lang w:val="en-US" w:eastAsia="zh-CN"/>
              </w:rPr>
              <w:t>-450704-04-01-</w:t>
            </w:r>
            <w:r>
              <w:rPr>
                <w:rFonts w:hint="eastAsia" w:ascii="Times New Roman" w:hAnsi="Times New Roman" w:eastAsia="宋体" w:cs="Times New Roman"/>
                <w:color w:val="auto"/>
                <w:sz w:val="24"/>
                <w:szCs w:val="24"/>
                <w:highlight w:val="none"/>
                <w:u w:val="none" w:color="auto"/>
                <w:lang w:val="en-US" w:eastAsia="zh-CN"/>
              </w:rPr>
              <w:t>380191</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fr-FR"/>
              </w:rPr>
              <w:t>，项目的建设符合国家现行产业政策</w:t>
            </w:r>
            <w:r>
              <w:rPr>
                <w:rFonts w:hint="default" w:ascii="Times New Roman" w:hAnsi="Times New Roman" w:eastAsia="宋体" w:cs="Times New Roman"/>
                <w:color w:val="auto"/>
                <w:kern w:val="0"/>
                <w:sz w:val="24"/>
                <w:szCs w:val="24"/>
                <w:highlight w:val="none"/>
                <w:u w:val="none" w:color="auto"/>
                <w:lang w:eastAsia="zh-CN"/>
              </w:rPr>
              <w:t>。</w:t>
            </w:r>
          </w:p>
          <w:p w14:paraId="02B776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3</w:t>
            </w:r>
            <w:r>
              <w:rPr>
                <w:rFonts w:hint="default" w:ascii="Times New Roman" w:hAnsi="Times New Roman" w:eastAsia="宋体" w:cs="Times New Roman"/>
                <w:b/>
                <w:bCs/>
                <w:color w:val="auto"/>
                <w:sz w:val="24"/>
                <w:szCs w:val="24"/>
                <w:highlight w:val="none"/>
                <w:u w:val="none" w:color="auto"/>
              </w:rPr>
              <w:t>、选址</w:t>
            </w:r>
            <w:r>
              <w:rPr>
                <w:rFonts w:hint="default" w:ascii="Times New Roman" w:hAnsi="Times New Roman" w:eastAsia="宋体" w:cs="Times New Roman"/>
                <w:b/>
                <w:bCs/>
                <w:color w:val="auto"/>
                <w:sz w:val="24"/>
                <w:szCs w:val="24"/>
                <w:highlight w:val="none"/>
                <w:u w:val="none" w:color="auto"/>
                <w:lang w:eastAsia="zh-CN"/>
              </w:rPr>
              <w:t>合理</w:t>
            </w:r>
            <w:r>
              <w:rPr>
                <w:rFonts w:hint="default" w:ascii="Times New Roman" w:hAnsi="Times New Roman" w:eastAsia="宋体" w:cs="Times New Roman"/>
                <w:b/>
                <w:bCs/>
                <w:color w:val="auto"/>
                <w:sz w:val="24"/>
                <w:szCs w:val="24"/>
                <w:highlight w:val="none"/>
                <w:u w:val="none" w:color="auto"/>
              </w:rPr>
              <w:t>性分析</w:t>
            </w:r>
          </w:p>
          <w:p w14:paraId="62423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本项目</w:t>
            </w:r>
            <w:r>
              <w:rPr>
                <w:rFonts w:hint="default" w:ascii="Times New Roman" w:hAnsi="Times New Roman" w:eastAsia="宋体" w:cs="Times New Roman"/>
                <w:color w:val="auto"/>
                <w:sz w:val="24"/>
                <w:szCs w:val="24"/>
                <w:highlight w:val="none"/>
                <w:u w:val="none" w:color="auto"/>
                <w:lang w:val="en-US" w:eastAsia="zh-CN"/>
              </w:rPr>
              <w:t>位于钦州港大榄坪南作业区</w:t>
            </w:r>
            <w:r>
              <w:rPr>
                <w:rFonts w:hint="eastAsia" w:ascii="Times New Roman" w:hAnsi="Times New Roman" w:eastAsia="宋体" w:cs="Times New Roman"/>
                <w:color w:val="auto"/>
                <w:sz w:val="24"/>
                <w:szCs w:val="24"/>
                <w:highlight w:val="none"/>
                <w:u w:val="none" w:color="auto"/>
                <w:lang w:val="en-US" w:eastAsia="zh-CN"/>
              </w:rPr>
              <w:t>3#、4#、5#</w:t>
            </w:r>
            <w:r>
              <w:rPr>
                <w:rFonts w:hint="default" w:ascii="Times New Roman" w:hAnsi="Times New Roman" w:eastAsia="宋体" w:cs="Times New Roman"/>
                <w:color w:val="auto"/>
                <w:sz w:val="24"/>
                <w:szCs w:val="24"/>
                <w:highlight w:val="none"/>
                <w:u w:val="none" w:color="auto"/>
                <w:lang w:val="en-US" w:eastAsia="zh-CN"/>
              </w:rPr>
              <w:t>号泊位后方堆场内</w:t>
            </w:r>
            <w:r>
              <w:rPr>
                <w:rFonts w:hint="default" w:ascii="Times New Roman" w:hAnsi="Times New Roman" w:eastAsia="宋体" w:cs="Times New Roman"/>
                <w:color w:val="auto"/>
                <w:sz w:val="24"/>
                <w:szCs w:val="24"/>
                <w:highlight w:val="none"/>
                <w:u w:val="none" w:color="auto"/>
                <w:lang w:val="zh-CN" w:eastAsia="zh-CN"/>
              </w:rPr>
              <w:t>，</w:t>
            </w:r>
            <w:r>
              <w:rPr>
                <w:rFonts w:hint="eastAsia" w:ascii="Times New Roman" w:hAnsi="Times New Roman" w:eastAsia="宋体" w:cs="Times New Roman"/>
                <w:color w:val="auto"/>
                <w:sz w:val="24"/>
                <w:szCs w:val="24"/>
                <w:highlight w:val="none"/>
                <w:u w:val="none" w:color="auto"/>
                <w:lang w:val="en-US" w:eastAsia="zh-CN"/>
              </w:rPr>
              <w:t>项目属于《钦州港大榄坪南作业区1#-6#泊位新增危险货物集装箱项目（重大变动）》用地内，将原有普通货物集装箱堆场改为混堆危险货物集装箱的混堆场，混堆货物主要为8类、9类固态危险货物，混堆危险货物UN号为2216、2807、2990、3028、3072、3166、3171、3268、3316、3335、3363、3496、3499、3508、3536、1759、1845、3077、3090、3091、3147、3259、3260、3261、3262、3263、3359、3480、3481、3509、3530、3551、3552、3556、3557、3558、3559，均属于《港口危险货物作业附证》中的货种。</w:t>
            </w:r>
          </w:p>
          <w:p w14:paraId="21DC61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u w:val="none" w:color="auto"/>
                <w:lang w:val="en-US" w:eastAsia="zh-CN"/>
              </w:rPr>
              <w:t xml:space="preserve">    </w:t>
            </w:r>
            <w:r>
              <w:rPr>
                <w:rFonts w:hint="eastAsia" w:ascii="Times New Roman" w:hAnsi="Times New Roman" w:eastAsia="宋体" w:cs="Times New Roman"/>
                <w:color w:val="auto"/>
                <w:sz w:val="24"/>
                <w:szCs w:val="24"/>
                <w:highlight w:val="none"/>
                <w:u w:val="none" w:color="auto"/>
                <w:lang w:val="en-US" w:eastAsia="zh-CN"/>
              </w:rPr>
              <w:t>项目</w:t>
            </w:r>
            <w:r>
              <w:rPr>
                <w:rFonts w:hint="default" w:ascii="Times New Roman" w:hAnsi="Times New Roman" w:eastAsia="宋体" w:cs="Times New Roman"/>
                <w:color w:val="auto"/>
                <w:sz w:val="24"/>
                <w:highlight w:val="none"/>
                <w:u w:val="none" w:color="auto"/>
                <w:lang w:eastAsia="zh-CN"/>
              </w:rPr>
              <w:t>符合园区发展规划。</w:t>
            </w:r>
            <w:r>
              <w:rPr>
                <w:rFonts w:hint="default" w:ascii="Times New Roman" w:hAnsi="Times New Roman" w:eastAsia="宋体" w:cs="Times New Roman"/>
                <w:color w:val="auto"/>
                <w:sz w:val="24"/>
                <w:szCs w:val="24"/>
                <w:highlight w:val="none"/>
                <w:u w:val="none" w:color="auto"/>
                <w:lang w:eastAsia="zh-CN"/>
              </w:rPr>
              <w:t>项目所在区域不涉及</w:t>
            </w:r>
            <w:r>
              <w:rPr>
                <w:rFonts w:hint="default" w:ascii="Times New Roman" w:hAnsi="Times New Roman" w:eastAsia="宋体" w:cs="Times New Roman"/>
                <w:color w:val="auto"/>
                <w:sz w:val="24"/>
                <w:szCs w:val="24"/>
                <w:highlight w:val="none"/>
                <w:u w:val="none" w:color="auto"/>
              </w:rPr>
              <w:t>饮用水源保护区、自然保护区和风景名胜区等敏感目标。项目所在地区域交通便利，基础设施完善，本项目的建设将有利于带动区域经济发展。</w:t>
            </w:r>
            <w:r>
              <w:rPr>
                <w:rFonts w:hint="default" w:ascii="Times New Roman" w:hAnsi="Times New Roman" w:eastAsia="宋体" w:cs="Times New Roman"/>
                <w:color w:val="auto"/>
                <w:sz w:val="24"/>
                <w:highlight w:val="none"/>
                <w:u w:val="none" w:color="auto"/>
              </w:rPr>
              <w:t>项目选址符合相关要求</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sz w:val="24"/>
                <w:szCs w:val="24"/>
                <w:highlight w:val="none"/>
                <w:u w:val="none" w:color="auto"/>
              </w:rPr>
              <w:t>项目选址合理</w:t>
            </w:r>
            <w:r>
              <w:rPr>
                <w:rFonts w:hint="default" w:ascii="Times New Roman" w:hAnsi="Times New Roman" w:eastAsia="宋体" w:cs="Times New Roman"/>
                <w:color w:val="auto"/>
                <w:sz w:val="24"/>
                <w:szCs w:val="24"/>
                <w:highlight w:val="none"/>
                <w:u w:val="none" w:color="auto"/>
                <w:lang w:eastAsia="zh-CN"/>
              </w:rPr>
              <w:t>。</w:t>
            </w:r>
          </w:p>
          <w:p w14:paraId="3F26CB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4、项目《港口作业安全要求第3部分：危险货物集装箱》（GB 16994.3-2021）中混堆条件的符合性</w:t>
            </w:r>
          </w:p>
          <w:p w14:paraId="15F8CF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根据《港口作业安全要求 第3部分</w:t>
            </w:r>
            <w:r>
              <w:rPr>
                <w:rFonts w:hint="eastAsia"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危险货物集装箱》（GB 16994.3-2021）对于装载GB6944-2012中8类、9类固态危险货物的集装箱，当所载货物</w:t>
            </w:r>
            <w:r>
              <w:rPr>
                <w:rFonts w:hint="eastAsia" w:cs="Times New Roman"/>
                <w:color w:val="auto"/>
                <w:sz w:val="24"/>
                <w:szCs w:val="24"/>
                <w:highlight w:val="none"/>
                <w:u w:val="none" w:color="auto"/>
                <w:lang w:val="en-US" w:eastAsia="zh-CN"/>
              </w:rPr>
              <w:t>无</w:t>
            </w:r>
            <w:r>
              <w:rPr>
                <w:rFonts w:hint="eastAsia" w:ascii="Times New Roman" w:hAnsi="Times New Roman" w:eastAsia="宋体" w:cs="Times New Roman"/>
                <w:color w:val="auto"/>
                <w:sz w:val="24"/>
                <w:szCs w:val="24"/>
                <w:highlight w:val="none"/>
                <w:u w:val="none" w:color="auto"/>
                <w:lang w:val="en-US" w:eastAsia="zh-CN"/>
              </w:rPr>
              <w:t>危险性，包装类非Ⅰ、Ⅱ类且不属于危险化学品时，可与普通货物集装箱混</w:t>
            </w:r>
            <w:r>
              <w:rPr>
                <w:rFonts w:hint="eastAsia" w:ascii="Times New Roman" w:hAnsi="Times New Roman" w:eastAsia="宋体" w:cs="Times New Roman"/>
                <w:color w:val="auto"/>
                <w:sz w:val="24"/>
                <w:szCs w:val="24"/>
                <w:highlight w:val="none"/>
                <w:u w:val="single" w:color="auto"/>
                <w:lang w:val="en-US" w:eastAsia="zh-CN"/>
              </w:rPr>
              <w:t>堆。混堆时应满足</w:t>
            </w:r>
            <w:r>
              <w:rPr>
                <w:rFonts w:hint="eastAsia" w:cs="Times New Roman"/>
                <w:color w:val="auto"/>
                <w:sz w:val="24"/>
                <w:szCs w:val="24"/>
                <w:highlight w:val="none"/>
                <w:u w:val="single" w:color="auto"/>
                <w:lang w:val="en-US" w:eastAsia="zh-CN"/>
              </w:rPr>
              <w:t>下表要求。</w:t>
            </w:r>
          </w:p>
          <w:p w14:paraId="1FD3CC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表1-5混堆要求符合性分析</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978"/>
              <w:gridCol w:w="3036"/>
            </w:tblGrid>
            <w:tr w14:paraId="7E00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93" w:type="dxa"/>
                  <w:vAlign w:val="center"/>
                </w:tcPr>
                <w:p w14:paraId="0466455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序号</w:t>
                  </w:r>
                </w:p>
              </w:tc>
              <w:tc>
                <w:tcPr>
                  <w:tcW w:w="2983" w:type="dxa"/>
                  <w:vAlign w:val="center"/>
                </w:tcPr>
                <w:p w14:paraId="13A2C41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混堆要求</w:t>
                  </w:r>
                </w:p>
              </w:tc>
              <w:tc>
                <w:tcPr>
                  <w:tcW w:w="3040" w:type="dxa"/>
                  <w:vAlign w:val="center"/>
                </w:tcPr>
                <w:p w14:paraId="629BC8E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项目情况</w:t>
                  </w:r>
                </w:p>
              </w:tc>
            </w:tr>
            <w:tr w14:paraId="0D95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14:paraId="339E186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1</w:t>
                  </w:r>
                </w:p>
              </w:tc>
              <w:tc>
                <w:tcPr>
                  <w:tcW w:w="2983" w:type="dxa"/>
                  <w:vAlign w:val="center"/>
                </w:tcPr>
                <w:p w14:paraId="362101C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堆存场所设置明显的标志标识，列明货物品名和应急处置措施</w:t>
                  </w:r>
                </w:p>
              </w:tc>
              <w:tc>
                <w:tcPr>
                  <w:tcW w:w="3040" w:type="dxa"/>
                  <w:vAlign w:val="center"/>
                </w:tcPr>
                <w:p w14:paraId="371C55B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符合，项目混堆场按要求设置标识，同时列明货物品名和应急措施</w:t>
                  </w:r>
                </w:p>
              </w:tc>
            </w:tr>
            <w:tr w14:paraId="408A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14:paraId="3AA4B56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2</w:t>
                  </w:r>
                </w:p>
              </w:tc>
              <w:tc>
                <w:tcPr>
                  <w:tcW w:w="2983" w:type="dxa"/>
                  <w:vAlign w:val="center"/>
                </w:tcPr>
                <w:p w14:paraId="56F62DC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堆存场所配备相应的设施设备，并加强安全巡查</w:t>
                  </w:r>
                </w:p>
              </w:tc>
              <w:tc>
                <w:tcPr>
                  <w:tcW w:w="3040" w:type="dxa"/>
                  <w:vAlign w:val="center"/>
                </w:tcPr>
                <w:p w14:paraId="6A989D2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符合，项目混堆场按要求配备相应的设施设备如灭火器等，并加强安全巡查</w:t>
                  </w:r>
                </w:p>
              </w:tc>
            </w:tr>
            <w:tr w14:paraId="3D51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14:paraId="11E564C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3</w:t>
                  </w:r>
                </w:p>
              </w:tc>
              <w:tc>
                <w:tcPr>
                  <w:tcW w:w="2983" w:type="dxa"/>
                  <w:vAlign w:val="center"/>
                </w:tcPr>
                <w:p w14:paraId="1663CA8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在具有从业资格的装卸管理人员指挥或监控下作业</w:t>
                  </w:r>
                </w:p>
              </w:tc>
              <w:tc>
                <w:tcPr>
                  <w:tcW w:w="3040" w:type="dxa"/>
                  <w:vAlign w:val="center"/>
                </w:tcPr>
                <w:p w14:paraId="56FC932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符合，项目</w:t>
                  </w:r>
                  <w:r>
                    <w:rPr>
                      <w:rFonts w:hint="eastAsia" w:cs="Times New Roman"/>
                      <w:b w:val="0"/>
                      <w:bCs/>
                      <w:color w:val="auto"/>
                      <w:kern w:val="0"/>
                      <w:sz w:val="21"/>
                      <w:szCs w:val="21"/>
                      <w:u w:val="single" w:color="auto"/>
                      <w:lang w:val="en-US" w:eastAsia="zh-CN"/>
                    </w:rPr>
                    <w:t>安排</w:t>
                  </w:r>
                  <w:r>
                    <w:rPr>
                      <w:rFonts w:hint="eastAsia" w:ascii="Times New Roman" w:hAnsi="Times New Roman" w:eastAsia="宋体" w:cs="Times New Roman"/>
                      <w:b w:val="0"/>
                      <w:bCs/>
                      <w:color w:val="auto"/>
                      <w:kern w:val="0"/>
                      <w:sz w:val="21"/>
                      <w:szCs w:val="21"/>
                      <w:u w:val="single" w:color="auto"/>
                      <w:lang w:val="en-US" w:eastAsia="zh-CN"/>
                    </w:rPr>
                    <w:t>具有从业资格的装卸管理人员指挥或监控下</w:t>
                  </w:r>
                </w:p>
              </w:tc>
            </w:tr>
            <w:tr w14:paraId="339F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14:paraId="662FEB8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4</w:t>
                  </w:r>
                </w:p>
              </w:tc>
              <w:tc>
                <w:tcPr>
                  <w:tcW w:w="2983" w:type="dxa"/>
                  <w:vAlign w:val="center"/>
                </w:tcPr>
                <w:p w14:paraId="3C59B99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堆存在普通货物集装箱的外侧</w:t>
                  </w:r>
                </w:p>
              </w:tc>
              <w:tc>
                <w:tcPr>
                  <w:tcW w:w="3040" w:type="dxa"/>
                  <w:vAlign w:val="center"/>
                </w:tcPr>
                <w:p w14:paraId="59C0074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cs="Times New Roman"/>
                      <w:b w:val="0"/>
                      <w:bCs/>
                      <w:color w:val="auto"/>
                      <w:kern w:val="0"/>
                      <w:sz w:val="21"/>
                      <w:szCs w:val="21"/>
                      <w:u w:val="single" w:color="auto"/>
                      <w:lang w:val="en-US" w:eastAsia="zh-CN"/>
                    </w:rPr>
                    <w:t>符合，</w:t>
                  </w:r>
                  <w:r>
                    <w:rPr>
                      <w:rFonts w:hint="eastAsia" w:ascii="Times New Roman" w:hAnsi="Times New Roman" w:eastAsia="宋体" w:cs="Times New Roman"/>
                      <w:b w:val="0"/>
                      <w:bCs/>
                      <w:color w:val="auto"/>
                      <w:kern w:val="0"/>
                      <w:sz w:val="21"/>
                      <w:szCs w:val="21"/>
                      <w:u w:val="single" w:color="auto"/>
                      <w:lang w:val="en-US" w:eastAsia="zh-CN"/>
                    </w:rPr>
                    <w:t>项目</w:t>
                  </w:r>
                  <w:r>
                    <w:rPr>
                      <w:rFonts w:hint="eastAsia" w:cs="Times New Roman"/>
                      <w:b w:val="0"/>
                      <w:bCs/>
                      <w:color w:val="auto"/>
                      <w:kern w:val="0"/>
                      <w:sz w:val="21"/>
                      <w:szCs w:val="21"/>
                      <w:u w:val="single" w:color="auto"/>
                      <w:lang w:val="en-US" w:eastAsia="zh-CN"/>
                    </w:rPr>
                    <w:t>要求</w:t>
                  </w:r>
                  <w:r>
                    <w:rPr>
                      <w:rFonts w:hint="eastAsia" w:ascii="Times New Roman" w:hAnsi="Times New Roman" w:eastAsia="宋体" w:cs="Times New Roman"/>
                      <w:b w:val="0"/>
                      <w:bCs/>
                      <w:color w:val="auto"/>
                      <w:kern w:val="0"/>
                      <w:sz w:val="21"/>
                      <w:szCs w:val="21"/>
                      <w:u w:val="single" w:color="auto"/>
                      <w:lang w:val="en-US" w:eastAsia="zh-CN"/>
                    </w:rPr>
                    <w:t>混堆危险货物集装箱堆存在普通货物集装箱的外侧</w:t>
                  </w:r>
                </w:p>
              </w:tc>
            </w:tr>
            <w:tr w14:paraId="1686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Align w:val="center"/>
                </w:tcPr>
                <w:p w14:paraId="64BDF43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5</w:t>
                  </w:r>
                </w:p>
              </w:tc>
              <w:tc>
                <w:tcPr>
                  <w:tcW w:w="2983" w:type="dxa"/>
                  <w:vAlign w:val="center"/>
                </w:tcPr>
                <w:p w14:paraId="76FD97F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single" w:color="auto"/>
                      <w:lang w:val="en-US" w:eastAsia="zh-CN"/>
                    </w:rPr>
                  </w:pPr>
                  <w:r>
                    <w:rPr>
                      <w:rFonts w:hint="eastAsia" w:ascii="Times New Roman" w:hAnsi="Times New Roman" w:eastAsia="宋体" w:cs="Times New Roman"/>
                      <w:b w:val="0"/>
                      <w:bCs/>
                      <w:color w:val="auto"/>
                      <w:kern w:val="0"/>
                      <w:sz w:val="21"/>
                      <w:szCs w:val="21"/>
                      <w:u w:val="single" w:color="auto"/>
                      <w:lang w:val="en-US" w:eastAsia="zh-CN"/>
                    </w:rPr>
                    <w:t>叠放时，放置在普通货物集装箱的上层</w:t>
                  </w:r>
                </w:p>
              </w:tc>
              <w:tc>
                <w:tcPr>
                  <w:tcW w:w="3040" w:type="dxa"/>
                  <w:vAlign w:val="center"/>
                </w:tcPr>
                <w:p w14:paraId="46EA9DC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cs="Times New Roman"/>
                      <w:b w:val="0"/>
                      <w:bCs/>
                      <w:color w:val="auto"/>
                      <w:kern w:val="0"/>
                      <w:sz w:val="21"/>
                      <w:szCs w:val="21"/>
                      <w:u w:val="single" w:color="auto"/>
                      <w:lang w:val="en-US" w:eastAsia="zh-CN"/>
                    </w:rPr>
                    <w:t>符合，</w:t>
                  </w:r>
                  <w:r>
                    <w:rPr>
                      <w:rFonts w:hint="eastAsia" w:ascii="Times New Roman" w:hAnsi="Times New Roman" w:eastAsia="宋体" w:cs="Times New Roman"/>
                      <w:b w:val="0"/>
                      <w:bCs/>
                      <w:color w:val="auto"/>
                      <w:kern w:val="0"/>
                      <w:sz w:val="21"/>
                      <w:szCs w:val="21"/>
                      <w:u w:val="single" w:color="auto"/>
                      <w:lang w:val="en-US" w:eastAsia="zh-CN"/>
                    </w:rPr>
                    <w:t>项目</w:t>
                  </w:r>
                  <w:r>
                    <w:rPr>
                      <w:rFonts w:hint="eastAsia" w:cs="Times New Roman"/>
                      <w:b w:val="0"/>
                      <w:bCs/>
                      <w:color w:val="auto"/>
                      <w:kern w:val="0"/>
                      <w:sz w:val="21"/>
                      <w:szCs w:val="21"/>
                      <w:u w:val="single" w:color="auto"/>
                      <w:lang w:val="en-US" w:eastAsia="zh-CN"/>
                    </w:rPr>
                    <w:t>要求</w:t>
                  </w:r>
                  <w:r>
                    <w:rPr>
                      <w:rFonts w:hint="eastAsia" w:ascii="Times New Roman" w:hAnsi="Times New Roman" w:eastAsia="宋体" w:cs="Times New Roman"/>
                      <w:b w:val="0"/>
                      <w:bCs/>
                      <w:color w:val="auto"/>
                      <w:kern w:val="0"/>
                      <w:sz w:val="21"/>
                      <w:szCs w:val="21"/>
                      <w:u w:val="single" w:color="auto"/>
                      <w:lang w:val="en-US" w:eastAsia="zh-CN"/>
                    </w:rPr>
                    <w:t>混堆危险货物集装箱堆存在普通货物集装箱的上层</w:t>
                  </w:r>
                </w:p>
              </w:tc>
            </w:tr>
          </w:tbl>
          <w:p w14:paraId="52BAF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 xml:space="preserve">根据IMDG 规则，就包装而言，除第1类、第2类、第5.2类、第6.2类、第7类和第4.1类自反应物质以外的其他所有物质，按其所呈现的危险性程度分为三个包装类：（1）包装类I：具有高度危险性的物质；（2）包装类 </w:t>
            </w:r>
            <w:r>
              <w:rPr>
                <w:rFonts w:hint="eastAsia" w:cs="Times New Roman"/>
                <w:color w:val="auto"/>
                <w:sz w:val="24"/>
                <w:szCs w:val="24"/>
                <w:highlight w:val="none"/>
                <w:u w:val="none" w:color="auto"/>
                <w:lang w:val="en-US" w:eastAsia="zh-CN"/>
              </w:rPr>
              <w:t>Ⅱ</w:t>
            </w:r>
            <w:r>
              <w:rPr>
                <w:rFonts w:hint="eastAsia" w:ascii="Times New Roman" w:hAnsi="Times New Roman" w:eastAsia="宋体" w:cs="Times New Roman"/>
                <w:color w:val="auto"/>
                <w:sz w:val="24"/>
                <w:szCs w:val="24"/>
                <w:highlight w:val="none"/>
                <w:u w:val="none" w:color="auto"/>
                <w:lang w:val="en-US" w:eastAsia="zh-CN"/>
              </w:rPr>
              <w:t xml:space="preserve">：具有中度危险性的物质；（3）包装类 </w:t>
            </w:r>
            <w:r>
              <w:rPr>
                <w:rFonts w:hint="eastAsia" w:cs="Times New Roman"/>
                <w:color w:val="auto"/>
                <w:sz w:val="24"/>
                <w:szCs w:val="24"/>
                <w:highlight w:val="none"/>
                <w:u w:val="none" w:color="auto"/>
                <w:lang w:val="en-US" w:eastAsia="zh-CN"/>
              </w:rPr>
              <w:t>Ⅲ</w:t>
            </w:r>
            <w:r>
              <w:rPr>
                <w:rFonts w:hint="eastAsia" w:ascii="Times New Roman" w:hAnsi="Times New Roman" w:eastAsia="宋体" w:cs="Times New Roman"/>
                <w:color w:val="auto"/>
                <w:sz w:val="24"/>
                <w:szCs w:val="24"/>
                <w:highlight w:val="none"/>
                <w:u w:val="none" w:color="auto"/>
                <w:lang w:val="en-US" w:eastAsia="zh-CN"/>
              </w:rPr>
              <w:t xml:space="preserve">：具有低度危险性的物质 </w:t>
            </w:r>
            <w:r>
              <w:rPr>
                <w:rFonts w:hint="eastAsia" w:cs="Times New Roman"/>
                <w:color w:val="auto"/>
                <w:sz w:val="24"/>
                <w:szCs w:val="24"/>
                <w:highlight w:val="none"/>
                <w:u w:val="none" w:color="auto"/>
                <w:lang w:val="en-US" w:eastAsia="zh-CN"/>
              </w:rPr>
              <w:t>。</w:t>
            </w:r>
          </w:p>
          <w:p w14:paraId="5C7608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项目混堆的货物品名如下表：</w:t>
            </w:r>
          </w:p>
          <w:p w14:paraId="6B7A14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firstLine="420"/>
              <w:jc w:val="center"/>
              <w:textAlignment w:val="auto"/>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表1-</w:t>
            </w:r>
            <w:r>
              <w:rPr>
                <w:rFonts w:hint="eastAsia" w:cs="Times New Roman"/>
                <w:b/>
                <w:bCs/>
                <w:color w:val="auto"/>
                <w:u w:val="none" w:color="auto"/>
                <w:lang w:val="en-US" w:eastAsia="zh-CN"/>
              </w:rPr>
              <w:t>6</w:t>
            </w:r>
            <w:r>
              <w:rPr>
                <w:rFonts w:hint="eastAsia" w:ascii="Times New Roman" w:hAnsi="Times New Roman" w:eastAsia="宋体" w:cs="Times New Roman"/>
                <w:b/>
                <w:bCs/>
                <w:color w:val="auto"/>
                <w:u w:val="none" w:color="auto"/>
                <w:lang w:val="en-US" w:eastAsia="zh-CN"/>
              </w:rPr>
              <w:t>项目混堆货物品名</w:t>
            </w:r>
          </w:p>
          <w:tbl>
            <w:tblPr>
              <w:tblStyle w:val="46"/>
              <w:tblW w:w="5000" w:type="pct"/>
              <w:tblInd w:w="1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31"/>
              <w:gridCol w:w="791"/>
              <w:gridCol w:w="2378"/>
              <w:gridCol w:w="863"/>
              <w:gridCol w:w="735"/>
              <w:gridCol w:w="795"/>
              <w:gridCol w:w="713"/>
            </w:tblGrid>
            <w:tr w14:paraId="081124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431" w:type="dxa"/>
                  <w:shd w:val="clear" w:color="auto" w:fill="auto"/>
                  <w:noWrap w:val="0"/>
                  <w:vAlign w:val="center"/>
                </w:tcPr>
                <w:p w14:paraId="3CA78BC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序号</w:t>
                  </w:r>
                </w:p>
              </w:tc>
              <w:tc>
                <w:tcPr>
                  <w:tcW w:w="791" w:type="dxa"/>
                  <w:shd w:val="clear" w:color="auto" w:fill="auto"/>
                  <w:noWrap w:val="0"/>
                  <w:vAlign w:val="center"/>
                </w:tcPr>
                <w:p w14:paraId="6E318EC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UN号</w:t>
                  </w:r>
                </w:p>
              </w:tc>
              <w:tc>
                <w:tcPr>
                  <w:tcW w:w="2378" w:type="dxa"/>
                  <w:shd w:val="clear" w:color="auto" w:fill="auto"/>
                  <w:noWrap w:val="0"/>
                  <w:vAlign w:val="center"/>
                </w:tcPr>
                <w:p w14:paraId="1995540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名称和说明</w:t>
                  </w:r>
                </w:p>
              </w:tc>
              <w:tc>
                <w:tcPr>
                  <w:tcW w:w="863" w:type="dxa"/>
                  <w:shd w:val="clear" w:color="auto" w:fill="auto"/>
                  <w:noWrap w:val="0"/>
                  <w:vAlign w:val="center"/>
                </w:tcPr>
                <w:p w14:paraId="10DC2C9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危险货物类别</w:t>
                  </w:r>
                </w:p>
              </w:tc>
              <w:tc>
                <w:tcPr>
                  <w:tcW w:w="735" w:type="dxa"/>
                  <w:shd w:val="clear" w:color="auto" w:fill="auto"/>
                  <w:noWrap w:val="0"/>
                  <w:vAlign w:val="center"/>
                </w:tcPr>
                <w:p w14:paraId="5E8F0A8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en-US" w:eastAsia="zh-CN"/>
                    </w:rPr>
                  </w:pPr>
                  <w:r>
                    <w:rPr>
                      <w:rFonts w:hint="eastAsia" w:ascii="Times New Roman" w:hAnsi="Times New Roman" w:eastAsia="宋体" w:cs="Times New Roman"/>
                      <w:b w:val="0"/>
                      <w:bCs/>
                      <w:color w:val="auto"/>
                      <w:kern w:val="0"/>
                      <w:sz w:val="21"/>
                      <w:szCs w:val="21"/>
                      <w:u w:val="none" w:color="auto"/>
                      <w:lang w:val="en-US" w:eastAsia="zh-CN"/>
                    </w:rPr>
                    <w:t>包装类别</w:t>
                  </w:r>
                </w:p>
              </w:tc>
              <w:tc>
                <w:tcPr>
                  <w:tcW w:w="795" w:type="dxa"/>
                  <w:shd w:val="clear" w:color="auto" w:fill="auto"/>
                  <w:noWrap w:val="0"/>
                  <w:vAlign w:val="center"/>
                </w:tcPr>
                <w:p w14:paraId="7819057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en-US" w:eastAsia="zh-CN"/>
                    </w:rPr>
                  </w:pPr>
                  <w:r>
                    <w:rPr>
                      <w:rFonts w:hint="eastAsia" w:ascii="Times New Roman" w:hAnsi="Times New Roman" w:eastAsia="宋体" w:cs="Times New Roman"/>
                      <w:b w:val="0"/>
                      <w:bCs/>
                      <w:color w:val="auto"/>
                      <w:kern w:val="0"/>
                      <w:sz w:val="21"/>
                      <w:szCs w:val="21"/>
                      <w:u w:val="none" w:color="auto"/>
                      <w:lang w:val="en-US" w:eastAsia="zh-CN"/>
                    </w:rPr>
                    <w:t>副危险性</w:t>
                  </w:r>
                </w:p>
              </w:tc>
              <w:tc>
                <w:tcPr>
                  <w:tcW w:w="713" w:type="dxa"/>
                  <w:shd w:val="clear" w:color="auto" w:fill="auto"/>
                  <w:noWrap w:val="0"/>
                  <w:vAlign w:val="center"/>
                </w:tcPr>
                <w:p w14:paraId="6077AD1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cs="Times New Roman"/>
                      <w:b w:val="0"/>
                      <w:bCs/>
                      <w:color w:val="auto"/>
                      <w:kern w:val="0"/>
                      <w:sz w:val="21"/>
                      <w:szCs w:val="21"/>
                      <w:u w:val="single" w:color="auto"/>
                      <w:lang w:val="en-US" w:eastAsia="zh-CN"/>
                    </w:rPr>
                    <w:t>形态</w:t>
                  </w:r>
                </w:p>
              </w:tc>
            </w:tr>
            <w:tr w14:paraId="6D316A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626332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w:t>
                  </w:r>
                </w:p>
              </w:tc>
              <w:tc>
                <w:tcPr>
                  <w:tcW w:w="791" w:type="dxa"/>
                  <w:shd w:val="clear" w:color="auto" w:fill="auto"/>
                  <w:noWrap w:val="0"/>
                  <w:vAlign w:val="center"/>
                </w:tcPr>
                <w:p w14:paraId="69E3712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2216</w:t>
                  </w:r>
                </w:p>
              </w:tc>
              <w:tc>
                <w:tcPr>
                  <w:tcW w:w="2378" w:type="dxa"/>
                  <w:shd w:val="clear" w:color="auto" w:fill="auto"/>
                  <w:noWrap w:val="0"/>
                  <w:vAlign w:val="center"/>
                </w:tcPr>
                <w:p w14:paraId="6F5CF34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鱼粉（鱼屑），稳定的</w:t>
                  </w:r>
                </w:p>
              </w:tc>
              <w:tc>
                <w:tcPr>
                  <w:tcW w:w="863" w:type="dxa"/>
                  <w:shd w:val="clear" w:color="auto" w:fill="auto"/>
                  <w:noWrap w:val="0"/>
                  <w:vAlign w:val="center"/>
                </w:tcPr>
                <w:p w14:paraId="62B802B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7A64C3B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Ⅲ</w:t>
                  </w:r>
                </w:p>
              </w:tc>
              <w:tc>
                <w:tcPr>
                  <w:tcW w:w="795" w:type="dxa"/>
                  <w:shd w:val="clear" w:color="auto" w:fill="auto"/>
                  <w:noWrap w:val="0"/>
                  <w:vAlign w:val="center"/>
                </w:tcPr>
                <w:p w14:paraId="3C875A9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C67887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single" w:color="auto"/>
                      <w:lang w:val="en-US" w:eastAsia="zh-CN"/>
                    </w:rPr>
                  </w:pPr>
                  <w:r>
                    <w:rPr>
                      <w:rFonts w:hint="eastAsia" w:cs="Times New Roman"/>
                      <w:color w:val="auto"/>
                      <w:kern w:val="0"/>
                      <w:sz w:val="21"/>
                      <w:szCs w:val="21"/>
                      <w:u w:val="single" w:color="auto"/>
                      <w:lang w:val="en-US" w:eastAsia="zh-CN"/>
                    </w:rPr>
                    <w:t>固态</w:t>
                  </w:r>
                </w:p>
              </w:tc>
            </w:tr>
            <w:tr w14:paraId="5E1EF9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1297670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w:t>
                  </w:r>
                </w:p>
              </w:tc>
              <w:tc>
                <w:tcPr>
                  <w:tcW w:w="791" w:type="dxa"/>
                  <w:shd w:val="clear" w:color="auto" w:fill="auto"/>
                  <w:noWrap w:val="0"/>
                  <w:vAlign w:val="center"/>
                </w:tcPr>
                <w:p w14:paraId="19FB7A6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2807</w:t>
                  </w:r>
                </w:p>
              </w:tc>
              <w:tc>
                <w:tcPr>
                  <w:tcW w:w="2378" w:type="dxa"/>
                  <w:shd w:val="clear" w:color="auto" w:fill="auto"/>
                  <w:noWrap w:val="0"/>
                  <w:vAlign w:val="center"/>
                </w:tcPr>
                <w:p w14:paraId="141935C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磁化材料</w:t>
                  </w:r>
                </w:p>
              </w:tc>
              <w:tc>
                <w:tcPr>
                  <w:tcW w:w="863" w:type="dxa"/>
                  <w:shd w:val="clear" w:color="auto" w:fill="auto"/>
                  <w:noWrap w:val="0"/>
                  <w:vAlign w:val="center"/>
                </w:tcPr>
                <w:p w14:paraId="7BE7E88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14B7CAD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2ADA80B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20F13D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0691C5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E36681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w:t>
                  </w:r>
                </w:p>
              </w:tc>
              <w:tc>
                <w:tcPr>
                  <w:tcW w:w="791" w:type="dxa"/>
                  <w:shd w:val="clear" w:color="auto" w:fill="auto"/>
                  <w:noWrap w:val="0"/>
                  <w:vAlign w:val="center"/>
                </w:tcPr>
                <w:p w14:paraId="053DF5D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2990</w:t>
                  </w:r>
                </w:p>
              </w:tc>
              <w:tc>
                <w:tcPr>
                  <w:tcW w:w="2378" w:type="dxa"/>
                  <w:shd w:val="clear" w:color="auto" w:fill="auto"/>
                  <w:noWrap w:val="0"/>
                  <w:vAlign w:val="center"/>
                </w:tcPr>
                <w:p w14:paraId="1E86404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救生设备，自动膨胀式</w:t>
                  </w:r>
                </w:p>
              </w:tc>
              <w:tc>
                <w:tcPr>
                  <w:tcW w:w="863" w:type="dxa"/>
                  <w:shd w:val="clear" w:color="auto" w:fill="auto"/>
                  <w:noWrap w:val="0"/>
                  <w:vAlign w:val="center"/>
                </w:tcPr>
                <w:p w14:paraId="5797ADF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7944C77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7160306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953093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5DD4A4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6A3D3C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4</w:t>
                  </w:r>
                </w:p>
              </w:tc>
              <w:tc>
                <w:tcPr>
                  <w:tcW w:w="791" w:type="dxa"/>
                  <w:shd w:val="clear" w:color="auto" w:fill="auto"/>
                  <w:noWrap w:val="0"/>
                  <w:vAlign w:val="center"/>
                </w:tcPr>
                <w:p w14:paraId="20BCDA9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3028</w:t>
                  </w:r>
                </w:p>
              </w:tc>
              <w:tc>
                <w:tcPr>
                  <w:tcW w:w="2378" w:type="dxa"/>
                  <w:shd w:val="clear" w:color="auto" w:fill="auto"/>
                  <w:noWrap w:val="0"/>
                  <w:vAlign w:val="center"/>
                </w:tcPr>
                <w:p w14:paraId="1FE3EDF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蓄电池，干的，含固体氢氧化钾</w:t>
                  </w:r>
                </w:p>
              </w:tc>
              <w:tc>
                <w:tcPr>
                  <w:tcW w:w="863" w:type="dxa"/>
                  <w:shd w:val="clear" w:color="auto" w:fill="auto"/>
                  <w:noWrap w:val="0"/>
                  <w:vAlign w:val="center"/>
                </w:tcPr>
                <w:p w14:paraId="4A39B52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8</w:t>
                  </w:r>
                </w:p>
              </w:tc>
              <w:tc>
                <w:tcPr>
                  <w:tcW w:w="735" w:type="dxa"/>
                  <w:shd w:val="clear" w:color="auto" w:fill="auto"/>
                  <w:noWrap w:val="0"/>
                  <w:vAlign w:val="center"/>
                </w:tcPr>
                <w:p w14:paraId="180EFC2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6D111E7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5AB91B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2744C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93D496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5</w:t>
                  </w:r>
                </w:p>
              </w:tc>
              <w:tc>
                <w:tcPr>
                  <w:tcW w:w="791" w:type="dxa"/>
                  <w:shd w:val="clear" w:color="auto" w:fill="auto"/>
                  <w:noWrap w:val="0"/>
                  <w:vAlign w:val="center"/>
                </w:tcPr>
                <w:p w14:paraId="1C920FB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3072</w:t>
                  </w:r>
                </w:p>
              </w:tc>
              <w:tc>
                <w:tcPr>
                  <w:tcW w:w="2378" w:type="dxa"/>
                  <w:shd w:val="clear" w:color="auto" w:fill="auto"/>
                  <w:noWrap w:val="0"/>
                  <w:vAlign w:val="center"/>
                </w:tcPr>
                <w:p w14:paraId="086449C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非自动膨胀式救生设备，装备中含有危险物品</w:t>
                  </w:r>
                </w:p>
              </w:tc>
              <w:tc>
                <w:tcPr>
                  <w:tcW w:w="863" w:type="dxa"/>
                  <w:shd w:val="clear" w:color="auto" w:fill="auto"/>
                  <w:noWrap w:val="0"/>
                  <w:vAlign w:val="center"/>
                </w:tcPr>
                <w:p w14:paraId="469DF6C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4536A47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227D9FB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715DFC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45199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8BA7AC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6</w:t>
                  </w:r>
                </w:p>
              </w:tc>
              <w:tc>
                <w:tcPr>
                  <w:tcW w:w="791" w:type="dxa"/>
                  <w:shd w:val="clear" w:color="auto" w:fill="auto"/>
                  <w:noWrap w:val="0"/>
                  <w:vAlign w:val="center"/>
                </w:tcPr>
                <w:p w14:paraId="118E39A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3166</w:t>
                  </w:r>
                </w:p>
              </w:tc>
              <w:tc>
                <w:tcPr>
                  <w:tcW w:w="2378" w:type="dxa"/>
                  <w:shd w:val="clear" w:color="auto" w:fill="auto"/>
                  <w:noWrap w:val="0"/>
                  <w:vAlign w:val="center"/>
                </w:tcPr>
                <w:p w14:paraId="0FEA96E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ascii="Times New Roman" w:hAnsi="Times New Roman" w:eastAsia="宋体" w:cs="Times New Roman"/>
                      <w:color w:val="auto"/>
                      <w:kern w:val="0"/>
                      <w:sz w:val="21"/>
                      <w:szCs w:val="21"/>
                      <w:u w:val="none" w:color="auto"/>
                      <w:lang w:val="zh-CN"/>
                    </w:rPr>
                    <w:t>易燃气体驱动车辆，</w:t>
                  </w:r>
                  <w:r>
                    <w:rPr>
                      <w:rFonts w:hint="eastAsia" w:ascii="Times New Roman" w:hAnsi="Times New Roman" w:eastAsia="宋体" w:cs="Times New Roman"/>
                      <w:color w:val="auto"/>
                      <w:kern w:val="0"/>
                      <w:sz w:val="21"/>
                      <w:szCs w:val="21"/>
                      <w:u w:val="none" w:color="auto"/>
                      <w:lang w:val="en-US" w:eastAsia="zh-CN"/>
                    </w:rPr>
                    <w:t>或</w:t>
                  </w:r>
                  <w:r>
                    <w:rPr>
                      <w:rFonts w:hint="eastAsia" w:ascii="Times New Roman" w:hAnsi="Times New Roman" w:eastAsia="宋体" w:cs="Times New Roman"/>
                      <w:color w:val="auto"/>
                      <w:kern w:val="0"/>
                      <w:sz w:val="21"/>
                      <w:szCs w:val="21"/>
                      <w:u w:val="none" w:color="auto"/>
                      <w:lang w:val="zh-CN"/>
                    </w:rPr>
                    <w:t>易燃液体</w:t>
                  </w:r>
                  <w:r>
                    <w:rPr>
                      <w:rFonts w:hint="eastAsia" w:ascii="Times New Roman" w:hAnsi="Times New Roman" w:eastAsia="宋体" w:cs="Times New Roman"/>
                      <w:color w:val="auto"/>
                      <w:kern w:val="0"/>
                      <w:sz w:val="21"/>
                      <w:szCs w:val="21"/>
                      <w:u w:val="none" w:color="auto"/>
                      <w:lang w:val="en-US" w:eastAsia="zh-CN"/>
                    </w:rPr>
                    <w:t>动力车辆，或易燃气体燃料电池动力车辆，或易燃液体燃料电池动力车辆</w:t>
                  </w:r>
                </w:p>
              </w:tc>
              <w:tc>
                <w:tcPr>
                  <w:tcW w:w="863" w:type="dxa"/>
                  <w:shd w:val="clear" w:color="auto" w:fill="auto"/>
                  <w:noWrap w:val="0"/>
                  <w:vAlign w:val="center"/>
                </w:tcPr>
                <w:p w14:paraId="4E71514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087F40B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1735B28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14FD642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F2F6E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4F837C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7</w:t>
                  </w:r>
                </w:p>
              </w:tc>
              <w:tc>
                <w:tcPr>
                  <w:tcW w:w="791" w:type="dxa"/>
                  <w:shd w:val="clear" w:color="auto" w:fill="auto"/>
                  <w:noWrap w:val="0"/>
                  <w:vAlign w:val="center"/>
                </w:tcPr>
                <w:p w14:paraId="6EA1C4B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3171</w:t>
                  </w:r>
                </w:p>
              </w:tc>
              <w:tc>
                <w:tcPr>
                  <w:tcW w:w="2378" w:type="dxa"/>
                  <w:shd w:val="clear" w:color="auto" w:fill="auto"/>
                  <w:noWrap w:val="0"/>
                  <w:vAlign w:val="center"/>
                </w:tcPr>
                <w:p w14:paraId="4E6C1AB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zh-CN"/>
                    </w:rPr>
                    <w:t>电池供电车辆或电池供</w:t>
                  </w:r>
                  <w:r>
                    <w:rPr>
                      <w:rFonts w:hint="eastAsia" w:ascii="Times New Roman" w:hAnsi="Times New Roman" w:eastAsia="宋体" w:cs="Times New Roman"/>
                      <w:color w:val="auto"/>
                      <w:kern w:val="0"/>
                      <w:sz w:val="21"/>
                      <w:szCs w:val="21"/>
                      <w:u w:val="none" w:color="auto"/>
                      <w:lang w:val="en-US" w:eastAsia="zh-CN"/>
                    </w:rPr>
                    <w:t>电设备</w:t>
                  </w:r>
                </w:p>
              </w:tc>
              <w:tc>
                <w:tcPr>
                  <w:tcW w:w="863" w:type="dxa"/>
                  <w:shd w:val="clear" w:color="auto" w:fill="auto"/>
                  <w:noWrap w:val="0"/>
                  <w:vAlign w:val="center"/>
                </w:tcPr>
                <w:p w14:paraId="43BA0FD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494FABF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0CF691A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6D105E7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05E0E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6DF300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8</w:t>
                  </w:r>
                </w:p>
              </w:tc>
              <w:tc>
                <w:tcPr>
                  <w:tcW w:w="791" w:type="dxa"/>
                  <w:shd w:val="clear" w:color="auto" w:fill="auto"/>
                  <w:noWrap w:val="0"/>
                  <w:vAlign w:val="center"/>
                </w:tcPr>
                <w:p w14:paraId="0D40842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3268</w:t>
                  </w:r>
                </w:p>
              </w:tc>
              <w:tc>
                <w:tcPr>
                  <w:tcW w:w="2378" w:type="dxa"/>
                  <w:shd w:val="clear" w:color="auto" w:fill="auto"/>
                  <w:noWrap w:val="0"/>
                  <w:vAlign w:val="center"/>
                </w:tcPr>
                <w:p w14:paraId="7E2EC49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eastAsia="zh-CN"/>
                    </w:rPr>
                  </w:pPr>
                  <w:r>
                    <w:rPr>
                      <w:rFonts w:hint="eastAsia" w:ascii="Times New Roman" w:hAnsi="Times New Roman" w:eastAsia="宋体" w:cs="Times New Roman"/>
                      <w:color w:val="auto"/>
                      <w:kern w:val="0"/>
                      <w:sz w:val="21"/>
                      <w:szCs w:val="21"/>
                      <w:u w:val="none" w:color="auto"/>
                      <w:lang w:val="zh-CN"/>
                    </w:rPr>
                    <w:t>安全装置，</w:t>
                  </w:r>
                  <w:r>
                    <w:rPr>
                      <w:rFonts w:hint="eastAsia" w:ascii="Times New Roman" w:hAnsi="Times New Roman" w:eastAsia="宋体" w:cs="Times New Roman"/>
                      <w:color w:val="auto"/>
                      <w:kern w:val="0"/>
                      <w:sz w:val="21"/>
                      <w:szCs w:val="21"/>
                      <w:u w:val="none" w:color="auto"/>
                      <w:lang w:val="en-US" w:eastAsia="zh-CN"/>
                    </w:rPr>
                    <w:t>电启动</w:t>
                  </w:r>
                </w:p>
              </w:tc>
              <w:tc>
                <w:tcPr>
                  <w:tcW w:w="863" w:type="dxa"/>
                  <w:shd w:val="clear" w:color="auto" w:fill="auto"/>
                  <w:noWrap w:val="0"/>
                  <w:vAlign w:val="center"/>
                </w:tcPr>
                <w:p w14:paraId="737014D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3D33AFF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4766C80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2ED301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E757A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1D51D40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91" w:type="dxa"/>
                  <w:shd w:val="clear" w:color="auto" w:fill="auto"/>
                  <w:noWrap w:val="0"/>
                  <w:vAlign w:val="center"/>
                </w:tcPr>
                <w:p w14:paraId="10FCB94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3316</w:t>
                  </w:r>
                </w:p>
              </w:tc>
              <w:tc>
                <w:tcPr>
                  <w:tcW w:w="2378" w:type="dxa"/>
                  <w:shd w:val="clear" w:color="auto" w:fill="auto"/>
                  <w:noWrap w:val="0"/>
                  <w:vAlign w:val="center"/>
                </w:tcPr>
                <w:p w14:paraId="65E7BB2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化学品箱或急救箱</w:t>
                  </w:r>
                </w:p>
              </w:tc>
              <w:tc>
                <w:tcPr>
                  <w:tcW w:w="863" w:type="dxa"/>
                  <w:shd w:val="clear" w:color="auto" w:fill="auto"/>
                  <w:noWrap w:val="0"/>
                  <w:vAlign w:val="center"/>
                </w:tcPr>
                <w:p w14:paraId="6A58326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5C9E194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6C5C2B8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FDF821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0BBA11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F253EA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10</w:t>
                  </w:r>
                </w:p>
              </w:tc>
              <w:tc>
                <w:tcPr>
                  <w:tcW w:w="791" w:type="dxa"/>
                  <w:shd w:val="clear" w:color="auto" w:fill="auto"/>
                  <w:noWrap w:val="0"/>
                  <w:vAlign w:val="center"/>
                </w:tcPr>
                <w:p w14:paraId="2BC21F6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3335</w:t>
                  </w:r>
                </w:p>
              </w:tc>
              <w:tc>
                <w:tcPr>
                  <w:tcW w:w="2378" w:type="dxa"/>
                  <w:shd w:val="clear" w:color="auto" w:fill="auto"/>
                  <w:noWrap w:val="0"/>
                  <w:vAlign w:val="center"/>
                </w:tcPr>
                <w:p w14:paraId="0A855D6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空运受管制的固体，未另作规定的</w:t>
                  </w:r>
                </w:p>
              </w:tc>
              <w:tc>
                <w:tcPr>
                  <w:tcW w:w="863" w:type="dxa"/>
                  <w:shd w:val="clear" w:color="auto" w:fill="auto"/>
                  <w:noWrap w:val="0"/>
                  <w:vAlign w:val="center"/>
                </w:tcPr>
                <w:p w14:paraId="04B5ADD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5B4C8B5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65BB238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5B2702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4E223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6D7744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11</w:t>
                  </w:r>
                </w:p>
              </w:tc>
              <w:tc>
                <w:tcPr>
                  <w:tcW w:w="791" w:type="dxa"/>
                  <w:shd w:val="clear" w:color="auto" w:fill="auto"/>
                  <w:noWrap w:val="0"/>
                  <w:vAlign w:val="center"/>
                </w:tcPr>
                <w:p w14:paraId="615FA7A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3363</w:t>
                  </w:r>
                </w:p>
              </w:tc>
              <w:tc>
                <w:tcPr>
                  <w:tcW w:w="2378" w:type="dxa"/>
                  <w:shd w:val="clear" w:color="auto" w:fill="auto"/>
                  <w:noWrap w:val="0"/>
                  <w:vAlign w:val="center"/>
                </w:tcPr>
                <w:p w14:paraId="1541A93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zh-CN"/>
                    </w:rPr>
                    <w:t>物品中的危险货物，</w:t>
                  </w:r>
                  <w:r>
                    <w:rPr>
                      <w:rFonts w:hint="eastAsia" w:ascii="Times New Roman" w:hAnsi="Times New Roman" w:eastAsia="宋体" w:cs="Times New Roman"/>
                      <w:color w:val="auto"/>
                      <w:kern w:val="0"/>
                      <w:sz w:val="21"/>
                      <w:szCs w:val="21"/>
                      <w:u w:val="none" w:color="auto"/>
                      <w:lang w:val="en-US" w:eastAsia="zh-CN"/>
                    </w:rPr>
                    <w:t>或机器中的危险货物，</w:t>
                  </w:r>
                  <w:r>
                    <w:rPr>
                      <w:rFonts w:hint="eastAsia" w:ascii="Times New Roman" w:hAnsi="Times New Roman" w:eastAsia="宋体" w:cs="Times New Roman"/>
                      <w:color w:val="auto"/>
                      <w:kern w:val="0"/>
                      <w:sz w:val="21"/>
                      <w:szCs w:val="21"/>
                      <w:u w:val="none" w:color="auto"/>
                      <w:lang w:val="zh-CN"/>
                    </w:rPr>
                    <w:t>或仪器中的危险货</w:t>
                  </w:r>
                  <w:r>
                    <w:rPr>
                      <w:rFonts w:hint="eastAsia" w:ascii="Times New Roman" w:hAnsi="Times New Roman" w:eastAsia="宋体" w:cs="Times New Roman"/>
                      <w:color w:val="auto"/>
                      <w:kern w:val="0"/>
                      <w:sz w:val="21"/>
                      <w:szCs w:val="21"/>
                      <w:u w:val="none" w:color="auto"/>
                      <w:lang w:val="en-US" w:eastAsia="zh-CN"/>
                    </w:rPr>
                    <w:t>物</w:t>
                  </w:r>
                </w:p>
              </w:tc>
              <w:tc>
                <w:tcPr>
                  <w:tcW w:w="863" w:type="dxa"/>
                  <w:shd w:val="clear" w:color="auto" w:fill="auto"/>
                  <w:noWrap w:val="0"/>
                  <w:vAlign w:val="center"/>
                </w:tcPr>
                <w:p w14:paraId="5B1D94E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487B4B7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64585BD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4BF459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873EE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7DECF8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12</w:t>
                  </w:r>
                </w:p>
              </w:tc>
              <w:tc>
                <w:tcPr>
                  <w:tcW w:w="791" w:type="dxa"/>
                  <w:shd w:val="clear" w:color="auto" w:fill="auto"/>
                  <w:noWrap w:val="0"/>
                  <w:vAlign w:val="center"/>
                </w:tcPr>
                <w:p w14:paraId="2948CE6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3496</w:t>
                  </w:r>
                </w:p>
              </w:tc>
              <w:tc>
                <w:tcPr>
                  <w:tcW w:w="2378" w:type="dxa"/>
                  <w:shd w:val="clear" w:color="auto" w:fill="auto"/>
                  <w:noWrap w:val="0"/>
                  <w:vAlign w:val="center"/>
                </w:tcPr>
                <w:p w14:paraId="55D6A5E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镍/金属氢化物蓄电池</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镍氢电池</w:t>
                  </w:r>
                  <w:r>
                    <w:rPr>
                      <w:rFonts w:hint="eastAsia" w:cs="Times New Roman"/>
                      <w:color w:val="auto"/>
                      <w:kern w:val="0"/>
                      <w:sz w:val="21"/>
                      <w:szCs w:val="21"/>
                      <w:u w:val="none" w:color="auto"/>
                      <w:lang w:val="zh-CN"/>
                    </w:rPr>
                    <w:t>）</w:t>
                  </w:r>
                </w:p>
              </w:tc>
              <w:tc>
                <w:tcPr>
                  <w:tcW w:w="863" w:type="dxa"/>
                  <w:shd w:val="clear" w:color="auto" w:fill="auto"/>
                  <w:noWrap w:val="0"/>
                  <w:vAlign w:val="center"/>
                </w:tcPr>
                <w:p w14:paraId="78AED52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28025D3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605A064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81E801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014866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2E215B6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13</w:t>
                  </w:r>
                </w:p>
              </w:tc>
              <w:tc>
                <w:tcPr>
                  <w:tcW w:w="791" w:type="dxa"/>
                  <w:shd w:val="clear" w:color="auto" w:fill="auto"/>
                  <w:noWrap w:val="0"/>
                  <w:vAlign w:val="center"/>
                </w:tcPr>
                <w:p w14:paraId="3C4304A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3499</w:t>
                  </w:r>
                </w:p>
              </w:tc>
              <w:tc>
                <w:tcPr>
                  <w:tcW w:w="2378" w:type="dxa"/>
                  <w:shd w:val="clear" w:color="auto" w:fill="auto"/>
                  <w:noWrap w:val="0"/>
                  <w:vAlign w:val="center"/>
                </w:tcPr>
                <w:p w14:paraId="51CE339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双电层电容器（储能量大于 0.3瓦特小时）</w:t>
                  </w:r>
                </w:p>
              </w:tc>
              <w:tc>
                <w:tcPr>
                  <w:tcW w:w="863" w:type="dxa"/>
                  <w:shd w:val="clear" w:color="auto" w:fill="auto"/>
                  <w:noWrap w:val="0"/>
                  <w:vAlign w:val="center"/>
                </w:tcPr>
                <w:p w14:paraId="72AD20E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340DD7D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5C1E601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6716294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80F0B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0384A4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14</w:t>
                  </w:r>
                </w:p>
              </w:tc>
              <w:tc>
                <w:tcPr>
                  <w:tcW w:w="791" w:type="dxa"/>
                  <w:shd w:val="clear" w:color="auto" w:fill="auto"/>
                  <w:noWrap w:val="0"/>
                  <w:vAlign w:val="center"/>
                </w:tcPr>
                <w:p w14:paraId="291F960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3508</w:t>
                  </w:r>
                </w:p>
              </w:tc>
              <w:tc>
                <w:tcPr>
                  <w:tcW w:w="2378" w:type="dxa"/>
                  <w:shd w:val="clear" w:color="auto" w:fill="auto"/>
                  <w:noWrap w:val="0"/>
                  <w:vAlign w:val="center"/>
                </w:tcPr>
                <w:p w14:paraId="322E592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非对称电容器（储能量大于 0.3 瓦特小时）</w:t>
                  </w:r>
                </w:p>
              </w:tc>
              <w:tc>
                <w:tcPr>
                  <w:tcW w:w="863" w:type="dxa"/>
                  <w:shd w:val="clear" w:color="auto" w:fill="auto"/>
                  <w:noWrap w:val="0"/>
                  <w:vAlign w:val="center"/>
                </w:tcPr>
                <w:p w14:paraId="2733E2A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779DFA9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79C7C16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39A456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7E42F2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0E6EB2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15</w:t>
                  </w:r>
                </w:p>
              </w:tc>
              <w:tc>
                <w:tcPr>
                  <w:tcW w:w="791" w:type="dxa"/>
                  <w:shd w:val="clear" w:color="auto" w:fill="auto"/>
                  <w:noWrap w:val="0"/>
                  <w:vAlign w:val="center"/>
                </w:tcPr>
                <w:p w14:paraId="032C715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3536</w:t>
                  </w:r>
                </w:p>
              </w:tc>
              <w:tc>
                <w:tcPr>
                  <w:tcW w:w="2378" w:type="dxa"/>
                  <w:shd w:val="clear" w:color="auto" w:fill="auto"/>
                  <w:noWrap w:val="0"/>
                  <w:vAlign w:val="center"/>
                </w:tcPr>
                <w:p w14:paraId="053C5F3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装在货物运输</w:t>
                  </w:r>
                  <w:r>
                    <w:rPr>
                      <w:rFonts w:hint="eastAsia" w:ascii="Times New Roman" w:hAnsi="Times New Roman" w:eastAsia="宋体" w:cs="Times New Roman"/>
                      <w:color w:val="auto"/>
                      <w:kern w:val="0"/>
                      <w:sz w:val="21"/>
                      <w:szCs w:val="21"/>
                      <w:u w:val="none" w:color="auto"/>
                      <w:lang w:val="en-US" w:eastAsia="zh-CN"/>
                    </w:rPr>
                    <w:t>装置</w:t>
                  </w:r>
                  <w:r>
                    <w:rPr>
                      <w:rFonts w:hint="eastAsia" w:ascii="Times New Roman" w:hAnsi="Times New Roman" w:eastAsia="宋体" w:cs="Times New Roman"/>
                      <w:color w:val="auto"/>
                      <w:kern w:val="0"/>
                      <w:sz w:val="21"/>
                      <w:szCs w:val="21"/>
                      <w:u w:val="none" w:color="auto"/>
                      <w:lang w:val="zh-CN"/>
                    </w:rPr>
                    <w:t>中的锂电池，锂离子电池或锂金属电池</w:t>
                  </w:r>
                </w:p>
              </w:tc>
              <w:tc>
                <w:tcPr>
                  <w:tcW w:w="863" w:type="dxa"/>
                  <w:shd w:val="clear" w:color="auto" w:fill="auto"/>
                  <w:noWrap w:val="0"/>
                  <w:vAlign w:val="center"/>
                </w:tcPr>
                <w:p w14:paraId="37A330C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4D63FE1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0600E53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1ED773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5AFEEF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E4A943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16</w:t>
                  </w:r>
                </w:p>
              </w:tc>
              <w:tc>
                <w:tcPr>
                  <w:tcW w:w="791" w:type="dxa"/>
                  <w:shd w:val="clear" w:color="auto" w:fill="auto"/>
                  <w:noWrap w:val="0"/>
                  <w:vAlign w:val="center"/>
                </w:tcPr>
                <w:p w14:paraId="6D1494B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1759</w:t>
                  </w:r>
                </w:p>
              </w:tc>
              <w:tc>
                <w:tcPr>
                  <w:tcW w:w="2378" w:type="dxa"/>
                  <w:shd w:val="clear" w:color="auto" w:fill="auto"/>
                  <w:noWrap w:val="0"/>
                  <w:vAlign w:val="center"/>
                </w:tcPr>
                <w:p w14:paraId="5083D0F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468FFC3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2691872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36AB747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C30622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2FD96E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1BADC6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17</w:t>
                  </w:r>
                </w:p>
              </w:tc>
              <w:tc>
                <w:tcPr>
                  <w:tcW w:w="791" w:type="dxa"/>
                  <w:shd w:val="clear" w:color="auto" w:fill="auto"/>
                  <w:noWrap w:val="0"/>
                  <w:vAlign w:val="center"/>
                </w:tcPr>
                <w:p w14:paraId="0C97132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1845</w:t>
                  </w:r>
                </w:p>
              </w:tc>
              <w:tc>
                <w:tcPr>
                  <w:tcW w:w="2378" w:type="dxa"/>
                  <w:shd w:val="clear" w:color="auto" w:fill="auto"/>
                  <w:noWrap w:val="0"/>
                  <w:vAlign w:val="center"/>
                </w:tcPr>
                <w:p w14:paraId="6D06A71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固态二氧化碳</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干冰</w:t>
                  </w:r>
                  <w:r>
                    <w:rPr>
                      <w:rFonts w:hint="eastAsia" w:cs="Times New Roman"/>
                      <w:color w:val="auto"/>
                      <w:kern w:val="0"/>
                      <w:sz w:val="21"/>
                      <w:szCs w:val="21"/>
                      <w:u w:val="none" w:color="auto"/>
                      <w:lang w:val="zh-CN"/>
                    </w:rPr>
                    <w:t>）</w:t>
                  </w:r>
                </w:p>
              </w:tc>
              <w:tc>
                <w:tcPr>
                  <w:tcW w:w="863" w:type="dxa"/>
                  <w:shd w:val="clear" w:color="auto" w:fill="auto"/>
                  <w:noWrap w:val="0"/>
                  <w:vAlign w:val="center"/>
                </w:tcPr>
                <w:p w14:paraId="4F717EA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0377B5C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7E663BE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6A9D3FB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708CE8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646929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18</w:t>
                  </w:r>
                </w:p>
              </w:tc>
              <w:tc>
                <w:tcPr>
                  <w:tcW w:w="791" w:type="dxa"/>
                  <w:shd w:val="clear" w:color="auto" w:fill="auto"/>
                  <w:noWrap w:val="0"/>
                  <w:vAlign w:val="center"/>
                </w:tcPr>
                <w:p w14:paraId="5DBF9EE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3077</w:t>
                  </w:r>
                </w:p>
              </w:tc>
              <w:tc>
                <w:tcPr>
                  <w:tcW w:w="2378" w:type="dxa"/>
                  <w:shd w:val="clear" w:color="auto" w:fill="auto"/>
                  <w:noWrap w:val="0"/>
                  <w:vAlign w:val="center"/>
                </w:tcPr>
                <w:p w14:paraId="18FD372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zh-CN"/>
                    </w:rPr>
                    <w:t>对环境有害的固态物质</w:t>
                  </w:r>
                  <w:r>
                    <w:rPr>
                      <w:rFonts w:hint="eastAsia" w:cs="Times New Roman"/>
                      <w:color w:val="auto"/>
                      <w:kern w:val="0"/>
                      <w:sz w:val="21"/>
                      <w:szCs w:val="21"/>
                      <w:u w:val="none" w:color="auto"/>
                      <w:lang w:val="zh-CN"/>
                    </w:rPr>
                    <w:t>，</w:t>
                  </w:r>
                  <w:r>
                    <w:rPr>
                      <w:rFonts w:hint="eastAsia" w:cs="Times New Roman"/>
                      <w:color w:val="auto"/>
                      <w:kern w:val="0"/>
                      <w:sz w:val="21"/>
                      <w:szCs w:val="21"/>
                      <w:u w:val="none" w:color="auto"/>
                      <w:lang w:val="en-US" w:eastAsia="zh-CN"/>
                    </w:rPr>
                    <w:t>未另作规定的</w:t>
                  </w:r>
                </w:p>
              </w:tc>
              <w:tc>
                <w:tcPr>
                  <w:tcW w:w="863" w:type="dxa"/>
                  <w:shd w:val="clear" w:color="auto" w:fill="auto"/>
                  <w:noWrap w:val="0"/>
                  <w:vAlign w:val="center"/>
                </w:tcPr>
                <w:p w14:paraId="14B784C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13B15AE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Ⅲ</w:t>
                  </w:r>
                </w:p>
              </w:tc>
              <w:tc>
                <w:tcPr>
                  <w:tcW w:w="795" w:type="dxa"/>
                  <w:shd w:val="clear" w:color="auto" w:fill="auto"/>
                  <w:noWrap w:val="0"/>
                  <w:vAlign w:val="center"/>
                </w:tcPr>
                <w:p w14:paraId="05D61E7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6985272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03223E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BBECEB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19</w:t>
                  </w:r>
                </w:p>
              </w:tc>
              <w:tc>
                <w:tcPr>
                  <w:tcW w:w="791" w:type="dxa"/>
                  <w:shd w:val="clear" w:color="auto" w:fill="auto"/>
                  <w:noWrap w:val="0"/>
                  <w:vAlign w:val="center"/>
                </w:tcPr>
                <w:p w14:paraId="066B447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3090</w:t>
                  </w:r>
                </w:p>
              </w:tc>
              <w:tc>
                <w:tcPr>
                  <w:tcW w:w="2378" w:type="dxa"/>
                  <w:shd w:val="clear" w:color="auto" w:fill="auto"/>
                  <w:noWrap w:val="0"/>
                  <w:vAlign w:val="center"/>
                </w:tcPr>
                <w:p w14:paraId="5CA985E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锂金属电池（包括锂合金电池）</w:t>
                  </w:r>
                </w:p>
              </w:tc>
              <w:tc>
                <w:tcPr>
                  <w:tcW w:w="863" w:type="dxa"/>
                  <w:shd w:val="clear" w:color="auto" w:fill="auto"/>
                  <w:noWrap w:val="0"/>
                  <w:vAlign w:val="center"/>
                </w:tcPr>
                <w:p w14:paraId="69D0C7B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2F92674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1518D74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1F75BA3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24424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C446D2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20</w:t>
                  </w:r>
                </w:p>
              </w:tc>
              <w:tc>
                <w:tcPr>
                  <w:tcW w:w="791" w:type="dxa"/>
                  <w:shd w:val="clear" w:color="auto" w:fill="auto"/>
                  <w:noWrap w:val="0"/>
                  <w:vAlign w:val="center"/>
                </w:tcPr>
                <w:p w14:paraId="5A93D16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3091</w:t>
                  </w:r>
                </w:p>
              </w:tc>
              <w:tc>
                <w:tcPr>
                  <w:tcW w:w="2378" w:type="dxa"/>
                  <w:shd w:val="clear" w:color="auto" w:fill="auto"/>
                  <w:noWrap w:val="0"/>
                  <w:vAlign w:val="center"/>
                </w:tcPr>
                <w:p w14:paraId="3862272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包含在设备中的锂金属电池或与设备包装在一起的锂金属电池（包括锂合金电池）</w:t>
                  </w:r>
                </w:p>
              </w:tc>
              <w:tc>
                <w:tcPr>
                  <w:tcW w:w="863" w:type="dxa"/>
                  <w:shd w:val="clear" w:color="auto" w:fill="auto"/>
                  <w:noWrap w:val="0"/>
                  <w:vAlign w:val="center"/>
                </w:tcPr>
                <w:p w14:paraId="1C8728D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751527E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2F6FC7C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232CC4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0F423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96D676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21</w:t>
                  </w:r>
                </w:p>
              </w:tc>
              <w:tc>
                <w:tcPr>
                  <w:tcW w:w="791" w:type="dxa"/>
                  <w:shd w:val="clear" w:color="auto" w:fill="auto"/>
                  <w:noWrap w:val="0"/>
                  <w:vAlign w:val="center"/>
                </w:tcPr>
                <w:p w14:paraId="36E250D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3147</w:t>
                  </w:r>
                </w:p>
              </w:tc>
              <w:tc>
                <w:tcPr>
                  <w:tcW w:w="2378" w:type="dxa"/>
                  <w:shd w:val="clear" w:color="auto" w:fill="auto"/>
                  <w:noWrap w:val="0"/>
                  <w:vAlign w:val="center"/>
                </w:tcPr>
                <w:p w14:paraId="1B013F4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固态染料</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未另作规定的或固态染料中间体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4646524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21177D8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4B15FCE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1A26CC3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6BDB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0E4559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22</w:t>
                  </w:r>
                </w:p>
              </w:tc>
              <w:tc>
                <w:tcPr>
                  <w:tcW w:w="791" w:type="dxa"/>
                  <w:shd w:val="clear" w:color="auto" w:fill="auto"/>
                  <w:noWrap w:val="0"/>
                  <w:vAlign w:val="center"/>
                </w:tcPr>
                <w:p w14:paraId="5EE1475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3259</w:t>
                  </w:r>
                </w:p>
              </w:tc>
              <w:tc>
                <w:tcPr>
                  <w:tcW w:w="2378" w:type="dxa"/>
                  <w:shd w:val="clear" w:color="auto" w:fill="auto"/>
                  <w:noWrap w:val="0"/>
                  <w:vAlign w:val="center"/>
                </w:tcPr>
                <w:p w14:paraId="02904A8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zh-CN"/>
                    </w:rPr>
                    <w:t>固态胺</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未另作规定的或固态聚胺</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w:t>
                  </w:r>
                  <w:r>
                    <w:rPr>
                      <w:rFonts w:hint="eastAsia" w:cs="Times New Roman"/>
                      <w:color w:val="auto"/>
                      <w:kern w:val="0"/>
                      <w:sz w:val="21"/>
                      <w:szCs w:val="21"/>
                      <w:u w:val="none" w:color="auto"/>
                      <w:lang w:val="en-US" w:eastAsia="zh-CN"/>
                    </w:rPr>
                    <w:t>的</w:t>
                  </w:r>
                </w:p>
              </w:tc>
              <w:tc>
                <w:tcPr>
                  <w:tcW w:w="863" w:type="dxa"/>
                  <w:shd w:val="clear" w:color="auto" w:fill="auto"/>
                  <w:noWrap w:val="0"/>
                  <w:vAlign w:val="center"/>
                </w:tcPr>
                <w:p w14:paraId="0D2B1F2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23AB098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190601F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60E698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5E7B33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192A92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23</w:t>
                  </w:r>
                </w:p>
              </w:tc>
              <w:tc>
                <w:tcPr>
                  <w:tcW w:w="791" w:type="dxa"/>
                  <w:shd w:val="clear" w:color="auto" w:fill="auto"/>
                  <w:noWrap w:val="0"/>
                  <w:vAlign w:val="center"/>
                </w:tcPr>
                <w:p w14:paraId="02532BE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3260</w:t>
                  </w:r>
                </w:p>
              </w:tc>
              <w:tc>
                <w:tcPr>
                  <w:tcW w:w="2378" w:type="dxa"/>
                  <w:shd w:val="clear" w:color="auto" w:fill="auto"/>
                  <w:noWrap w:val="0"/>
                  <w:vAlign w:val="center"/>
                </w:tcPr>
                <w:p w14:paraId="47B735F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无机酸性腐蚀性固体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31F7F20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03F5103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3DBF263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6EFEC7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C5994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22C0684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24</w:t>
                  </w:r>
                </w:p>
              </w:tc>
              <w:tc>
                <w:tcPr>
                  <w:tcW w:w="791" w:type="dxa"/>
                  <w:shd w:val="clear" w:color="auto" w:fill="auto"/>
                  <w:noWrap w:val="0"/>
                  <w:vAlign w:val="center"/>
                </w:tcPr>
                <w:p w14:paraId="54780AF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3261</w:t>
                  </w:r>
                </w:p>
              </w:tc>
              <w:tc>
                <w:tcPr>
                  <w:tcW w:w="2378" w:type="dxa"/>
                  <w:shd w:val="clear" w:color="auto" w:fill="auto"/>
                  <w:noWrap w:val="0"/>
                  <w:vAlign w:val="center"/>
                </w:tcPr>
                <w:p w14:paraId="11E52AA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有机酸性腐蚀性固体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2BD854B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555A642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0A543DC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EB2CBC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395F8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4E4155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25</w:t>
                  </w:r>
                </w:p>
              </w:tc>
              <w:tc>
                <w:tcPr>
                  <w:tcW w:w="791" w:type="dxa"/>
                  <w:shd w:val="clear" w:color="auto" w:fill="auto"/>
                  <w:noWrap w:val="0"/>
                  <w:vAlign w:val="center"/>
                </w:tcPr>
                <w:p w14:paraId="3FAC94B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3262</w:t>
                  </w:r>
                </w:p>
              </w:tc>
              <w:tc>
                <w:tcPr>
                  <w:tcW w:w="2378" w:type="dxa"/>
                  <w:shd w:val="clear" w:color="auto" w:fill="auto"/>
                  <w:noWrap w:val="0"/>
                  <w:vAlign w:val="center"/>
                </w:tcPr>
                <w:p w14:paraId="61A57CF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无机碱性腐蚀性固体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45380DB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73B930C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5A13B25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2975A06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C45BD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94C0D5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26</w:t>
                  </w:r>
                </w:p>
              </w:tc>
              <w:tc>
                <w:tcPr>
                  <w:tcW w:w="791" w:type="dxa"/>
                  <w:shd w:val="clear" w:color="auto" w:fill="auto"/>
                  <w:noWrap w:val="0"/>
                  <w:vAlign w:val="center"/>
                </w:tcPr>
                <w:p w14:paraId="258009B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3263</w:t>
                  </w:r>
                </w:p>
              </w:tc>
              <w:tc>
                <w:tcPr>
                  <w:tcW w:w="2378" w:type="dxa"/>
                  <w:shd w:val="clear" w:color="auto" w:fill="auto"/>
                  <w:noWrap w:val="0"/>
                  <w:vAlign w:val="center"/>
                </w:tcPr>
                <w:p w14:paraId="3A8BADF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有机碱性腐蚀性固体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5D92EAB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2CAEEF4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23C1D82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D85DDF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2451DC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730522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27</w:t>
                  </w:r>
                </w:p>
              </w:tc>
              <w:tc>
                <w:tcPr>
                  <w:tcW w:w="791" w:type="dxa"/>
                  <w:shd w:val="clear" w:color="auto" w:fill="auto"/>
                  <w:noWrap w:val="0"/>
                  <w:vAlign w:val="center"/>
                </w:tcPr>
                <w:p w14:paraId="6614E49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3359</w:t>
                  </w:r>
                </w:p>
              </w:tc>
              <w:tc>
                <w:tcPr>
                  <w:tcW w:w="2378" w:type="dxa"/>
                  <w:shd w:val="clear" w:color="auto" w:fill="auto"/>
                  <w:noWrap w:val="0"/>
                  <w:vAlign w:val="center"/>
                </w:tcPr>
                <w:p w14:paraId="6D5E07E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熏蒸过的货物运输装置</w:t>
                  </w:r>
                </w:p>
              </w:tc>
              <w:tc>
                <w:tcPr>
                  <w:tcW w:w="863" w:type="dxa"/>
                  <w:shd w:val="clear" w:color="auto" w:fill="auto"/>
                  <w:noWrap w:val="0"/>
                  <w:vAlign w:val="center"/>
                </w:tcPr>
                <w:p w14:paraId="16D9DAA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7D0F918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7FF5FAF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1237EC2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2E5F00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B16A5B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28</w:t>
                  </w:r>
                </w:p>
              </w:tc>
              <w:tc>
                <w:tcPr>
                  <w:tcW w:w="791" w:type="dxa"/>
                  <w:shd w:val="clear" w:color="auto" w:fill="auto"/>
                  <w:noWrap w:val="0"/>
                  <w:vAlign w:val="center"/>
                </w:tcPr>
                <w:p w14:paraId="351CA54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3480</w:t>
                  </w:r>
                </w:p>
              </w:tc>
              <w:tc>
                <w:tcPr>
                  <w:tcW w:w="2378" w:type="dxa"/>
                  <w:shd w:val="clear" w:color="auto" w:fill="auto"/>
                  <w:noWrap w:val="0"/>
                  <w:vAlign w:val="center"/>
                </w:tcPr>
                <w:p w14:paraId="320029F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锂离子电池（包括锂离子聚合物电池）</w:t>
                  </w:r>
                </w:p>
              </w:tc>
              <w:tc>
                <w:tcPr>
                  <w:tcW w:w="863" w:type="dxa"/>
                  <w:shd w:val="clear" w:color="auto" w:fill="auto"/>
                  <w:noWrap w:val="0"/>
                  <w:vAlign w:val="center"/>
                </w:tcPr>
                <w:p w14:paraId="5F22225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4DA5A41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1548C35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183E56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5EB0D2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B59BA0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29</w:t>
                  </w:r>
                </w:p>
              </w:tc>
              <w:tc>
                <w:tcPr>
                  <w:tcW w:w="791" w:type="dxa"/>
                  <w:shd w:val="clear" w:color="auto" w:fill="auto"/>
                  <w:noWrap w:val="0"/>
                  <w:vAlign w:val="center"/>
                </w:tcPr>
                <w:p w14:paraId="301D0F7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3481</w:t>
                  </w:r>
                </w:p>
              </w:tc>
              <w:tc>
                <w:tcPr>
                  <w:tcW w:w="2378" w:type="dxa"/>
                  <w:shd w:val="clear" w:color="auto" w:fill="auto"/>
                  <w:noWrap w:val="0"/>
                  <w:vAlign w:val="center"/>
                </w:tcPr>
                <w:p w14:paraId="602C19B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包含在设备中的锂离子电池或与设备包装在一起的锂离子电池（包括锂离子聚合物电池）</w:t>
                  </w:r>
                </w:p>
              </w:tc>
              <w:tc>
                <w:tcPr>
                  <w:tcW w:w="863" w:type="dxa"/>
                  <w:shd w:val="clear" w:color="auto" w:fill="auto"/>
                  <w:noWrap w:val="0"/>
                  <w:vAlign w:val="center"/>
                </w:tcPr>
                <w:p w14:paraId="47109D5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0852924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4DE2FBF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C46164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CA93D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6661D3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w:t>
                  </w:r>
                </w:p>
              </w:tc>
              <w:tc>
                <w:tcPr>
                  <w:tcW w:w="791" w:type="dxa"/>
                  <w:shd w:val="clear" w:color="auto" w:fill="auto"/>
                  <w:noWrap w:val="0"/>
                  <w:vAlign w:val="center"/>
                </w:tcPr>
                <w:p w14:paraId="4ADC4D8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3509</w:t>
                  </w:r>
                </w:p>
              </w:tc>
              <w:tc>
                <w:tcPr>
                  <w:tcW w:w="2378" w:type="dxa"/>
                  <w:shd w:val="clear" w:color="auto" w:fill="auto"/>
                  <w:noWrap w:val="0"/>
                  <w:vAlign w:val="center"/>
                </w:tcPr>
                <w:p w14:paraId="52273EF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废弃空包装</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未清洁</w:t>
                  </w:r>
                </w:p>
              </w:tc>
              <w:tc>
                <w:tcPr>
                  <w:tcW w:w="863" w:type="dxa"/>
                  <w:shd w:val="clear" w:color="auto" w:fill="auto"/>
                  <w:noWrap w:val="0"/>
                  <w:vAlign w:val="center"/>
                </w:tcPr>
                <w:p w14:paraId="54DAB83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328DDC1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027466D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181400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7053A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FE8169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31</w:t>
                  </w:r>
                </w:p>
              </w:tc>
              <w:tc>
                <w:tcPr>
                  <w:tcW w:w="791" w:type="dxa"/>
                  <w:shd w:val="clear" w:color="auto" w:fill="auto"/>
                  <w:noWrap w:val="0"/>
                  <w:vAlign w:val="center"/>
                </w:tcPr>
                <w:p w14:paraId="485D412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3530</w:t>
                  </w:r>
                </w:p>
              </w:tc>
              <w:tc>
                <w:tcPr>
                  <w:tcW w:w="2378" w:type="dxa"/>
                  <w:shd w:val="clear" w:color="auto" w:fill="auto"/>
                  <w:noWrap w:val="0"/>
                  <w:vAlign w:val="center"/>
                </w:tcPr>
                <w:p w14:paraId="672A0AB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内燃机或内燃机机械</w:t>
                  </w:r>
                </w:p>
              </w:tc>
              <w:tc>
                <w:tcPr>
                  <w:tcW w:w="863" w:type="dxa"/>
                  <w:shd w:val="clear" w:color="auto" w:fill="auto"/>
                  <w:noWrap w:val="0"/>
                  <w:vAlign w:val="center"/>
                </w:tcPr>
                <w:p w14:paraId="2D37BD5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162148F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494D8CF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024C27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508352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A90B10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w:t>
                  </w:r>
                </w:p>
              </w:tc>
              <w:tc>
                <w:tcPr>
                  <w:tcW w:w="791" w:type="dxa"/>
                  <w:shd w:val="clear" w:color="auto" w:fill="auto"/>
                  <w:noWrap w:val="0"/>
                  <w:vAlign w:val="center"/>
                </w:tcPr>
                <w:p w14:paraId="1A9140F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3551</w:t>
                  </w:r>
                </w:p>
              </w:tc>
              <w:tc>
                <w:tcPr>
                  <w:tcW w:w="2378" w:type="dxa"/>
                  <w:shd w:val="clear" w:color="auto" w:fill="auto"/>
                  <w:noWrap w:val="0"/>
                  <w:vAlign w:val="center"/>
                </w:tcPr>
                <w:p w14:paraId="32F8973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有机电解质钠离子电池</w:t>
                  </w:r>
                </w:p>
              </w:tc>
              <w:tc>
                <w:tcPr>
                  <w:tcW w:w="863" w:type="dxa"/>
                  <w:shd w:val="clear" w:color="auto" w:fill="auto"/>
                  <w:noWrap w:val="0"/>
                  <w:vAlign w:val="center"/>
                </w:tcPr>
                <w:p w14:paraId="29A5D5A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73B7407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3AC95A3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9D302E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057D4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5D1363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33</w:t>
                  </w:r>
                </w:p>
              </w:tc>
              <w:tc>
                <w:tcPr>
                  <w:tcW w:w="791" w:type="dxa"/>
                  <w:shd w:val="clear" w:color="auto" w:fill="auto"/>
                  <w:noWrap w:val="0"/>
                  <w:vAlign w:val="center"/>
                </w:tcPr>
                <w:p w14:paraId="391E07E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3552</w:t>
                  </w:r>
                </w:p>
              </w:tc>
              <w:tc>
                <w:tcPr>
                  <w:tcW w:w="2378" w:type="dxa"/>
                  <w:shd w:val="clear" w:color="auto" w:fill="auto"/>
                  <w:noWrap w:val="0"/>
                  <w:vAlign w:val="center"/>
                </w:tcPr>
                <w:p w14:paraId="127196A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包含在设备中的有机电解质钠离子电池或与设备包装在一起的有机电解质钠离子电池</w:t>
                  </w:r>
                </w:p>
              </w:tc>
              <w:tc>
                <w:tcPr>
                  <w:tcW w:w="863" w:type="dxa"/>
                  <w:shd w:val="clear" w:color="auto" w:fill="auto"/>
                  <w:noWrap w:val="0"/>
                  <w:vAlign w:val="center"/>
                </w:tcPr>
                <w:p w14:paraId="757338D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428B81D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037E722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2BA538C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6B266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2EE2DC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34</w:t>
                  </w:r>
                </w:p>
              </w:tc>
              <w:tc>
                <w:tcPr>
                  <w:tcW w:w="791" w:type="dxa"/>
                  <w:shd w:val="clear" w:color="auto" w:fill="auto"/>
                  <w:noWrap w:val="0"/>
                  <w:vAlign w:val="center"/>
                </w:tcPr>
                <w:p w14:paraId="49CE7A3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3556</w:t>
                  </w:r>
                </w:p>
              </w:tc>
              <w:tc>
                <w:tcPr>
                  <w:tcW w:w="2378" w:type="dxa"/>
                  <w:shd w:val="clear" w:color="auto" w:fill="auto"/>
                  <w:noWrap w:val="0"/>
                  <w:vAlign w:val="center"/>
                </w:tcPr>
                <w:p w14:paraId="7E8D06B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以锂离子电池为动力的车辆</w:t>
                  </w:r>
                </w:p>
              </w:tc>
              <w:tc>
                <w:tcPr>
                  <w:tcW w:w="863" w:type="dxa"/>
                  <w:shd w:val="clear" w:color="auto" w:fill="auto"/>
                  <w:noWrap w:val="0"/>
                  <w:vAlign w:val="center"/>
                </w:tcPr>
                <w:p w14:paraId="55BA7E1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0BB3484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4B523AB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1E31400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60CF8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DF843F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w:t>
                  </w:r>
                </w:p>
              </w:tc>
              <w:tc>
                <w:tcPr>
                  <w:tcW w:w="791" w:type="dxa"/>
                  <w:shd w:val="clear" w:color="auto" w:fill="auto"/>
                  <w:noWrap w:val="0"/>
                  <w:vAlign w:val="center"/>
                </w:tcPr>
                <w:p w14:paraId="36999A6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3557</w:t>
                  </w:r>
                </w:p>
              </w:tc>
              <w:tc>
                <w:tcPr>
                  <w:tcW w:w="2378" w:type="dxa"/>
                  <w:shd w:val="clear" w:color="auto" w:fill="auto"/>
                  <w:noWrap w:val="0"/>
                  <w:vAlign w:val="center"/>
                </w:tcPr>
                <w:p w14:paraId="442AD65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以锂金属电池为动力的车辆</w:t>
                  </w:r>
                </w:p>
              </w:tc>
              <w:tc>
                <w:tcPr>
                  <w:tcW w:w="863" w:type="dxa"/>
                  <w:shd w:val="clear" w:color="auto" w:fill="auto"/>
                  <w:noWrap w:val="0"/>
                  <w:vAlign w:val="center"/>
                </w:tcPr>
                <w:p w14:paraId="7F12C0C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3C6DD99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05FC7A7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D46BA6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26C86E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0BD46B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36</w:t>
                  </w:r>
                </w:p>
              </w:tc>
              <w:tc>
                <w:tcPr>
                  <w:tcW w:w="791" w:type="dxa"/>
                  <w:shd w:val="clear" w:color="auto" w:fill="auto"/>
                  <w:noWrap w:val="0"/>
                  <w:vAlign w:val="center"/>
                </w:tcPr>
                <w:p w14:paraId="35E7023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3558</w:t>
                  </w:r>
                </w:p>
              </w:tc>
              <w:tc>
                <w:tcPr>
                  <w:tcW w:w="2378" w:type="dxa"/>
                  <w:shd w:val="clear" w:color="auto" w:fill="auto"/>
                  <w:noWrap w:val="0"/>
                  <w:vAlign w:val="center"/>
                </w:tcPr>
                <w:p w14:paraId="610EF15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以钠离子电池为动力的车辆</w:t>
                  </w:r>
                </w:p>
              </w:tc>
              <w:tc>
                <w:tcPr>
                  <w:tcW w:w="863" w:type="dxa"/>
                  <w:shd w:val="clear" w:color="auto" w:fill="auto"/>
                  <w:noWrap w:val="0"/>
                  <w:vAlign w:val="center"/>
                </w:tcPr>
                <w:p w14:paraId="6F3B2EB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2414E7B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3F3E278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6B12468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6304E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D944A2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37</w:t>
                  </w:r>
                </w:p>
              </w:tc>
              <w:tc>
                <w:tcPr>
                  <w:tcW w:w="791" w:type="dxa"/>
                  <w:shd w:val="clear" w:color="auto" w:fill="auto"/>
                  <w:noWrap w:val="0"/>
                  <w:vAlign w:val="center"/>
                </w:tcPr>
                <w:p w14:paraId="06BB4F8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3559</w:t>
                  </w:r>
                </w:p>
              </w:tc>
              <w:tc>
                <w:tcPr>
                  <w:tcW w:w="2378" w:type="dxa"/>
                  <w:shd w:val="clear" w:color="auto" w:fill="auto"/>
                  <w:noWrap w:val="0"/>
                  <w:vAlign w:val="center"/>
                </w:tcPr>
                <w:p w14:paraId="6F2BCC0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灭火剂分散装置</w:t>
                  </w:r>
                </w:p>
              </w:tc>
              <w:tc>
                <w:tcPr>
                  <w:tcW w:w="863" w:type="dxa"/>
                  <w:shd w:val="clear" w:color="auto" w:fill="auto"/>
                  <w:noWrap w:val="0"/>
                  <w:vAlign w:val="center"/>
                </w:tcPr>
                <w:p w14:paraId="3B61BC0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6A289BC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7CF57D6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2ECAC3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bl>
          <w:p w14:paraId="61E4C33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r>
              <w:rPr>
                <w:rFonts w:hint="eastAsia" w:ascii="Times New Roman" w:hAnsi="Times New Roman" w:eastAsia="宋体" w:cs="Times New Roman"/>
                <w:color w:val="auto"/>
                <w:sz w:val="24"/>
                <w:szCs w:val="32"/>
                <w:u w:val="single" w:color="auto"/>
                <w:lang w:val="en-US" w:eastAsia="zh-CN"/>
              </w:rPr>
              <w:t>综上，项目混堆货物所载货物</w:t>
            </w:r>
            <w:r>
              <w:rPr>
                <w:rFonts w:hint="eastAsia" w:cs="Times New Roman"/>
                <w:color w:val="auto"/>
                <w:sz w:val="24"/>
                <w:szCs w:val="32"/>
                <w:u w:val="single" w:color="auto"/>
                <w:lang w:val="en-US" w:eastAsia="zh-CN"/>
              </w:rPr>
              <w:t>无</w:t>
            </w:r>
            <w:r>
              <w:rPr>
                <w:rFonts w:hint="eastAsia" w:ascii="Times New Roman" w:hAnsi="Times New Roman" w:eastAsia="宋体" w:cs="Times New Roman"/>
                <w:color w:val="auto"/>
                <w:sz w:val="24"/>
                <w:szCs w:val="32"/>
                <w:u w:val="single" w:color="auto"/>
                <w:lang w:val="en-US" w:eastAsia="zh-CN"/>
              </w:rPr>
              <w:t>危险性，集装箱为包装类非Ⅰ、Ⅱ类且不属于危险化学品</w:t>
            </w:r>
            <w:r>
              <w:rPr>
                <w:rFonts w:hint="eastAsia" w:cs="Times New Roman"/>
                <w:color w:val="auto"/>
                <w:sz w:val="24"/>
                <w:szCs w:val="32"/>
                <w:u w:val="single" w:color="auto"/>
                <w:lang w:val="en-US" w:eastAsia="zh-CN"/>
              </w:rPr>
              <w:t>，</w:t>
            </w:r>
            <w:r>
              <w:rPr>
                <w:rFonts w:hint="eastAsia" w:ascii="Times New Roman" w:hAnsi="Times New Roman" w:eastAsia="宋体" w:cs="Times New Roman"/>
                <w:color w:val="auto"/>
                <w:sz w:val="24"/>
                <w:szCs w:val="32"/>
                <w:u w:val="single" w:color="auto"/>
                <w:lang w:val="en-US" w:eastAsia="zh-CN"/>
              </w:rPr>
              <w:t>项目与《港口作业安全要求第3部分：危险货物集装箱》（GB 16994.3-2021）中混堆条件相符。</w:t>
            </w:r>
          </w:p>
          <w:p w14:paraId="397FD3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2264B79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29E694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504D1B5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01E685A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456DBA2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61F0B1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50A0F60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0DB1B05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2388067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61E4FAA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5886337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0E6C693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432B78B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166A2A1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4244AD8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637013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1BC53F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63A9B4B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eastAsia" w:ascii="Times New Roman" w:hAnsi="Times New Roman" w:eastAsia="宋体" w:cs="Times New Roman"/>
                <w:color w:val="auto"/>
                <w:sz w:val="24"/>
                <w:szCs w:val="32"/>
                <w:u w:val="single" w:color="auto"/>
                <w:lang w:val="en-US" w:eastAsia="zh-CN"/>
              </w:rPr>
            </w:pPr>
          </w:p>
          <w:p w14:paraId="465B6C5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0"/>
              <w:jc w:val="left"/>
              <w:textAlignment w:val="auto"/>
              <w:rPr>
                <w:rFonts w:hint="default" w:ascii="Times New Roman" w:hAnsi="Times New Roman" w:eastAsia="宋体" w:cs="Times New Roman"/>
                <w:color w:val="auto"/>
                <w:sz w:val="24"/>
                <w:szCs w:val="32"/>
                <w:u w:val="single" w:color="auto"/>
                <w:lang w:val="en-US" w:eastAsia="zh-CN"/>
              </w:rPr>
            </w:pPr>
          </w:p>
        </w:tc>
      </w:tr>
    </w:tbl>
    <w:p w14:paraId="63A26E0F">
      <w:pPr>
        <w:spacing w:line="360" w:lineRule="auto"/>
        <w:outlineLvl w:val="0"/>
        <w:rPr>
          <w:rFonts w:hint="default" w:ascii="Times New Roman" w:hAnsi="Times New Roman" w:eastAsia="宋体" w:cs="Times New Roman"/>
          <w:color w:val="auto"/>
          <w:sz w:val="30"/>
          <w:highlight w:val="none"/>
          <w:u w:val="none" w:color="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DEC32E7">
      <w:pPr>
        <w:pStyle w:val="42"/>
        <w:jc w:val="center"/>
        <w:outlineLvl w:val="0"/>
        <w:rPr>
          <w:rFonts w:hint="default" w:ascii="Times New Roman" w:hAnsi="Times New Roman" w:eastAsia="宋体" w:cs="Times New Roman"/>
          <w:snapToGrid w:val="0"/>
          <w:color w:val="auto"/>
          <w:sz w:val="30"/>
          <w:szCs w:val="30"/>
          <w:highlight w:val="none"/>
          <w:u w:val="none" w:color="auto"/>
        </w:rPr>
      </w:pPr>
      <w:r>
        <w:rPr>
          <w:rFonts w:hint="default" w:ascii="Times New Roman" w:hAnsi="Times New Roman" w:eastAsia="宋体" w:cs="Times New Roman"/>
          <w:snapToGrid w:val="0"/>
          <w:color w:val="auto"/>
          <w:sz w:val="30"/>
          <w:szCs w:val="30"/>
          <w:highlight w:val="none"/>
          <w:u w:val="none" w:color="auto"/>
        </w:rPr>
        <w:t>二、建设项目工程分析</w:t>
      </w:r>
      <w:bookmarkEnd w:id="4"/>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320"/>
      </w:tblGrid>
      <w:tr w14:paraId="01ECA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noWrap w:val="0"/>
            <w:vAlign w:val="center"/>
          </w:tcPr>
          <w:p w14:paraId="6A187303">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建设内容</w:t>
            </w:r>
          </w:p>
        </w:tc>
        <w:tc>
          <w:tcPr>
            <w:tcW w:w="8320" w:type="dxa"/>
            <w:noWrap w:val="0"/>
            <w:vAlign w:val="center"/>
          </w:tcPr>
          <w:p w14:paraId="3ADD8532">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1、项目由来</w:t>
            </w:r>
          </w:p>
          <w:p w14:paraId="6174AF5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2004年8月，钦州市环境科学研究所编制完成《广西钦州港大榄坪1#散杂货泊位项目环境影响报告书》、《广西钦州港大榄坪2#散杂货泊位项目环境影响报告书》。2004年9月，原广西壮族自治区环境保护厅以“桂环管字〔2004〕309号及桂环管字〔2004〕308号”批复了环境影响报告书。</w:t>
            </w:r>
          </w:p>
          <w:p w14:paraId="049479F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2007年10月，钦州港大榄坪1#、2#泊位工程开工建设，2009年12月竣工并进行试生产。</w:t>
            </w:r>
          </w:p>
          <w:p w14:paraId="4E0632A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2011年1月，原广西壮族自治区环境保护厅以（桂环验〔2011〕16号）通过钦州港大榄坪1#、2#泊位工程竣工环境保护验收。建设规模为7万吨（水工按10万设计）多用途泊位2个（保留改造成为集装箱泊位的条件），码头总长767m，设计年吞吐量为600万吨（集装箱75万TEU+件杂货40万吨），货种为白糖、钛矿、钢管等，不涉及危险品。码头岸线长767m，占地78hm</w:t>
            </w:r>
            <w:r>
              <w:rPr>
                <w:rFonts w:hint="default" w:ascii="Times New Roman" w:hAnsi="Times New Roman" w:eastAsia="宋体" w:cs="Times New Roman"/>
                <w:caps w:val="0"/>
                <w:color w:val="auto"/>
                <w:sz w:val="24"/>
                <w:szCs w:val="24"/>
                <w:highlight w:val="none"/>
                <w:u w:val="none" w:color="auto"/>
                <w:vertAlign w:val="superscript"/>
              </w:rPr>
              <w:t>2</w:t>
            </w:r>
            <w:r>
              <w:rPr>
                <w:rFonts w:hint="default" w:ascii="Times New Roman" w:hAnsi="Times New Roman" w:eastAsia="宋体" w:cs="Times New Roman"/>
                <w:caps w:val="0"/>
                <w:color w:val="auto"/>
                <w:sz w:val="24"/>
                <w:szCs w:val="24"/>
                <w:highlight w:val="none"/>
                <w:u w:val="none" w:color="auto"/>
              </w:rPr>
              <w:t>。建设内容主要有集装箱堆场、预留危险品堆场、件杂货堆场及港区道路等。</w:t>
            </w:r>
          </w:p>
          <w:p w14:paraId="427019D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2021年，大榄坪南作业区1#、2#泊位工程原运营单位广西钦州国际集装箱码头有限公司委托开展了《钦州港大榄坪南作业区1#</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lang w:val="en-US" w:eastAsia="zh-CN"/>
              </w:rPr>
              <w:t>2</w:t>
            </w:r>
            <w:r>
              <w:rPr>
                <w:rFonts w:hint="default" w:ascii="Times New Roman" w:hAnsi="Times New Roman" w:eastAsia="宋体" w:cs="Times New Roman"/>
                <w:caps w:val="0"/>
                <w:color w:val="auto"/>
                <w:sz w:val="24"/>
                <w:szCs w:val="24"/>
                <w:highlight w:val="none"/>
                <w:u w:val="none" w:color="auto"/>
              </w:rPr>
              <w:t>#泊位新增危险货物集装箱项目环境影响报告书》编制工作，主要对码头新增危险货物集装箱作业、堆场及吞吐量变化开展影响分析论证，并于2021年10月获得钦州市生态环境局《关于钦州港大榄坪南作业区1#</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lang w:val="en-US" w:eastAsia="zh-CN"/>
              </w:rPr>
              <w:t>2</w:t>
            </w:r>
            <w:r>
              <w:rPr>
                <w:rFonts w:hint="default" w:ascii="Times New Roman" w:hAnsi="Times New Roman" w:eastAsia="宋体" w:cs="Times New Roman"/>
                <w:caps w:val="0"/>
                <w:color w:val="auto"/>
                <w:sz w:val="24"/>
                <w:szCs w:val="24"/>
                <w:highlight w:val="none"/>
                <w:u w:val="none" w:color="auto"/>
              </w:rPr>
              <w:t>#泊位新增危险货物集装箱项目环境影响报告书的批复》（自贸钦港审批环﹝2021﹞9号）。2021年12月，该码头组织开展了自主验收会议，通过竣工环境保护验收。</w:t>
            </w:r>
          </w:p>
          <w:p w14:paraId="6975D22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lang w:val="en-US" w:eastAsia="zh-CN"/>
              </w:rPr>
            </w:pPr>
            <w:r>
              <w:rPr>
                <w:rFonts w:hint="default" w:ascii="Times New Roman" w:hAnsi="Times New Roman" w:eastAsia="宋体" w:cs="Times New Roman"/>
                <w:caps w:val="0"/>
                <w:color w:val="auto"/>
                <w:sz w:val="24"/>
                <w:szCs w:val="24"/>
                <w:highlight w:val="none"/>
                <w:u w:val="none" w:color="auto"/>
                <w:lang w:val="en-US" w:eastAsia="zh-CN"/>
              </w:rPr>
              <w:t>2022年10月，</w:t>
            </w:r>
            <w:r>
              <w:rPr>
                <w:rFonts w:hint="default" w:ascii="Times New Roman" w:hAnsi="Times New Roman" w:eastAsia="宋体" w:cs="Times New Roman"/>
                <w:caps w:val="0"/>
                <w:color w:val="auto"/>
                <w:sz w:val="24"/>
                <w:szCs w:val="24"/>
                <w:highlight w:val="none"/>
                <w:u w:val="none" w:color="auto"/>
              </w:rPr>
              <w:t>广西北部湾国际集装箱码头有限公司</w:t>
            </w:r>
            <w:r>
              <w:rPr>
                <w:rFonts w:hint="default" w:ascii="Times New Roman" w:hAnsi="Times New Roman" w:eastAsia="宋体" w:cs="Times New Roman"/>
                <w:caps w:val="0"/>
                <w:color w:val="auto"/>
                <w:sz w:val="24"/>
                <w:szCs w:val="24"/>
                <w:highlight w:val="none"/>
                <w:u w:val="none" w:color="auto"/>
                <w:lang w:val="en-US" w:eastAsia="zh-CN"/>
              </w:rPr>
              <w:t>委托广西交科集团有限公司编制完成《钦州港大榄坪南作业区1#~6#泊位新增危险货物集装箱项目环境影响报告书》，并于2022年11月30日取得钦州市生态环境局的批复（批文号：自贸钦审批环〔2022〕47号）。根据调查，钦州港大榄坪南作业区1#~6#泊位新增危险货物集装箱项目未建设，未开展环境保护验收工作。</w:t>
            </w:r>
          </w:p>
          <w:p w14:paraId="5A62C90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lang w:val="en-US" w:eastAsia="zh-CN"/>
              </w:rPr>
              <w:t>2024年7月，</w:t>
            </w:r>
            <w:r>
              <w:rPr>
                <w:rFonts w:hint="default" w:ascii="Times New Roman" w:hAnsi="Times New Roman" w:eastAsia="宋体" w:cs="Times New Roman"/>
                <w:caps w:val="0"/>
                <w:color w:val="auto"/>
                <w:sz w:val="24"/>
                <w:szCs w:val="24"/>
                <w:highlight w:val="none"/>
                <w:u w:val="none" w:color="auto"/>
              </w:rPr>
              <w:t>广西北部湾国际集装箱码头有限公司</w:t>
            </w:r>
            <w:r>
              <w:rPr>
                <w:rFonts w:hint="default" w:ascii="Times New Roman" w:hAnsi="Times New Roman" w:eastAsia="宋体" w:cs="Times New Roman"/>
                <w:caps w:val="0"/>
                <w:color w:val="auto"/>
                <w:sz w:val="24"/>
                <w:szCs w:val="24"/>
                <w:highlight w:val="none"/>
                <w:u w:val="none" w:color="auto"/>
                <w:lang w:val="en-US" w:eastAsia="zh-CN"/>
              </w:rPr>
              <w:t>委托</w:t>
            </w:r>
            <w:r>
              <w:rPr>
                <w:rFonts w:hint="default" w:ascii="Times New Roman" w:hAnsi="Times New Roman" w:eastAsia="宋体" w:cs="Times New Roman"/>
                <w:caps w:val="0"/>
                <w:color w:val="auto"/>
                <w:sz w:val="24"/>
                <w:szCs w:val="24"/>
                <w:highlight w:val="none"/>
                <w:u w:val="none" w:color="auto"/>
              </w:rPr>
              <w:t>广西中冠智合生态环境有限公司</w:t>
            </w:r>
            <w:r>
              <w:rPr>
                <w:rFonts w:hint="default" w:ascii="Times New Roman" w:hAnsi="Times New Roman" w:eastAsia="宋体" w:cs="Times New Roman"/>
                <w:caps w:val="0"/>
                <w:color w:val="auto"/>
                <w:sz w:val="24"/>
                <w:szCs w:val="24"/>
                <w:highlight w:val="none"/>
                <w:u w:val="none" w:color="auto"/>
                <w:lang w:val="en-US" w:eastAsia="zh-CN"/>
              </w:rPr>
              <w:t>编制完成《</w:t>
            </w:r>
            <w:r>
              <w:rPr>
                <w:rFonts w:hint="default" w:ascii="Times New Roman" w:hAnsi="Times New Roman" w:eastAsia="宋体" w:cs="Times New Roman"/>
                <w:caps w:val="0"/>
                <w:color w:val="auto"/>
                <w:sz w:val="24"/>
                <w:szCs w:val="24"/>
                <w:highlight w:val="none"/>
                <w:u w:val="none" w:color="auto"/>
              </w:rPr>
              <w:t>钦州港大榄坪南作业区1#-6#泊位新增危险货物集装箱项目（重大变动）</w:t>
            </w:r>
            <w:r>
              <w:rPr>
                <w:rFonts w:hint="default" w:ascii="Times New Roman" w:hAnsi="Times New Roman" w:eastAsia="宋体" w:cs="Times New Roman"/>
                <w:caps w:val="0"/>
                <w:color w:val="auto"/>
                <w:sz w:val="24"/>
                <w:szCs w:val="24"/>
                <w:highlight w:val="none"/>
                <w:u w:val="none" w:color="auto"/>
                <w:lang w:val="en-US" w:eastAsia="zh-CN"/>
              </w:rPr>
              <w:t>》并于202</w:t>
            </w:r>
            <w:r>
              <w:rPr>
                <w:rFonts w:hint="eastAsia" w:ascii="Times New Roman" w:hAnsi="Times New Roman" w:eastAsia="宋体" w:cs="Times New Roman"/>
                <w:caps w:val="0"/>
                <w:color w:val="auto"/>
                <w:sz w:val="24"/>
                <w:szCs w:val="24"/>
                <w:highlight w:val="none"/>
                <w:u w:val="none" w:color="auto"/>
                <w:lang w:val="en-US" w:eastAsia="zh-CN"/>
              </w:rPr>
              <w:t>5</w:t>
            </w:r>
            <w:r>
              <w:rPr>
                <w:rFonts w:hint="default" w:ascii="Times New Roman" w:hAnsi="Times New Roman" w:eastAsia="宋体" w:cs="Times New Roman"/>
                <w:caps w:val="0"/>
                <w:color w:val="auto"/>
                <w:sz w:val="24"/>
                <w:szCs w:val="24"/>
                <w:highlight w:val="none"/>
                <w:u w:val="none" w:color="auto"/>
                <w:lang w:val="en-US" w:eastAsia="zh-CN"/>
              </w:rPr>
              <w:t>年</w:t>
            </w:r>
            <w:r>
              <w:rPr>
                <w:rFonts w:hint="eastAsia" w:ascii="Times New Roman" w:hAnsi="Times New Roman" w:eastAsia="宋体" w:cs="Times New Roman"/>
                <w:caps w:val="0"/>
                <w:color w:val="auto"/>
                <w:sz w:val="24"/>
                <w:szCs w:val="24"/>
                <w:highlight w:val="none"/>
                <w:u w:val="none" w:color="auto"/>
                <w:lang w:val="en-US" w:eastAsia="zh-CN"/>
              </w:rPr>
              <w:t>3</w:t>
            </w:r>
            <w:r>
              <w:rPr>
                <w:rFonts w:hint="default" w:ascii="Times New Roman" w:hAnsi="Times New Roman" w:eastAsia="宋体" w:cs="Times New Roman"/>
                <w:caps w:val="0"/>
                <w:color w:val="auto"/>
                <w:sz w:val="24"/>
                <w:szCs w:val="24"/>
                <w:highlight w:val="none"/>
                <w:u w:val="none" w:color="auto"/>
                <w:lang w:val="en-US" w:eastAsia="zh-CN"/>
              </w:rPr>
              <w:t>月</w:t>
            </w:r>
            <w:r>
              <w:rPr>
                <w:rFonts w:hint="eastAsia" w:ascii="Times New Roman" w:hAnsi="Times New Roman" w:eastAsia="宋体" w:cs="Times New Roman"/>
                <w:caps w:val="0"/>
                <w:color w:val="auto"/>
                <w:sz w:val="24"/>
                <w:szCs w:val="24"/>
                <w:highlight w:val="none"/>
                <w:u w:val="none" w:color="auto"/>
                <w:lang w:val="en-US" w:eastAsia="zh-CN"/>
              </w:rPr>
              <w:t>3</w:t>
            </w:r>
            <w:r>
              <w:rPr>
                <w:rFonts w:hint="default" w:ascii="Times New Roman" w:hAnsi="Times New Roman" w:eastAsia="宋体" w:cs="Times New Roman"/>
                <w:caps w:val="0"/>
                <w:color w:val="auto"/>
                <w:sz w:val="24"/>
                <w:szCs w:val="24"/>
                <w:highlight w:val="none"/>
                <w:u w:val="none" w:color="auto"/>
                <w:lang w:val="en-US" w:eastAsia="zh-CN"/>
              </w:rPr>
              <w:t>日取得钦州市生态环境局的批复（批文号：自贸钦审批环〔2024〕39号）。根据调查，已</w:t>
            </w:r>
            <w:r>
              <w:rPr>
                <w:rFonts w:hint="eastAsia" w:ascii="Times New Roman" w:hAnsi="Times New Roman" w:eastAsia="宋体" w:cs="Times New Roman"/>
                <w:caps w:val="0"/>
                <w:color w:val="auto"/>
                <w:sz w:val="24"/>
                <w:szCs w:val="24"/>
                <w:highlight w:val="none"/>
                <w:u w:val="none" w:color="auto"/>
                <w:lang w:val="en-US" w:eastAsia="zh-CN"/>
              </w:rPr>
              <w:t>完成</w:t>
            </w:r>
            <w:r>
              <w:rPr>
                <w:rFonts w:hint="default" w:ascii="Times New Roman" w:hAnsi="Times New Roman" w:eastAsia="宋体" w:cs="Times New Roman"/>
                <w:caps w:val="0"/>
                <w:color w:val="auto"/>
                <w:sz w:val="24"/>
                <w:szCs w:val="24"/>
                <w:highlight w:val="none"/>
                <w:u w:val="none" w:color="auto"/>
                <w:lang w:val="en-US" w:eastAsia="zh-CN"/>
              </w:rPr>
              <w:t>环境保护验收工作。</w:t>
            </w:r>
          </w:p>
          <w:p w14:paraId="2324CF1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lang w:val="en-US" w:eastAsia="zh-CN"/>
              </w:rPr>
            </w:pPr>
            <w:r>
              <w:rPr>
                <w:rFonts w:hint="default" w:ascii="Times New Roman" w:hAnsi="Times New Roman" w:eastAsia="宋体" w:cs="Times New Roman"/>
                <w:caps w:val="0"/>
                <w:color w:val="auto"/>
                <w:sz w:val="24"/>
                <w:szCs w:val="24"/>
                <w:highlight w:val="none"/>
                <w:u w:val="none" w:color="auto"/>
                <w:lang w:val="en-US" w:eastAsia="zh-CN"/>
              </w:rPr>
              <w:t>2024年</w:t>
            </w:r>
            <w:r>
              <w:rPr>
                <w:rFonts w:hint="eastAsia" w:ascii="Times New Roman" w:hAnsi="Times New Roman" w:eastAsia="宋体" w:cs="Times New Roman"/>
                <w:caps w:val="0"/>
                <w:color w:val="auto"/>
                <w:sz w:val="24"/>
                <w:szCs w:val="24"/>
                <w:highlight w:val="none"/>
                <w:u w:val="none" w:color="auto"/>
                <w:lang w:val="en-US" w:eastAsia="zh-CN"/>
              </w:rPr>
              <w:t>10</w:t>
            </w:r>
            <w:r>
              <w:rPr>
                <w:rFonts w:hint="default" w:ascii="Times New Roman" w:hAnsi="Times New Roman" w:eastAsia="宋体" w:cs="Times New Roman"/>
                <w:caps w:val="0"/>
                <w:color w:val="auto"/>
                <w:sz w:val="24"/>
                <w:szCs w:val="24"/>
                <w:highlight w:val="none"/>
                <w:u w:val="none" w:color="auto"/>
                <w:lang w:val="en-US" w:eastAsia="zh-CN"/>
              </w:rPr>
              <w:t>月，</w:t>
            </w:r>
            <w:r>
              <w:rPr>
                <w:rFonts w:hint="default" w:ascii="Times New Roman" w:hAnsi="Times New Roman" w:eastAsia="宋体" w:cs="Times New Roman"/>
                <w:caps w:val="0"/>
                <w:color w:val="auto"/>
                <w:sz w:val="24"/>
                <w:szCs w:val="24"/>
                <w:highlight w:val="none"/>
                <w:u w:val="none" w:color="auto"/>
              </w:rPr>
              <w:t>广西北部湾国际集装箱码头有限公司</w:t>
            </w:r>
            <w:r>
              <w:rPr>
                <w:rFonts w:hint="default" w:ascii="Times New Roman" w:hAnsi="Times New Roman" w:eastAsia="宋体" w:cs="Times New Roman"/>
                <w:caps w:val="0"/>
                <w:color w:val="auto"/>
                <w:sz w:val="24"/>
                <w:szCs w:val="24"/>
                <w:highlight w:val="none"/>
                <w:u w:val="none" w:color="auto"/>
                <w:lang w:val="en-US" w:eastAsia="zh-CN"/>
              </w:rPr>
              <w:t>委托</w:t>
            </w:r>
            <w:r>
              <w:rPr>
                <w:rFonts w:hint="default" w:ascii="Times New Roman" w:hAnsi="Times New Roman" w:eastAsia="宋体" w:cs="Times New Roman"/>
                <w:caps w:val="0"/>
                <w:color w:val="auto"/>
                <w:sz w:val="24"/>
                <w:szCs w:val="24"/>
                <w:highlight w:val="none"/>
                <w:u w:val="none" w:color="auto"/>
              </w:rPr>
              <w:t>广西一站式工程咨询有限公司</w:t>
            </w:r>
            <w:r>
              <w:rPr>
                <w:rFonts w:hint="default" w:ascii="Times New Roman" w:hAnsi="Times New Roman" w:eastAsia="宋体" w:cs="Times New Roman"/>
                <w:caps w:val="0"/>
                <w:color w:val="auto"/>
                <w:sz w:val="24"/>
                <w:szCs w:val="24"/>
                <w:highlight w:val="none"/>
                <w:u w:val="none" w:color="auto"/>
                <w:lang w:val="en-US" w:eastAsia="zh-CN"/>
              </w:rPr>
              <w:t>编制完成《广西北部湾国际集装箱码头有限公司集装箱修理项目》并于202</w:t>
            </w:r>
            <w:r>
              <w:rPr>
                <w:rFonts w:hint="eastAsia" w:ascii="Times New Roman" w:hAnsi="Times New Roman" w:eastAsia="宋体" w:cs="Times New Roman"/>
                <w:caps w:val="0"/>
                <w:color w:val="auto"/>
                <w:sz w:val="24"/>
                <w:szCs w:val="24"/>
                <w:highlight w:val="none"/>
                <w:u w:val="none" w:color="auto"/>
                <w:lang w:val="en-US" w:eastAsia="zh-CN"/>
              </w:rPr>
              <w:t>5</w:t>
            </w:r>
            <w:r>
              <w:rPr>
                <w:rFonts w:hint="default" w:ascii="Times New Roman" w:hAnsi="Times New Roman" w:eastAsia="宋体" w:cs="Times New Roman"/>
                <w:caps w:val="0"/>
                <w:color w:val="auto"/>
                <w:sz w:val="24"/>
                <w:szCs w:val="24"/>
                <w:highlight w:val="none"/>
                <w:u w:val="none" w:color="auto"/>
                <w:lang w:val="en-US" w:eastAsia="zh-CN"/>
              </w:rPr>
              <w:t>年</w:t>
            </w:r>
            <w:r>
              <w:rPr>
                <w:rFonts w:hint="eastAsia" w:ascii="Times New Roman" w:hAnsi="Times New Roman" w:eastAsia="宋体" w:cs="Times New Roman"/>
                <w:caps w:val="0"/>
                <w:color w:val="auto"/>
                <w:sz w:val="24"/>
                <w:szCs w:val="24"/>
                <w:highlight w:val="none"/>
                <w:u w:val="none" w:color="auto"/>
                <w:lang w:val="en-US" w:eastAsia="zh-CN"/>
              </w:rPr>
              <w:t>3</w:t>
            </w:r>
            <w:r>
              <w:rPr>
                <w:rFonts w:hint="default" w:ascii="Times New Roman" w:hAnsi="Times New Roman" w:eastAsia="宋体" w:cs="Times New Roman"/>
                <w:caps w:val="0"/>
                <w:color w:val="auto"/>
                <w:sz w:val="24"/>
                <w:szCs w:val="24"/>
                <w:highlight w:val="none"/>
                <w:u w:val="none" w:color="auto"/>
                <w:lang w:val="en-US" w:eastAsia="zh-CN"/>
              </w:rPr>
              <w:t>月</w:t>
            </w:r>
            <w:r>
              <w:rPr>
                <w:rFonts w:hint="eastAsia" w:ascii="Times New Roman" w:hAnsi="Times New Roman" w:eastAsia="宋体" w:cs="Times New Roman"/>
                <w:caps w:val="0"/>
                <w:color w:val="auto"/>
                <w:sz w:val="24"/>
                <w:szCs w:val="24"/>
                <w:highlight w:val="none"/>
                <w:u w:val="none" w:color="auto"/>
                <w:lang w:val="en-US" w:eastAsia="zh-CN"/>
              </w:rPr>
              <w:t>3</w:t>
            </w:r>
            <w:r>
              <w:rPr>
                <w:rFonts w:hint="default" w:ascii="Times New Roman" w:hAnsi="Times New Roman" w:eastAsia="宋体" w:cs="Times New Roman"/>
                <w:caps w:val="0"/>
                <w:color w:val="auto"/>
                <w:sz w:val="24"/>
                <w:szCs w:val="24"/>
                <w:highlight w:val="none"/>
                <w:u w:val="none" w:color="auto"/>
                <w:lang w:val="en-US" w:eastAsia="zh-CN"/>
              </w:rPr>
              <w:t>日取得钦州市生态环境局的批复（批文号：自贸钦审批环〔202</w:t>
            </w:r>
            <w:r>
              <w:rPr>
                <w:rFonts w:hint="eastAsia" w:ascii="Times New Roman" w:hAnsi="Times New Roman" w:eastAsia="宋体" w:cs="Times New Roman"/>
                <w:caps w:val="0"/>
                <w:color w:val="auto"/>
                <w:sz w:val="24"/>
                <w:szCs w:val="24"/>
                <w:highlight w:val="none"/>
                <w:u w:val="none" w:color="auto"/>
                <w:lang w:val="en-US" w:eastAsia="zh-CN"/>
              </w:rPr>
              <w:t>5</w:t>
            </w:r>
            <w:r>
              <w:rPr>
                <w:rFonts w:hint="default" w:ascii="Times New Roman" w:hAnsi="Times New Roman" w:eastAsia="宋体" w:cs="Times New Roman"/>
                <w:caps w:val="0"/>
                <w:color w:val="auto"/>
                <w:sz w:val="24"/>
                <w:szCs w:val="24"/>
                <w:highlight w:val="none"/>
                <w:u w:val="none" w:color="auto"/>
                <w:lang w:val="en-US" w:eastAsia="zh-CN"/>
              </w:rPr>
              <w:t>〕</w:t>
            </w:r>
            <w:r>
              <w:rPr>
                <w:rFonts w:hint="eastAsia" w:ascii="Times New Roman" w:hAnsi="Times New Roman" w:eastAsia="宋体" w:cs="Times New Roman"/>
                <w:caps w:val="0"/>
                <w:color w:val="auto"/>
                <w:sz w:val="24"/>
                <w:szCs w:val="24"/>
                <w:highlight w:val="none"/>
                <w:u w:val="none" w:color="auto"/>
                <w:lang w:val="en-US" w:eastAsia="zh-CN"/>
              </w:rPr>
              <w:t>17</w:t>
            </w:r>
            <w:r>
              <w:rPr>
                <w:rFonts w:hint="default" w:ascii="Times New Roman" w:hAnsi="Times New Roman" w:eastAsia="宋体" w:cs="Times New Roman"/>
                <w:caps w:val="0"/>
                <w:color w:val="auto"/>
                <w:sz w:val="24"/>
                <w:szCs w:val="24"/>
                <w:highlight w:val="none"/>
                <w:u w:val="none" w:color="auto"/>
                <w:lang w:val="en-US" w:eastAsia="zh-CN"/>
              </w:rPr>
              <w:t>号）。根据调查，</w:t>
            </w:r>
            <w:r>
              <w:rPr>
                <w:rFonts w:hint="eastAsia" w:ascii="Times New Roman" w:hAnsi="Times New Roman" w:eastAsia="宋体" w:cs="Times New Roman"/>
                <w:caps w:val="0"/>
                <w:color w:val="auto"/>
                <w:sz w:val="24"/>
                <w:szCs w:val="24"/>
                <w:highlight w:val="none"/>
                <w:u w:val="none" w:color="auto"/>
                <w:lang w:val="en-US" w:eastAsia="zh-CN"/>
              </w:rPr>
              <w:t>项目</w:t>
            </w:r>
            <w:r>
              <w:rPr>
                <w:rFonts w:hint="eastAsia" w:cs="Times New Roman"/>
                <w:caps w:val="0"/>
                <w:color w:val="auto"/>
                <w:sz w:val="24"/>
                <w:szCs w:val="24"/>
                <w:highlight w:val="none"/>
                <w:u w:val="none" w:color="auto"/>
                <w:lang w:val="en-US" w:eastAsia="zh-CN"/>
              </w:rPr>
              <w:t>在设备调试阶段</w:t>
            </w:r>
            <w:r>
              <w:rPr>
                <w:rFonts w:hint="eastAsia" w:ascii="Times New Roman" w:hAnsi="Times New Roman" w:eastAsia="宋体" w:cs="Times New Roman"/>
                <w:caps w:val="0"/>
                <w:color w:val="auto"/>
                <w:sz w:val="24"/>
                <w:szCs w:val="24"/>
                <w:highlight w:val="none"/>
                <w:u w:val="none" w:color="auto"/>
                <w:lang w:val="en-US" w:eastAsia="zh-CN"/>
              </w:rPr>
              <w:t>，尚未开展</w:t>
            </w:r>
            <w:r>
              <w:rPr>
                <w:rFonts w:hint="default" w:ascii="Times New Roman" w:hAnsi="Times New Roman" w:eastAsia="宋体" w:cs="Times New Roman"/>
                <w:caps w:val="0"/>
                <w:color w:val="auto"/>
                <w:sz w:val="24"/>
                <w:szCs w:val="24"/>
                <w:highlight w:val="none"/>
                <w:u w:val="none" w:color="auto"/>
                <w:lang w:val="en-US" w:eastAsia="zh-CN"/>
              </w:rPr>
              <w:t>环境保护验收工作</w:t>
            </w:r>
            <w:r>
              <w:rPr>
                <w:rFonts w:hint="eastAsia" w:ascii="Times New Roman" w:hAnsi="Times New Roman" w:eastAsia="宋体" w:cs="Times New Roman"/>
                <w:caps w:val="0"/>
                <w:color w:val="auto"/>
                <w:sz w:val="24"/>
                <w:szCs w:val="24"/>
                <w:highlight w:val="none"/>
                <w:u w:val="none" w:color="auto"/>
                <w:lang w:val="en-US" w:eastAsia="zh-CN"/>
              </w:rPr>
              <w:t>。</w:t>
            </w:r>
          </w:p>
          <w:p w14:paraId="673B5C2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aps w:val="0"/>
                <w:color w:val="auto"/>
                <w:sz w:val="24"/>
                <w:szCs w:val="24"/>
                <w:highlight w:val="none"/>
                <w:u w:val="none" w:color="auto"/>
                <w:lang w:val="en-US" w:eastAsia="zh-CN"/>
              </w:rPr>
            </w:pPr>
            <w:r>
              <w:rPr>
                <w:rFonts w:hint="default" w:ascii="Times New Roman" w:hAnsi="Times New Roman" w:eastAsia="宋体" w:cs="Times New Roman"/>
                <w:caps w:val="0"/>
                <w:color w:val="auto"/>
                <w:sz w:val="24"/>
                <w:szCs w:val="24"/>
                <w:highlight w:val="none"/>
                <w:u w:val="none" w:color="auto"/>
                <w:lang w:val="en-US" w:eastAsia="zh-CN"/>
              </w:rPr>
              <w:t>2021年12月1日，国家市场监督管理总局、国家标准化管理委员会发布了强制性国家标准《港口作业安全要求 第3部分：危险货物集装箱》（GB 16994.3-2021，以下简称“新国标”）。新国标规定</w:t>
            </w:r>
            <w:r>
              <w:rPr>
                <w:rFonts w:hint="eastAsia" w:ascii="Times New Roman" w:hAnsi="Times New Roman" w:eastAsia="宋体"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在满足相应条件要求下，装载GB6944-2012中第8类、9类固态危险货物的集装箱，当所载货物</w:t>
            </w:r>
            <w:r>
              <w:rPr>
                <w:rFonts w:hint="eastAsia" w:cs="Times New Roman"/>
                <w:caps w:val="0"/>
                <w:color w:val="auto"/>
                <w:sz w:val="24"/>
                <w:szCs w:val="24"/>
                <w:highlight w:val="none"/>
                <w:u w:val="none" w:color="auto"/>
                <w:lang w:val="en-US" w:eastAsia="zh-CN"/>
              </w:rPr>
              <w:t>无</w:t>
            </w:r>
            <w:r>
              <w:rPr>
                <w:rFonts w:hint="default" w:ascii="Times New Roman" w:hAnsi="Times New Roman" w:eastAsia="宋体" w:cs="Times New Roman"/>
                <w:caps w:val="0"/>
                <w:color w:val="auto"/>
                <w:sz w:val="24"/>
                <w:szCs w:val="24"/>
                <w:highlight w:val="none"/>
                <w:u w:val="none" w:color="auto"/>
                <w:lang w:val="en-US" w:eastAsia="zh-CN"/>
              </w:rPr>
              <w:t>危险性、包装类非I、</w:t>
            </w:r>
            <w:r>
              <w:rPr>
                <w:rFonts w:hint="eastAsia" w:cs="Times New Roman"/>
                <w:caps w:val="0"/>
                <w:color w:val="auto"/>
                <w:sz w:val="24"/>
                <w:szCs w:val="24"/>
                <w:highlight w:val="none"/>
                <w:u w:val="none" w:color="auto"/>
                <w:lang w:val="en-US" w:eastAsia="zh-CN"/>
              </w:rPr>
              <w:t>Ⅱ类</w:t>
            </w:r>
            <w:r>
              <w:rPr>
                <w:rFonts w:hint="default" w:ascii="Times New Roman" w:hAnsi="Times New Roman" w:eastAsia="宋体" w:cs="Times New Roman"/>
                <w:caps w:val="0"/>
                <w:color w:val="auto"/>
                <w:sz w:val="24"/>
                <w:szCs w:val="24"/>
                <w:highlight w:val="none"/>
                <w:u w:val="none" w:color="auto"/>
                <w:lang w:val="en-US" w:eastAsia="zh-CN"/>
              </w:rPr>
              <w:t>且不属于危险化学品时，可与普通货物集装箱混堆；同时规定装载锂金属电池组、锂离子电池组的危险货物集装箱不应与易燃易爆危险货物集装箱堆存在同一个堆存区域</w:t>
            </w:r>
            <w:r>
              <w:rPr>
                <w:rFonts w:hint="eastAsia" w:ascii="Times New Roman" w:hAnsi="Times New Roman" w:eastAsia="宋体" w:cs="Times New Roman"/>
                <w:caps w:val="0"/>
                <w:color w:val="auto"/>
                <w:sz w:val="24"/>
                <w:szCs w:val="24"/>
                <w:highlight w:val="none"/>
                <w:u w:val="none" w:color="auto"/>
                <w:lang w:val="en-US" w:eastAsia="zh-CN"/>
              </w:rPr>
              <w:t>。</w:t>
            </w:r>
          </w:p>
          <w:p w14:paraId="41AD775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4"/>
                <w:highlight w:val="none"/>
                <w:u w:val="none" w:color="auto"/>
                <w:lang w:val="en-US" w:eastAsia="zh-CN"/>
              </w:rPr>
            </w:pPr>
            <w:r>
              <w:rPr>
                <w:rFonts w:hint="eastAsia" w:ascii="Times New Roman" w:hAnsi="Times New Roman" w:eastAsia="宋体" w:cs="Times New Roman"/>
                <w:caps w:val="0"/>
                <w:color w:val="auto"/>
                <w:sz w:val="24"/>
                <w:szCs w:val="24"/>
                <w:highlight w:val="none"/>
                <w:u w:val="none" w:color="auto"/>
                <w:lang w:val="en-US" w:eastAsia="zh-CN"/>
              </w:rPr>
              <w:t>根据新国标规定，并结合公司生产作业实际，北集司拟将以蓄电池类、汽车类（电池汽车、燃油汽车）等为主的第8类、9类部分固态危险货物集装箱调整至普通货物集装箱堆场指定堆场堆存。项目主要利用现有大榄坪南作业区3#、4#、5#泊位后方堆场的3G、3F、4G、4F、5G、5F普通货物集装箱堆场改造为混堆危险货物集装箱的混堆场，项目建设不改变总吞吐量和危险货物吞吐量。</w:t>
            </w:r>
          </w:p>
          <w:p w14:paraId="7FC4716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根据《中华人民共和国环境保护法》和《中华人民共和国环境影响评价法》等有关法律法规以及《建设项目环境影响评价分类管理名录》（2021年版），项目属于“</w:t>
            </w:r>
            <w:r>
              <w:rPr>
                <w:rFonts w:hint="default" w:ascii="Times New Roman" w:hAnsi="Times New Roman" w:eastAsia="宋体" w:cs="Times New Roman"/>
                <w:color w:val="auto"/>
                <w:sz w:val="24"/>
                <w:szCs w:val="24"/>
                <w:highlight w:val="none"/>
                <w:u w:val="none" w:color="auto"/>
                <w:lang w:val="en-US" w:eastAsia="zh-CN"/>
              </w:rPr>
              <w:t>五十三、装卸搬运和仓储业 59”中“149、危险品仓储 594（不含加油站的油库；不含加气站的气库）——其他（含有毒、有害、危险品的仓储；含液化天然气库）</w:t>
            </w:r>
            <w:r>
              <w:rPr>
                <w:rFonts w:hint="default" w:ascii="Times New Roman" w:hAnsi="Times New Roman" w:eastAsia="宋体" w:cs="Times New Roman"/>
                <w:b w:val="0"/>
                <w:bCs w:val="0"/>
                <w:color w:val="auto"/>
                <w:sz w:val="24"/>
                <w:szCs w:val="24"/>
                <w:highlight w:val="none"/>
                <w:u w:val="none" w:color="auto"/>
                <w:lang w:val="en-US" w:eastAsia="zh-CN"/>
              </w:rPr>
              <w:t>”，应该编制环境影响报告表。</w:t>
            </w:r>
          </w:p>
          <w:p w14:paraId="46274D5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2</w:t>
            </w:r>
            <w:r>
              <w:rPr>
                <w:rFonts w:hint="default" w:ascii="Times New Roman" w:hAnsi="Times New Roman" w:eastAsia="宋体" w:cs="Times New Roman"/>
                <w:b/>
                <w:bCs/>
                <w:color w:val="auto"/>
                <w:sz w:val="24"/>
                <w:szCs w:val="24"/>
                <w:highlight w:val="none"/>
                <w:u w:val="none" w:color="auto"/>
              </w:rPr>
              <w:t>、项目概况</w:t>
            </w:r>
          </w:p>
          <w:p w14:paraId="5203A3A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u w:val="none" w:color="auto"/>
              </w:rPr>
            </w:pPr>
            <w:r>
              <w:rPr>
                <w:rFonts w:hint="default" w:ascii="Times New Roman" w:hAnsi="Times New Roman" w:eastAsia="宋体" w:cs="Times New Roman"/>
                <w:color w:val="auto"/>
                <w:kern w:val="0"/>
                <w:sz w:val="24"/>
                <w:highlight w:val="none"/>
                <w:u w:val="none" w:color="auto"/>
              </w:rPr>
              <w:t>项目名称：</w:t>
            </w:r>
            <w:r>
              <w:rPr>
                <w:rFonts w:hint="default" w:ascii="Times New Roman" w:hAnsi="Times New Roman" w:eastAsia="宋体" w:cs="Times New Roman"/>
                <w:b w:val="0"/>
                <w:bCs w:val="0"/>
                <w:color w:val="auto"/>
                <w:sz w:val="24"/>
                <w:szCs w:val="24"/>
                <w:highlight w:val="none"/>
                <w:u w:val="none" w:color="auto"/>
                <w:lang w:val="en-US" w:eastAsia="zh-CN"/>
              </w:rPr>
              <w:t>广西北部湾国际集装箱码头有限公司8类、9类固态危险货物集装箱混堆堆场项目</w:t>
            </w:r>
          </w:p>
          <w:p w14:paraId="20E5BA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kern w:val="0"/>
                <w:sz w:val="24"/>
                <w:highlight w:val="none"/>
                <w:u w:val="none" w:color="auto"/>
              </w:rPr>
              <w:t>建设单位：</w:t>
            </w:r>
            <w:r>
              <w:rPr>
                <w:rFonts w:hint="default" w:ascii="Times New Roman" w:hAnsi="Times New Roman" w:eastAsia="宋体" w:cs="Times New Roman"/>
                <w:b w:val="0"/>
                <w:bCs w:val="0"/>
                <w:color w:val="auto"/>
                <w:sz w:val="24"/>
                <w:szCs w:val="24"/>
                <w:highlight w:val="none"/>
                <w:u w:val="none" w:color="auto"/>
                <w:lang w:val="en-US" w:eastAsia="zh-CN"/>
              </w:rPr>
              <w:t>广西北部湾国际集装箱码头有限公司</w:t>
            </w:r>
          </w:p>
          <w:p w14:paraId="5910B29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highlight w:val="none"/>
                <w:u w:val="none" w:color="auto"/>
                <w:lang w:eastAsia="zh-CN"/>
              </w:rPr>
            </w:pPr>
            <w:r>
              <w:rPr>
                <w:rFonts w:hint="default" w:ascii="Times New Roman" w:hAnsi="Times New Roman" w:eastAsia="宋体" w:cs="Times New Roman"/>
                <w:color w:val="auto"/>
                <w:kern w:val="0"/>
                <w:sz w:val="24"/>
                <w:highlight w:val="none"/>
                <w:u w:val="none" w:color="auto"/>
              </w:rPr>
              <w:t>建设性质：</w:t>
            </w:r>
            <w:r>
              <w:rPr>
                <w:rFonts w:hint="eastAsia" w:ascii="Times New Roman" w:hAnsi="Times New Roman" w:eastAsia="宋体" w:cs="Times New Roman"/>
                <w:color w:val="auto"/>
                <w:kern w:val="0"/>
                <w:sz w:val="24"/>
                <w:highlight w:val="none"/>
                <w:u w:val="none" w:color="auto"/>
                <w:lang w:val="en-US" w:eastAsia="zh-CN"/>
              </w:rPr>
              <w:t>改</w:t>
            </w:r>
            <w:r>
              <w:rPr>
                <w:rFonts w:hint="default" w:ascii="Times New Roman" w:hAnsi="Times New Roman" w:eastAsia="宋体" w:cs="Times New Roman"/>
                <w:color w:val="auto"/>
                <w:kern w:val="0"/>
                <w:sz w:val="24"/>
                <w:highlight w:val="none"/>
                <w:u w:val="none" w:color="auto"/>
                <w:lang w:eastAsia="zh-CN"/>
              </w:rPr>
              <w:t>建</w:t>
            </w:r>
          </w:p>
          <w:p w14:paraId="201D240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bCs/>
                <w:strike w:val="0"/>
                <w:dstrike w:val="0"/>
                <w:color w:val="auto"/>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rPr>
              <w:t>项目地址：</w:t>
            </w:r>
            <w:r>
              <w:rPr>
                <w:rFonts w:hint="default" w:ascii="Times New Roman" w:hAnsi="Times New Roman" w:eastAsia="宋体" w:cs="Times New Roman"/>
                <w:strike w:val="0"/>
                <w:dstrike w:val="0"/>
                <w:color w:val="auto"/>
                <w:sz w:val="24"/>
                <w:szCs w:val="24"/>
                <w:highlight w:val="none"/>
                <w:u w:val="none" w:color="auto"/>
                <w:lang w:val="en-US" w:eastAsia="zh-CN"/>
              </w:rPr>
              <w:t>广西北部湾国际集装箱码头有限公司大榄坪南作业区</w:t>
            </w:r>
            <w:r>
              <w:rPr>
                <w:rFonts w:hint="eastAsia" w:ascii="Times New Roman" w:hAnsi="Times New Roman" w:eastAsia="宋体" w:cs="Times New Roman"/>
                <w:strike w:val="0"/>
                <w:dstrike w:val="0"/>
                <w:color w:val="auto"/>
                <w:sz w:val="24"/>
                <w:szCs w:val="24"/>
                <w:highlight w:val="none"/>
                <w:u w:val="none" w:color="auto"/>
                <w:lang w:val="en-US" w:eastAsia="zh-CN"/>
              </w:rPr>
              <w:t>3#、4#、5#</w:t>
            </w:r>
            <w:r>
              <w:rPr>
                <w:rFonts w:hint="default" w:ascii="Times New Roman" w:hAnsi="Times New Roman" w:eastAsia="宋体" w:cs="Times New Roman"/>
                <w:strike w:val="0"/>
                <w:dstrike w:val="0"/>
                <w:color w:val="auto"/>
                <w:sz w:val="24"/>
                <w:szCs w:val="24"/>
                <w:highlight w:val="none"/>
                <w:u w:val="none" w:color="auto"/>
                <w:lang w:val="en-US" w:eastAsia="zh-CN"/>
              </w:rPr>
              <w:t>泊位后方堆场</w:t>
            </w:r>
            <w:r>
              <w:rPr>
                <w:rFonts w:hint="eastAsia" w:ascii="Times New Roman" w:hAnsi="Times New Roman" w:eastAsia="宋体" w:cs="Times New Roman"/>
                <w:strike w:val="0"/>
                <w:dstrike w:val="0"/>
                <w:color w:val="auto"/>
                <w:sz w:val="24"/>
                <w:szCs w:val="24"/>
                <w:highlight w:val="none"/>
                <w:u w:val="none" w:color="auto"/>
                <w:lang w:val="en-US" w:eastAsia="zh-CN"/>
              </w:rPr>
              <w:t>内。</w:t>
            </w:r>
          </w:p>
          <w:p w14:paraId="337F00B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highlight w:val="none"/>
                <w:u w:val="none" w:color="auto"/>
              </w:rPr>
              <w:t>占地面积：</w:t>
            </w:r>
            <w:r>
              <w:rPr>
                <w:rFonts w:hint="eastAsia" w:ascii="Times New Roman" w:hAnsi="Times New Roman" w:eastAsia="宋体" w:cs="Times New Roman"/>
                <w:color w:val="auto"/>
                <w:sz w:val="24"/>
                <w:szCs w:val="24"/>
                <w:highlight w:val="none"/>
                <w:u w:val="none" w:color="auto"/>
                <w:lang w:val="en-US" w:eastAsia="zh-CN"/>
              </w:rPr>
              <w:t>30800</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rPr>
              <w:t>。</w:t>
            </w:r>
          </w:p>
          <w:p w14:paraId="261806A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rPr>
              <w:t>项目总投资：</w:t>
            </w:r>
            <w:r>
              <w:rPr>
                <w:rFonts w:hint="eastAsia"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val="en-US" w:eastAsia="zh-CN"/>
              </w:rPr>
              <w:t>0</w:t>
            </w:r>
            <w:r>
              <w:rPr>
                <w:rFonts w:hint="default" w:ascii="Times New Roman" w:hAnsi="Times New Roman" w:eastAsia="宋体" w:cs="Times New Roman"/>
                <w:color w:val="auto"/>
                <w:sz w:val="24"/>
                <w:highlight w:val="none"/>
                <w:u w:val="none" w:color="auto"/>
              </w:rPr>
              <w:t>万元人民币</w:t>
            </w:r>
            <w:r>
              <w:rPr>
                <w:rFonts w:hint="eastAsia" w:cs="Times New Roman"/>
                <w:color w:val="auto"/>
                <w:sz w:val="24"/>
                <w:highlight w:val="none"/>
                <w:u w:val="none" w:color="auto"/>
                <w:lang w:eastAsia="zh-CN"/>
              </w:rPr>
              <w:t>。</w:t>
            </w:r>
          </w:p>
          <w:p w14:paraId="77A57BB1">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3</w:t>
            </w:r>
            <w:r>
              <w:rPr>
                <w:rFonts w:hint="default" w:ascii="Times New Roman" w:hAnsi="Times New Roman" w:eastAsia="宋体" w:cs="Times New Roman"/>
                <w:b/>
                <w:bCs/>
                <w:color w:val="auto"/>
                <w:sz w:val="24"/>
                <w:szCs w:val="24"/>
                <w:highlight w:val="none"/>
                <w:u w:val="none" w:color="auto"/>
              </w:rPr>
              <w:t>、项目工程内容</w:t>
            </w:r>
          </w:p>
          <w:p w14:paraId="763DD2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aps w:val="0"/>
                <w:color w:val="auto"/>
                <w:sz w:val="24"/>
                <w:szCs w:val="24"/>
                <w:highlight w:val="none"/>
                <w:u w:val="none" w:color="auto"/>
                <w:lang w:val="en-US" w:eastAsia="zh-CN"/>
              </w:rPr>
              <w:t>本项目主要利用现有大榄坪南作业区3#、4#、5#泊位后方堆场的3G、3F、4G、4F、5G、5F普通货物集装箱堆场改造为混堆危险货物集装箱的混堆场，占地面积30800m</w:t>
            </w:r>
            <w:r>
              <w:rPr>
                <w:rFonts w:hint="default" w:ascii="Times New Roman" w:hAnsi="Times New Roman" w:eastAsia="宋体" w:cs="Times New Roman"/>
                <w:caps w:val="0"/>
                <w:color w:val="auto"/>
                <w:sz w:val="24"/>
                <w:szCs w:val="24"/>
                <w:highlight w:val="none"/>
                <w:u w:val="none" w:color="auto"/>
                <w:vertAlign w:val="superscript"/>
                <w:lang w:val="en-US" w:eastAsia="zh-CN"/>
              </w:rPr>
              <w:t>2</w:t>
            </w:r>
            <w:r>
              <w:rPr>
                <w:rFonts w:hint="default" w:ascii="Times New Roman" w:hAnsi="Times New Roman" w:eastAsia="宋体" w:cs="Times New Roman"/>
                <w:caps w:val="0"/>
                <w:color w:val="auto"/>
                <w:sz w:val="24"/>
                <w:szCs w:val="24"/>
                <w:highlight w:val="none"/>
                <w:u w:val="none" w:color="auto"/>
                <w:lang w:val="en-US" w:eastAsia="zh-CN"/>
              </w:rPr>
              <w:t>，混堆货物主要为8类、9类固态危险货物，混堆危险货物UN号为2216</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2807</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2990</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3028</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3072</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3166</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3171</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3268</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3316</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3335</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3363</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3496</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3499</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3508</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3536</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1759</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1845</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3077</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3090</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3091</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3147</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3259</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3260</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3261</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3262</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3263</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3359</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3480</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3481</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3509</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3530</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3551</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3552</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3556</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3557</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3558</w:t>
            </w:r>
            <w:r>
              <w:rPr>
                <w:rFonts w:hint="eastAsia"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lang w:val="en-US" w:eastAsia="zh-CN"/>
              </w:rPr>
              <w:t>3559，共</w:t>
            </w:r>
            <w:r>
              <w:rPr>
                <w:rFonts w:hint="eastAsia" w:cs="Times New Roman"/>
                <w:caps w:val="0"/>
                <w:color w:val="auto"/>
                <w:sz w:val="24"/>
                <w:szCs w:val="24"/>
                <w:highlight w:val="none"/>
                <w:u w:val="none" w:color="auto"/>
                <w:lang w:val="en-US" w:eastAsia="zh-CN"/>
              </w:rPr>
              <w:t>37</w:t>
            </w:r>
            <w:r>
              <w:rPr>
                <w:rFonts w:hint="default" w:ascii="Times New Roman" w:hAnsi="Times New Roman" w:eastAsia="宋体" w:cs="Times New Roman"/>
                <w:caps w:val="0"/>
                <w:color w:val="auto"/>
                <w:sz w:val="24"/>
                <w:szCs w:val="24"/>
                <w:highlight w:val="none"/>
                <w:u w:val="none" w:color="auto"/>
                <w:lang w:val="en-US" w:eastAsia="zh-CN"/>
              </w:rPr>
              <w:t>种，均属2025年核发《港口危险货物作业附证》中的货种</w:t>
            </w:r>
            <w:r>
              <w:rPr>
                <w:rFonts w:hint="default" w:ascii="Times New Roman" w:hAnsi="Times New Roman" w:eastAsia="宋体" w:cs="Times New Roman"/>
                <w:color w:val="auto"/>
                <w:sz w:val="24"/>
                <w:szCs w:val="24"/>
                <w:highlight w:val="none"/>
                <w:u w:val="none" w:color="auto"/>
              </w:rPr>
              <w:t>。</w:t>
            </w:r>
            <w:r>
              <w:rPr>
                <w:rFonts w:hint="eastAsia" w:cs="Times New Roman"/>
                <w:color w:val="auto"/>
                <w:sz w:val="24"/>
                <w:szCs w:val="24"/>
                <w:highlight w:val="none"/>
                <w:u w:val="single" w:color="auto"/>
                <w:lang w:val="en-US" w:eastAsia="zh-CN"/>
              </w:rPr>
              <w:t>项目</w:t>
            </w:r>
            <w:r>
              <w:rPr>
                <w:rFonts w:hint="default" w:ascii="Times New Roman" w:hAnsi="Times New Roman" w:eastAsia="宋体" w:cs="Times New Roman"/>
                <w:color w:val="auto"/>
                <w:sz w:val="24"/>
                <w:szCs w:val="24"/>
                <w:highlight w:val="none"/>
                <w:u w:val="single" w:color="auto"/>
                <w:lang w:val="en-US" w:eastAsia="zh-CN"/>
              </w:rPr>
              <w:t>堆场</w:t>
            </w:r>
            <w:r>
              <w:rPr>
                <w:rFonts w:hint="eastAsia" w:cs="Times New Roman"/>
                <w:color w:val="auto"/>
                <w:sz w:val="24"/>
                <w:szCs w:val="24"/>
                <w:highlight w:val="none"/>
                <w:u w:val="single" w:color="auto"/>
                <w:lang w:val="en-US" w:eastAsia="zh-CN"/>
              </w:rPr>
              <w:t>不</w:t>
            </w:r>
            <w:r>
              <w:rPr>
                <w:rFonts w:hint="default" w:ascii="Times New Roman" w:hAnsi="Times New Roman" w:eastAsia="宋体" w:cs="Times New Roman"/>
                <w:color w:val="auto"/>
                <w:sz w:val="24"/>
                <w:szCs w:val="24"/>
                <w:highlight w:val="none"/>
                <w:u w:val="single" w:color="auto"/>
                <w:lang w:val="en-US" w:eastAsia="zh-CN"/>
              </w:rPr>
              <w:t>进行拆洗箱作业</w:t>
            </w:r>
            <w:r>
              <w:rPr>
                <w:rFonts w:hint="eastAsia" w:cs="Times New Roman"/>
                <w:color w:val="auto"/>
                <w:sz w:val="24"/>
                <w:szCs w:val="24"/>
                <w:highlight w:val="none"/>
                <w:u w:val="single" w:color="auto"/>
                <w:lang w:val="en-US" w:eastAsia="zh-CN"/>
              </w:rPr>
              <w:t>，项目混堆危险货物集装箱不在场内进行维修</w:t>
            </w: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rPr>
              <w:t>项目主要工程建设内容见下表</w:t>
            </w:r>
            <w:r>
              <w:rPr>
                <w:rFonts w:hint="default"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1。</w:t>
            </w:r>
          </w:p>
          <w:p w14:paraId="09A4D6B3">
            <w:pPr>
              <w:keepNext w:val="0"/>
              <w:keepLines w:val="0"/>
              <w:pageBreakBefore w:val="0"/>
              <w:suppressLineNumbers w:val="0"/>
              <w:kinsoku/>
              <w:wordWrap/>
              <w:overflowPunct/>
              <w:topLinePunct w:val="0"/>
              <w:bidi w:val="0"/>
              <w:spacing w:before="0" w:beforeAutospacing="0" w:after="0" w:afterAutospacing="0" w:line="240" w:lineRule="auto"/>
              <w:ind w:left="0" w:right="0" w:firstLine="422" w:firstLineChars="200"/>
              <w:jc w:val="center"/>
              <w:outlineLvl w:val="9"/>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w:t>
            </w:r>
            <w:r>
              <w:rPr>
                <w:rFonts w:hint="default" w:ascii="Times New Roman" w:hAnsi="Times New Roman" w:eastAsia="宋体" w:cs="Times New Roman"/>
                <w:b/>
                <w:bCs/>
                <w:color w:val="auto"/>
                <w:sz w:val="21"/>
                <w:szCs w:val="21"/>
                <w:highlight w:val="none"/>
                <w:u w:val="none" w:color="auto"/>
                <w:lang w:val="en-US" w:eastAsia="zh-CN"/>
              </w:rPr>
              <w:t>2</w:t>
            </w:r>
            <w:r>
              <w:rPr>
                <w:rFonts w:hint="default" w:ascii="Times New Roman" w:hAnsi="Times New Roman" w:eastAsia="宋体" w:cs="Times New Roman"/>
                <w:b/>
                <w:bCs/>
                <w:color w:val="auto"/>
                <w:sz w:val="21"/>
                <w:szCs w:val="21"/>
                <w:highlight w:val="none"/>
                <w:u w:val="none" w:color="auto"/>
              </w:rPr>
              <w:t>-</w:t>
            </w:r>
            <w:r>
              <w:rPr>
                <w:rFonts w:hint="default" w:ascii="Times New Roman" w:hAnsi="Times New Roman" w:eastAsia="宋体" w:cs="Times New Roman"/>
                <w:b/>
                <w:bCs/>
                <w:color w:val="auto"/>
                <w:sz w:val="21"/>
                <w:szCs w:val="21"/>
                <w:highlight w:val="none"/>
                <w:u w:val="none" w:color="auto"/>
                <w:lang w:val="en-US" w:eastAsia="zh-CN"/>
              </w:rPr>
              <w:t>1</w:t>
            </w:r>
            <w:r>
              <w:rPr>
                <w:rFonts w:hint="default" w:ascii="Times New Roman" w:hAnsi="Times New Roman" w:eastAsia="宋体" w:cs="Times New Roman"/>
                <w:b/>
                <w:bCs/>
                <w:color w:val="auto"/>
                <w:sz w:val="21"/>
                <w:szCs w:val="21"/>
                <w:highlight w:val="none"/>
                <w:u w:val="none" w:color="auto"/>
              </w:rPr>
              <w:t>项目主要工程内容一览表</w:t>
            </w:r>
          </w:p>
          <w:tbl>
            <w:tblPr>
              <w:tblStyle w:val="143"/>
              <w:tblW w:w="5000" w:type="pct"/>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152"/>
              <w:gridCol w:w="4405"/>
              <w:gridCol w:w="1978"/>
            </w:tblGrid>
            <w:tr w14:paraId="14DA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11" w:type="dxa"/>
                  <w:gridSpan w:val="2"/>
                  <w:noWrap w:val="0"/>
                  <w:vAlign w:val="center"/>
                </w:tcPr>
                <w:p w14:paraId="2D439758">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lang w:val="en-US" w:eastAsia="zh-CN"/>
                    </w:rPr>
                    <w:t>工程</w:t>
                  </w:r>
                  <w:r>
                    <w:rPr>
                      <w:rFonts w:hint="default" w:ascii="Times New Roman" w:hAnsi="Times New Roman" w:eastAsia="宋体" w:cs="Times New Roman"/>
                      <w:b/>
                      <w:bCs/>
                      <w:color w:val="auto"/>
                      <w:sz w:val="21"/>
                      <w:szCs w:val="21"/>
                      <w:highlight w:val="none"/>
                      <w:u w:val="none" w:color="auto"/>
                    </w:rPr>
                    <w:t>内容</w:t>
                  </w:r>
                </w:p>
              </w:tc>
              <w:tc>
                <w:tcPr>
                  <w:tcW w:w="4405" w:type="dxa"/>
                  <w:noWrap w:val="0"/>
                  <w:vAlign w:val="center"/>
                </w:tcPr>
                <w:p w14:paraId="07EA807D">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工程建设内容及规模</w:t>
                  </w:r>
                </w:p>
              </w:tc>
              <w:tc>
                <w:tcPr>
                  <w:tcW w:w="1978" w:type="dxa"/>
                  <w:noWrap w:val="0"/>
                  <w:vAlign w:val="center"/>
                </w:tcPr>
                <w:p w14:paraId="7C193634">
                  <w:pPr>
                    <w:keepNext w:val="0"/>
                    <w:keepLines w:val="0"/>
                    <w:pageBreakBefore w:val="0"/>
                    <w:kinsoku/>
                    <w:wordWrap/>
                    <w:overflowPunct/>
                    <w:topLinePunct w:val="0"/>
                    <w:autoSpaceDE/>
                    <w:autoSpaceDN/>
                    <w:bidi w:val="0"/>
                    <w:adjustRightInd w:val="0"/>
                    <w:snapToGrid w:val="0"/>
                    <w:spacing w:beforeAutospacing="0" w:line="240" w:lineRule="auto"/>
                    <w:ind w:right="0" w:firstLine="0" w:firstLineChars="0"/>
                    <w:jc w:val="center"/>
                    <w:textAlignment w:val="auto"/>
                    <w:outlineLvl w:val="9"/>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备注</w:t>
                  </w:r>
                </w:p>
              </w:tc>
            </w:tr>
            <w:tr w14:paraId="08E8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11" w:type="dxa"/>
                  <w:gridSpan w:val="2"/>
                  <w:noWrap w:val="0"/>
                  <w:vAlign w:val="center"/>
                </w:tcPr>
                <w:p w14:paraId="52D462F1">
                  <w:pPr>
                    <w:pStyle w:val="144"/>
                    <w:spacing w:before="69" w:line="221"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4"/>
                      <w:highlight w:val="none"/>
                      <w:u w:val="none" w:color="auto"/>
                    </w:rPr>
                    <w:t>主体</w:t>
                  </w:r>
                  <w:r>
                    <w:rPr>
                      <w:rFonts w:hint="default" w:ascii="Times New Roman" w:hAnsi="Times New Roman" w:eastAsia="宋体" w:cs="Times New Roman"/>
                      <w:color w:val="auto"/>
                      <w:spacing w:val="-5"/>
                      <w:highlight w:val="none"/>
                      <w:u w:val="none" w:color="auto"/>
                    </w:rPr>
                    <w:t>工程</w:t>
                  </w:r>
                </w:p>
              </w:tc>
              <w:tc>
                <w:tcPr>
                  <w:tcW w:w="4405" w:type="dxa"/>
                  <w:noWrap w:val="0"/>
                  <w:vAlign w:val="center"/>
                </w:tcPr>
                <w:p w14:paraId="3E0A98B8">
                  <w:pPr>
                    <w:pStyle w:val="144"/>
                    <w:spacing w:before="32" w:line="236" w:lineRule="auto"/>
                    <w:ind w:left="0" w:leftChars="0" w:right="65" w:rightChars="0" w:firstLine="0" w:firstLineChars="0"/>
                    <w:jc w:val="center"/>
                    <w:rPr>
                      <w:rFonts w:hint="default" w:ascii="Times New Roman" w:hAnsi="Times New Roman" w:eastAsia="宋体" w:cs="Times New Roman"/>
                      <w:color w:val="auto"/>
                      <w:highlight w:val="none"/>
                      <w:u w:val="none" w:color="auto"/>
                      <w:lang w:val="en-US"/>
                    </w:rPr>
                  </w:pPr>
                  <w:r>
                    <w:rPr>
                      <w:rFonts w:hint="eastAsia" w:ascii="Times New Roman" w:hAnsi="Times New Roman" w:eastAsia="宋体" w:cs="Times New Roman"/>
                      <w:color w:val="auto"/>
                      <w:kern w:val="2"/>
                      <w:sz w:val="21"/>
                      <w:szCs w:val="21"/>
                      <w:highlight w:val="none"/>
                      <w:u w:val="none" w:color="auto"/>
                      <w:lang w:val="en-US" w:eastAsia="zh-CN" w:bidi="ar-SA"/>
                    </w:rPr>
                    <w:t>项目</w:t>
                  </w:r>
                  <w:r>
                    <w:rPr>
                      <w:rFonts w:hint="eastAsia" w:ascii="Times New Roman" w:hAnsi="Times New Roman" w:cs="Times New Roman"/>
                      <w:color w:val="auto"/>
                      <w:kern w:val="2"/>
                      <w:sz w:val="21"/>
                      <w:szCs w:val="21"/>
                      <w:highlight w:val="none"/>
                      <w:u w:val="none" w:color="auto"/>
                      <w:lang w:val="en-US" w:eastAsia="zh-CN" w:bidi="ar-SA"/>
                    </w:rPr>
                    <w:t>拟利用现有</w:t>
                  </w:r>
                  <w:r>
                    <w:rPr>
                      <w:rFonts w:hint="eastAsia" w:ascii="Times New Roman" w:hAnsi="Times New Roman" w:eastAsia="宋体" w:cs="Times New Roman"/>
                      <w:color w:val="auto"/>
                      <w:kern w:val="2"/>
                      <w:sz w:val="21"/>
                      <w:szCs w:val="21"/>
                      <w:highlight w:val="none"/>
                      <w:u w:val="none" w:color="auto"/>
                      <w:lang w:val="en-US" w:eastAsia="zh-CN" w:bidi="ar-SA"/>
                    </w:rPr>
                    <w:t>3G、3F、4G、4F、5G、5F普通货物集装箱堆场混堆</w:t>
                  </w:r>
                  <w:r>
                    <w:rPr>
                      <w:rFonts w:hint="eastAsia" w:ascii="Times New Roman" w:hAnsi="Times New Roman" w:cs="Times New Roman"/>
                      <w:color w:val="auto"/>
                      <w:kern w:val="2"/>
                      <w:sz w:val="21"/>
                      <w:szCs w:val="21"/>
                      <w:highlight w:val="none"/>
                      <w:u w:val="none" w:color="auto"/>
                      <w:lang w:val="en-US" w:eastAsia="zh-CN" w:bidi="ar-SA"/>
                    </w:rPr>
                    <w:t>37</w:t>
                  </w:r>
                  <w:r>
                    <w:rPr>
                      <w:rFonts w:hint="eastAsia" w:ascii="Times New Roman" w:hAnsi="Times New Roman" w:eastAsia="宋体" w:cs="Times New Roman"/>
                      <w:color w:val="auto"/>
                      <w:kern w:val="2"/>
                      <w:sz w:val="21"/>
                      <w:szCs w:val="21"/>
                      <w:highlight w:val="none"/>
                      <w:u w:val="none" w:color="auto"/>
                      <w:lang w:val="en-US" w:eastAsia="zh-CN" w:bidi="ar-SA"/>
                    </w:rPr>
                    <w:t>种8类、9类固态危险货物集装箱，混堆危险货物UN号为2216、2807、2990、3028、3072、3166、3171、3268、3316、3335、3363、3496、3499、3508、3536、1759、1845、3077、3090、3091、3147、3259、3260、3261、3262、3263、3359、3480、3481、3509、3530、3551、3552、3556、3557、3558、3559。</w:t>
                  </w:r>
                  <w:r>
                    <w:rPr>
                      <w:rFonts w:hint="eastAsia" w:ascii="Times New Roman" w:hAnsi="Times New Roman" w:cs="Times New Roman"/>
                      <w:color w:val="auto"/>
                      <w:kern w:val="2"/>
                      <w:sz w:val="21"/>
                      <w:szCs w:val="21"/>
                      <w:highlight w:val="none"/>
                      <w:u w:val="none" w:color="auto"/>
                      <w:lang w:val="en-US" w:eastAsia="zh-CN" w:bidi="ar-SA"/>
                    </w:rPr>
                    <w:t>现有6个</w:t>
                  </w:r>
                  <w:r>
                    <w:rPr>
                      <w:rFonts w:hint="eastAsia" w:ascii="Times New Roman" w:hAnsi="Times New Roman" w:eastAsia="宋体" w:cs="Times New Roman"/>
                      <w:color w:val="auto"/>
                      <w:kern w:val="2"/>
                      <w:sz w:val="21"/>
                      <w:szCs w:val="21"/>
                      <w:highlight w:val="none"/>
                      <w:u w:val="none" w:color="auto"/>
                      <w:lang w:val="en-US" w:eastAsia="zh-CN" w:bidi="ar-SA"/>
                    </w:rPr>
                    <w:t>堆场</w:t>
                  </w:r>
                  <w:r>
                    <w:rPr>
                      <w:rFonts w:hint="default" w:ascii="Times New Roman" w:hAnsi="Times New Roman" w:eastAsia="宋体" w:cs="Times New Roman"/>
                      <w:color w:val="auto"/>
                      <w:kern w:val="2"/>
                      <w:sz w:val="21"/>
                      <w:szCs w:val="21"/>
                      <w:highlight w:val="none"/>
                      <w:u w:val="none" w:color="auto"/>
                      <w:lang w:val="en-US" w:eastAsia="zh-CN" w:bidi="ar-SA"/>
                    </w:rPr>
                    <w:t>占地面积30800m</w:t>
                  </w:r>
                  <w:r>
                    <w:rPr>
                      <w:rFonts w:hint="default" w:ascii="Times New Roman" w:hAnsi="Times New Roman" w:eastAsia="宋体" w:cs="Times New Roman"/>
                      <w:color w:val="auto"/>
                      <w:kern w:val="2"/>
                      <w:sz w:val="21"/>
                      <w:szCs w:val="21"/>
                      <w:highlight w:val="none"/>
                      <w:u w:val="none" w:color="auto"/>
                      <w:vertAlign w:val="superscript"/>
                      <w:lang w:val="en-US" w:eastAsia="zh-CN" w:bidi="ar-SA"/>
                    </w:rPr>
                    <w:t>2</w:t>
                  </w:r>
                  <w:r>
                    <w:rPr>
                      <w:rFonts w:hint="default" w:ascii="Times New Roman" w:hAnsi="Times New Roman" w:eastAsia="宋体" w:cs="Times New Roman"/>
                      <w:color w:val="auto"/>
                      <w:kern w:val="2"/>
                      <w:sz w:val="21"/>
                      <w:szCs w:val="21"/>
                      <w:highlight w:val="none"/>
                      <w:u w:val="none" w:color="auto"/>
                      <w:lang w:val="en-US" w:eastAsia="zh-CN" w:bidi="ar-SA"/>
                    </w:rPr>
                    <w:t>，</w:t>
                  </w:r>
                  <w:r>
                    <w:rPr>
                      <w:rFonts w:hint="eastAsia" w:ascii="Times New Roman" w:hAnsi="Times New Roman" w:eastAsia="宋体" w:cs="Times New Roman"/>
                      <w:color w:val="auto"/>
                      <w:kern w:val="2"/>
                      <w:sz w:val="21"/>
                      <w:szCs w:val="21"/>
                      <w:highlight w:val="none"/>
                      <w:u w:val="none" w:color="auto"/>
                      <w:lang w:val="en-US" w:eastAsia="zh-CN" w:bidi="ar-SA"/>
                    </w:rPr>
                    <w:t>其中3G、3F堆场长220米、宽22米，4G、4F、5G、5F堆场长240米，宽22米。项目</w:t>
                  </w:r>
                  <w:r>
                    <w:rPr>
                      <w:rFonts w:hint="eastAsia" w:ascii="Times New Roman" w:hAnsi="Times New Roman" w:cs="Times New Roman"/>
                      <w:color w:val="auto"/>
                      <w:kern w:val="2"/>
                      <w:sz w:val="21"/>
                      <w:szCs w:val="21"/>
                      <w:highlight w:val="none"/>
                      <w:u w:val="none" w:color="auto"/>
                      <w:lang w:val="en-US" w:eastAsia="zh-CN" w:bidi="ar-SA"/>
                    </w:rPr>
                    <w:t>主要在现有</w:t>
                  </w:r>
                  <w:r>
                    <w:rPr>
                      <w:rFonts w:hint="eastAsia" w:ascii="Times New Roman" w:hAnsi="Times New Roman" w:eastAsia="宋体" w:cs="Times New Roman"/>
                      <w:color w:val="auto"/>
                      <w:kern w:val="2"/>
                      <w:sz w:val="21"/>
                      <w:szCs w:val="21"/>
                      <w:highlight w:val="none"/>
                      <w:u w:val="none" w:color="auto"/>
                      <w:lang w:val="en-US" w:eastAsia="zh-CN" w:bidi="ar-SA"/>
                    </w:rPr>
                    <w:t>堆场</w:t>
                  </w:r>
                  <w:r>
                    <w:rPr>
                      <w:rFonts w:hint="eastAsia" w:ascii="Times New Roman" w:hAnsi="Times New Roman" w:cs="Times New Roman"/>
                      <w:color w:val="auto"/>
                      <w:kern w:val="2"/>
                      <w:sz w:val="21"/>
                      <w:szCs w:val="21"/>
                      <w:highlight w:val="none"/>
                      <w:u w:val="none" w:color="auto"/>
                      <w:lang w:val="en-US" w:eastAsia="zh-CN" w:bidi="ar-SA"/>
                    </w:rPr>
                    <w:t>按</w:t>
                  </w:r>
                  <w:r>
                    <w:rPr>
                      <w:rFonts w:hint="eastAsia" w:ascii="Times New Roman" w:hAnsi="Times New Roman" w:eastAsia="宋体" w:cs="Times New Roman"/>
                      <w:color w:val="auto"/>
                      <w:kern w:val="2"/>
                      <w:sz w:val="21"/>
                      <w:szCs w:val="21"/>
                      <w:highlight w:val="none"/>
                      <w:u w:val="none" w:color="auto"/>
                      <w:lang w:val="en-US" w:eastAsia="zh-CN" w:bidi="ar-SA"/>
                    </w:rPr>
                    <w:t>（GB 16994.3-2021）</w:t>
                  </w:r>
                  <w:r>
                    <w:rPr>
                      <w:rFonts w:hint="eastAsia" w:ascii="Times New Roman" w:hAnsi="Times New Roman" w:cs="Times New Roman"/>
                      <w:color w:val="auto"/>
                      <w:kern w:val="2"/>
                      <w:sz w:val="21"/>
                      <w:szCs w:val="21"/>
                      <w:highlight w:val="none"/>
                      <w:u w:val="none" w:color="auto"/>
                      <w:lang w:val="en-US" w:eastAsia="zh-CN" w:bidi="ar-SA"/>
                    </w:rPr>
                    <w:t>要求</w:t>
                  </w:r>
                  <w:r>
                    <w:rPr>
                      <w:rFonts w:hint="eastAsia" w:ascii="Times New Roman" w:hAnsi="Times New Roman" w:eastAsia="宋体" w:cs="Times New Roman"/>
                      <w:color w:val="auto"/>
                      <w:kern w:val="2"/>
                      <w:sz w:val="21"/>
                      <w:szCs w:val="21"/>
                      <w:highlight w:val="none"/>
                      <w:u w:val="none" w:color="auto"/>
                      <w:lang w:val="en-US" w:eastAsia="zh-CN" w:bidi="ar-SA"/>
                    </w:rPr>
                    <w:t>增加明显的标志标识，列明货物品名，增设消防栓</w:t>
                  </w:r>
                  <w:r>
                    <w:rPr>
                      <w:rFonts w:hint="eastAsia" w:ascii="Times New Roman" w:hAnsi="Times New Roman" w:cs="Times New Roman"/>
                      <w:color w:val="auto"/>
                      <w:kern w:val="2"/>
                      <w:sz w:val="21"/>
                      <w:szCs w:val="21"/>
                      <w:highlight w:val="none"/>
                      <w:u w:val="none" w:color="auto"/>
                      <w:lang w:val="en-US" w:eastAsia="zh-CN" w:bidi="ar-SA"/>
                    </w:rPr>
                    <w:t>及</w:t>
                  </w:r>
                  <w:r>
                    <w:rPr>
                      <w:rFonts w:hint="eastAsia" w:ascii="Times New Roman" w:hAnsi="Times New Roman" w:eastAsia="宋体" w:cs="Times New Roman"/>
                      <w:color w:val="auto"/>
                      <w:kern w:val="2"/>
                      <w:sz w:val="21"/>
                      <w:szCs w:val="21"/>
                      <w:highlight w:val="none"/>
                      <w:u w:val="none" w:color="auto"/>
                      <w:lang w:val="en-US" w:eastAsia="zh-CN" w:bidi="ar-SA"/>
                    </w:rPr>
                    <w:t>灭火器</w:t>
                  </w:r>
                  <w:r>
                    <w:rPr>
                      <w:rFonts w:hint="eastAsia" w:ascii="Times New Roman" w:hAnsi="Times New Roman" w:cs="Times New Roman"/>
                      <w:color w:val="auto"/>
                      <w:kern w:val="2"/>
                      <w:sz w:val="21"/>
                      <w:szCs w:val="21"/>
                      <w:highlight w:val="none"/>
                      <w:u w:val="none" w:color="auto"/>
                      <w:lang w:val="en-US" w:eastAsia="zh-CN" w:bidi="ar-SA"/>
                    </w:rPr>
                    <w:t>等</w:t>
                  </w:r>
                  <w:r>
                    <w:rPr>
                      <w:rFonts w:hint="eastAsia" w:ascii="Times New Roman" w:hAnsi="Times New Roman" w:eastAsia="宋体" w:cs="Times New Roman"/>
                      <w:color w:val="auto"/>
                      <w:kern w:val="2"/>
                      <w:sz w:val="21"/>
                      <w:szCs w:val="21"/>
                      <w:highlight w:val="none"/>
                      <w:u w:val="none" w:color="auto"/>
                      <w:lang w:val="en-US" w:eastAsia="zh-CN" w:bidi="ar-SA"/>
                    </w:rPr>
                    <w:t>应急物资措施</w:t>
                  </w:r>
                  <w:r>
                    <w:rPr>
                      <w:rFonts w:hint="default" w:ascii="Times New Roman" w:hAnsi="Times New Roman" w:eastAsia="宋体" w:cs="Times New Roman"/>
                      <w:color w:val="auto"/>
                      <w:kern w:val="2"/>
                      <w:sz w:val="21"/>
                      <w:szCs w:val="21"/>
                      <w:highlight w:val="none"/>
                      <w:u w:val="none" w:color="auto"/>
                      <w:lang w:val="en-US" w:eastAsia="zh-CN" w:bidi="ar-SA"/>
                    </w:rPr>
                    <w:t>。</w:t>
                  </w:r>
                </w:p>
              </w:tc>
              <w:tc>
                <w:tcPr>
                  <w:tcW w:w="1978" w:type="dxa"/>
                  <w:noWrap w:val="0"/>
                  <w:vAlign w:val="center"/>
                </w:tcPr>
                <w:p w14:paraId="17B21241">
                  <w:pPr>
                    <w:pStyle w:val="144"/>
                    <w:spacing w:before="21" w:line="234" w:lineRule="auto"/>
                    <w:ind w:left="0" w:leftChars="0" w:right="65" w:rightChars="0" w:firstLine="0" w:firstLineChars="0"/>
                    <w:jc w:val="center"/>
                    <w:rPr>
                      <w:rFonts w:hint="default" w:ascii="Times New Roman" w:hAnsi="Times New Roman" w:eastAsia="宋体" w:cs="Times New Roman"/>
                      <w:color w:val="auto"/>
                      <w:spacing w:val="-1"/>
                      <w:highlight w:val="none"/>
                      <w:u w:val="none" w:color="auto"/>
                      <w:lang w:val="en-US" w:eastAsia="zh-CN"/>
                    </w:rPr>
                  </w:pPr>
                  <w:r>
                    <w:rPr>
                      <w:rFonts w:hint="eastAsia" w:ascii="Times New Roman" w:hAnsi="Times New Roman" w:cs="Times New Roman"/>
                      <w:color w:val="auto"/>
                      <w:spacing w:val="-1"/>
                      <w:highlight w:val="none"/>
                      <w:u w:val="none" w:color="auto"/>
                      <w:lang w:val="en-US" w:eastAsia="zh-CN"/>
                    </w:rPr>
                    <w:t>依托原有改造</w:t>
                  </w:r>
                </w:p>
              </w:tc>
            </w:tr>
            <w:tr w14:paraId="4CE9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noWrap w:val="0"/>
                  <w:vAlign w:val="center"/>
                </w:tcPr>
                <w:p w14:paraId="5CE1771E">
                  <w:pPr>
                    <w:pStyle w:val="144"/>
                    <w:spacing w:before="69" w:line="221" w:lineRule="auto"/>
                    <w:ind w:left="0" w:leftChars="0" w:right="65" w:rightChars="0" w:firstLine="0" w:firstLineChars="0"/>
                    <w:jc w:val="center"/>
                    <w:rPr>
                      <w:rFonts w:hint="default" w:ascii="Times New Roman" w:hAnsi="Times New Roman" w:eastAsia="宋体" w:cs="Times New Roman"/>
                      <w:color w:val="auto"/>
                      <w:spacing w:val="-4"/>
                      <w:highlight w:val="none"/>
                      <w:u w:val="none" w:color="auto"/>
                    </w:rPr>
                  </w:pPr>
                  <w:r>
                    <w:rPr>
                      <w:rFonts w:hint="default" w:ascii="Times New Roman" w:hAnsi="Times New Roman" w:eastAsia="宋体" w:cs="Times New Roman"/>
                      <w:color w:val="auto"/>
                      <w:spacing w:val="-4"/>
                      <w:highlight w:val="none"/>
                      <w:u w:val="none" w:color="auto"/>
                    </w:rPr>
                    <w:t>辅助工程</w:t>
                  </w:r>
                </w:p>
              </w:tc>
              <w:tc>
                <w:tcPr>
                  <w:tcW w:w="1152" w:type="dxa"/>
                  <w:noWrap w:val="0"/>
                  <w:vAlign w:val="center"/>
                </w:tcPr>
                <w:p w14:paraId="5CA41267">
                  <w:pPr>
                    <w:pStyle w:val="144"/>
                    <w:spacing w:before="69" w:line="221" w:lineRule="auto"/>
                    <w:ind w:left="0" w:leftChars="0" w:right="65" w:rightChars="0" w:firstLine="0" w:firstLineChars="0"/>
                    <w:jc w:val="center"/>
                    <w:rPr>
                      <w:rFonts w:hint="eastAsia" w:ascii="Times New Roman" w:hAnsi="Times New Roman" w:eastAsia="宋体" w:cs="Times New Roman"/>
                      <w:color w:val="auto"/>
                      <w:spacing w:val="-4"/>
                      <w:highlight w:val="none"/>
                      <w:u w:val="none" w:color="auto"/>
                      <w:lang w:val="en-US" w:eastAsia="zh-CN"/>
                    </w:rPr>
                  </w:pPr>
                  <w:r>
                    <w:rPr>
                      <w:rFonts w:hint="eastAsia" w:ascii="Times New Roman" w:hAnsi="Times New Roman" w:eastAsia="宋体" w:cs="Times New Roman"/>
                      <w:color w:val="auto"/>
                      <w:spacing w:val="-4"/>
                      <w:highlight w:val="none"/>
                      <w:u w:val="none" w:color="auto"/>
                      <w:lang w:val="en-US" w:eastAsia="zh-CN"/>
                    </w:rPr>
                    <w:t>办公区</w:t>
                  </w:r>
                </w:p>
              </w:tc>
              <w:tc>
                <w:tcPr>
                  <w:tcW w:w="4405" w:type="dxa"/>
                  <w:noWrap w:val="0"/>
                  <w:vAlign w:val="center"/>
                </w:tcPr>
                <w:p w14:paraId="5035BCE1">
                  <w:pPr>
                    <w:pStyle w:val="144"/>
                    <w:spacing w:before="32" w:line="236" w:lineRule="auto"/>
                    <w:ind w:left="0" w:leftChars="0" w:right="65" w:rightChars="0" w:firstLine="0" w:firstLineChars="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1"/>
                      <w:u w:val="none" w:color="auto"/>
                    </w:rPr>
                    <w:t>室内，依托厂区现有办公楼，占地面积</w:t>
                  </w:r>
                  <w:r>
                    <w:rPr>
                      <w:rFonts w:hint="default" w:ascii="Times New Roman" w:hAnsi="Times New Roman" w:eastAsia="宋体" w:cs="Times New Roman"/>
                      <w:color w:val="auto"/>
                      <w:kern w:val="2"/>
                      <w:sz w:val="21"/>
                      <w:szCs w:val="21"/>
                      <w:u w:val="none" w:color="auto"/>
                      <w:lang w:val="en-US" w:eastAsia="zh-CN" w:bidi="ar-SA"/>
                    </w:rPr>
                    <w:t>200</w:t>
                  </w:r>
                  <w:r>
                    <w:rPr>
                      <w:rFonts w:hint="default" w:ascii="Times New Roman" w:hAnsi="Times New Roman" w:eastAsia="宋体" w:cs="Times New Roman"/>
                      <w:color w:val="auto"/>
                      <w:spacing w:val="-1"/>
                      <w:u w:val="none" w:color="auto"/>
                    </w:rPr>
                    <w:t>m</w:t>
                  </w:r>
                  <w:r>
                    <w:rPr>
                      <w:rFonts w:hint="default" w:ascii="Times New Roman" w:hAnsi="Times New Roman" w:eastAsia="宋体" w:cs="Times New Roman"/>
                      <w:color w:val="auto"/>
                      <w:spacing w:val="-1"/>
                      <w:position w:val="6"/>
                      <w:sz w:val="13"/>
                      <w:szCs w:val="13"/>
                      <w:u w:val="none" w:color="auto"/>
                    </w:rPr>
                    <w:t>2</w:t>
                  </w:r>
                </w:p>
              </w:tc>
              <w:tc>
                <w:tcPr>
                  <w:tcW w:w="1978" w:type="dxa"/>
                  <w:noWrap w:val="0"/>
                  <w:vAlign w:val="center"/>
                </w:tcPr>
                <w:p w14:paraId="34259CF0">
                  <w:pPr>
                    <w:pStyle w:val="144"/>
                    <w:spacing w:before="21" w:line="234" w:lineRule="auto"/>
                    <w:ind w:left="0" w:leftChars="0" w:right="65" w:rightChars="0" w:firstLine="0" w:firstLineChars="0"/>
                    <w:jc w:val="center"/>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依托原有</w:t>
                  </w:r>
                </w:p>
              </w:tc>
            </w:tr>
            <w:tr w14:paraId="3AEE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vMerge w:val="restart"/>
                  <w:noWrap w:val="0"/>
                  <w:vAlign w:val="center"/>
                </w:tcPr>
                <w:p w14:paraId="0AC5B660">
                  <w:pPr>
                    <w:pStyle w:val="144"/>
                    <w:spacing w:beforeAutospacing="0" w:line="222"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3"/>
                      <w:highlight w:val="none"/>
                      <w:u w:val="none" w:color="auto"/>
                    </w:rPr>
                    <w:t>公用工</w:t>
                  </w:r>
                  <w:r>
                    <w:rPr>
                      <w:rFonts w:hint="default" w:ascii="Times New Roman" w:hAnsi="Times New Roman" w:eastAsia="宋体" w:cs="Times New Roman"/>
                      <w:color w:val="auto"/>
                      <w:highlight w:val="none"/>
                      <w:u w:val="none" w:color="auto"/>
                    </w:rPr>
                    <w:t>程</w:t>
                  </w:r>
                </w:p>
              </w:tc>
              <w:tc>
                <w:tcPr>
                  <w:tcW w:w="1152" w:type="dxa"/>
                  <w:noWrap w:val="0"/>
                  <w:vAlign w:val="center"/>
                </w:tcPr>
                <w:p w14:paraId="209033DE">
                  <w:pPr>
                    <w:pStyle w:val="144"/>
                    <w:spacing w:before="135" w:line="221"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2"/>
                      <w:highlight w:val="none"/>
                      <w:u w:val="none" w:color="auto"/>
                    </w:rPr>
                    <w:t>给水工程</w:t>
                  </w:r>
                </w:p>
              </w:tc>
              <w:tc>
                <w:tcPr>
                  <w:tcW w:w="4405" w:type="dxa"/>
                  <w:noWrap w:val="0"/>
                  <w:vAlign w:val="center"/>
                </w:tcPr>
                <w:p w14:paraId="4D34FE35">
                  <w:pPr>
                    <w:pStyle w:val="144"/>
                    <w:spacing w:before="135" w:line="220" w:lineRule="auto"/>
                    <w:ind w:left="0" w:leftChars="0" w:right="65" w:rightChars="0" w:firstLine="0" w:firstLineChars="0"/>
                    <w:jc w:val="center"/>
                    <w:rPr>
                      <w:rFonts w:hint="eastAsia"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spacing w:val="-2"/>
                      <w:highlight w:val="none"/>
                      <w:u w:val="none" w:color="auto"/>
                    </w:rPr>
                    <w:t>市政给水管网提供</w:t>
                  </w:r>
                  <w:r>
                    <w:rPr>
                      <w:rFonts w:hint="eastAsia" w:ascii="Times New Roman" w:hAnsi="Times New Roman" w:eastAsia="宋体" w:cs="Times New Roman"/>
                      <w:color w:val="auto"/>
                      <w:spacing w:val="-2"/>
                      <w:highlight w:val="none"/>
                      <w:u w:val="none" w:color="auto"/>
                      <w:lang w:eastAsia="zh-CN"/>
                    </w:rPr>
                    <w:t>。</w:t>
                  </w:r>
                </w:p>
              </w:tc>
              <w:tc>
                <w:tcPr>
                  <w:tcW w:w="1978" w:type="dxa"/>
                  <w:noWrap w:val="0"/>
                  <w:vAlign w:val="center"/>
                </w:tcPr>
                <w:p w14:paraId="6E584EAB">
                  <w:pPr>
                    <w:pStyle w:val="144"/>
                    <w:spacing w:before="135" w:line="220" w:lineRule="auto"/>
                    <w:ind w:left="0" w:leftChars="0" w:right="65" w:rightChars="0" w:firstLine="0" w:firstLineChars="0"/>
                    <w:jc w:val="center"/>
                    <w:rPr>
                      <w:rFonts w:hint="default" w:ascii="Times New Roman" w:hAnsi="Times New Roman" w:eastAsia="宋体" w:cs="Times New Roman"/>
                      <w:color w:val="auto"/>
                      <w:spacing w:val="-2"/>
                      <w:highlight w:val="none"/>
                      <w:u w:val="none" w:color="auto"/>
                    </w:rPr>
                  </w:pPr>
                  <w:r>
                    <w:rPr>
                      <w:rFonts w:hint="default" w:ascii="Times New Roman" w:hAnsi="Times New Roman" w:eastAsia="宋体" w:cs="Times New Roman"/>
                      <w:color w:val="auto"/>
                      <w:spacing w:val="-2"/>
                      <w:highlight w:val="none"/>
                      <w:u w:val="none" w:color="auto"/>
                      <w:lang w:val="en-US" w:eastAsia="zh-CN"/>
                    </w:rPr>
                    <w:t>依托原有</w:t>
                  </w:r>
                </w:p>
              </w:tc>
            </w:tr>
            <w:tr w14:paraId="5261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vMerge w:val="continue"/>
                  <w:noWrap w:val="0"/>
                  <w:vAlign w:val="center"/>
                </w:tcPr>
                <w:p w14:paraId="71C5816C">
                  <w:pPr>
                    <w:pStyle w:val="144"/>
                    <w:spacing w:beforeAutospacing="0" w:line="221" w:lineRule="auto"/>
                    <w:ind w:right="65" w:rightChars="0"/>
                    <w:jc w:val="center"/>
                    <w:rPr>
                      <w:rFonts w:hint="default" w:ascii="Times New Roman" w:hAnsi="Times New Roman" w:eastAsia="宋体" w:cs="Times New Roman"/>
                      <w:color w:val="auto"/>
                      <w:highlight w:val="none"/>
                      <w:u w:val="none" w:color="auto"/>
                    </w:rPr>
                  </w:pPr>
                </w:p>
              </w:tc>
              <w:tc>
                <w:tcPr>
                  <w:tcW w:w="1152" w:type="dxa"/>
                  <w:noWrap w:val="0"/>
                  <w:vAlign w:val="center"/>
                </w:tcPr>
                <w:p w14:paraId="4A18AD31">
                  <w:pPr>
                    <w:pStyle w:val="144"/>
                    <w:spacing w:before="68" w:line="221"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2"/>
                      <w:highlight w:val="none"/>
                      <w:u w:val="none" w:color="auto"/>
                    </w:rPr>
                    <w:t>排水工程</w:t>
                  </w:r>
                </w:p>
              </w:tc>
              <w:tc>
                <w:tcPr>
                  <w:tcW w:w="4405" w:type="dxa"/>
                  <w:noWrap w:val="0"/>
                  <w:vAlign w:val="center"/>
                </w:tcPr>
                <w:p w14:paraId="1325EEC2">
                  <w:pPr>
                    <w:pStyle w:val="144"/>
                    <w:spacing w:before="23" w:line="222"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生活污水经化粪池预处理后排入市政污水管网，最</w:t>
                  </w:r>
                  <w:r>
                    <w:rPr>
                      <w:rFonts w:hint="default" w:ascii="Times New Roman" w:hAnsi="Times New Roman" w:eastAsia="宋体"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r>
                    <w:rPr>
                      <w:rFonts w:hint="eastAsia" w:ascii="Times New Roman" w:hAnsi="Times New Roman" w:eastAsia="宋体" w:cs="Times New Roman"/>
                      <w:caps w:val="0"/>
                      <w:color w:val="auto"/>
                      <w:kern w:val="2"/>
                      <w:sz w:val="21"/>
                      <w:szCs w:val="21"/>
                      <w:highlight w:val="none"/>
                      <w:u w:val="none" w:color="auto"/>
                      <w:lang w:val="en-US" w:eastAsia="zh-CN"/>
                    </w:rPr>
                    <w:t>。</w:t>
                  </w:r>
                  <w:r>
                    <w:rPr>
                      <w:rFonts w:hint="eastAsia" w:ascii="Times New Roman" w:hAnsi="Times New Roman" w:cs="Times New Roman"/>
                      <w:caps w:val="0"/>
                      <w:color w:val="auto"/>
                      <w:kern w:val="2"/>
                      <w:sz w:val="21"/>
                      <w:szCs w:val="21"/>
                      <w:highlight w:val="none"/>
                      <w:u w:val="none" w:color="auto"/>
                      <w:lang w:val="en-US" w:eastAsia="zh-CN"/>
                    </w:rPr>
                    <w:t>含油污水经含油污水站处理后回用，不外排</w:t>
                  </w:r>
                </w:p>
              </w:tc>
              <w:tc>
                <w:tcPr>
                  <w:tcW w:w="1978" w:type="dxa"/>
                  <w:noWrap w:val="0"/>
                  <w:vAlign w:val="center"/>
                </w:tcPr>
                <w:p w14:paraId="2763950C">
                  <w:pPr>
                    <w:pStyle w:val="144"/>
                    <w:spacing w:before="23" w:line="222"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2"/>
                      <w:highlight w:val="none"/>
                      <w:u w:val="none" w:color="auto"/>
                      <w:lang w:val="en-US" w:eastAsia="zh-CN"/>
                    </w:rPr>
                    <w:t>依托原有</w:t>
                  </w:r>
                </w:p>
              </w:tc>
            </w:tr>
            <w:tr w14:paraId="7429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vMerge w:val="continue"/>
                  <w:noWrap w:val="0"/>
                  <w:vAlign w:val="center"/>
                </w:tcPr>
                <w:p w14:paraId="664FF7AB">
                  <w:pPr>
                    <w:ind w:left="0" w:leftChars="0" w:right="65" w:rightChars="0" w:firstLine="0" w:firstLineChars="0"/>
                    <w:jc w:val="center"/>
                    <w:rPr>
                      <w:rFonts w:hint="default" w:ascii="Times New Roman" w:hAnsi="Times New Roman" w:eastAsia="宋体" w:cs="Times New Roman"/>
                      <w:color w:val="auto"/>
                      <w:sz w:val="21"/>
                      <w:highlight w:val="none"/>
                      <w:u w:val="none" w:color="auto"/>
                    </w:rPr>
                  </w:pPr>
                </w:p>
              </w:tc>
              <w:tc>
                <w:tcPr>
                  <w:tcW w:w="1152" w:type="dxa"/>
                  <w:noWrap w:val="0"/>
                  <w:vAlign w:val="center"/>
                </w:tcPr>
                <w:p w14:paraId="7446215A">
                  <w:pPr>
                    <w:pStyle w:val="144"/>
                    <w:spacing w:before="125" w:line="220"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2"/>
                      <w:highlight w:val="none"/>
                      <w:u w:val="none" w:color="auto"/>
                    </w:rPr>
                    <w:t>供电系统</w:t>
                  </w:r>
                </w:p>
              </w:tc>
              <w:tc>
                <w:tcPr>
                  <w:tcW w:w="4405" w:type="dxa"/>
                  <w:noWrap w:val="0"/>
                  <w:vAlign w:val="center"/>
                </w:tcPr>
                <w:p w14:paraId="6DB0B064">
                  <w:pPr>
                    <w:jc w:val="center"/>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市政供电系统</w:t>
                  </w:r>
                  <w:r>
                    <w:rPr>
                      <w:rFonts w:hint="eastAsia" w:ascii="Times New Roman" w:hAnsi="Times New Roman" w:eastAsia="宋体" w:cs="Times New Roman"/>
                      <w:color w:val="auto"/>
                      <w:sz w:val="21"/>
                      <w:szCs w:val="21"/>
                      <w:highlight w:val="none"/>
                      <w:u w:val="none" w:color="auto"/>
                      <w:lang w:eastAsia="zh-CN"/>
                    </w:rPr>
                    <w:t>。</w:t>
                  </w:r>
                </w:p>
              </w:tc>
              <w:tc>
                <w:tcPr>
                  <w:tcW w:w="1978" w:type="dxa"/>
                  <w:noWrap w:val="0"/>
                  <w:vAlign w:val="center"/>
                </w:tcPr>
                <w:p w14:paraId="301E7423">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2"/>
                      <w:highlight w:val="none"/>
                      <w:u w:val="none" w:color="auto"/>
                      <w:lang w:val="en-US" w:eastAsia="zh-CN"/>
                    </w:rPr>
                    <w:t>依托原有</w:t>
                  </w:r>
                </w:p>
              </w:tc>
            </w:tr>
            <w:tr w14:paraId="7D28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vMerge w:val="restart"/>
                  <w:noWrap w:val="0"/>
                  <w:vAlign w:val="center"/>
                </w:tcPr>
                <w:p w14:paraId="1838BE1B">
                  <w:pPr>
                    <w:pStyle w:val="144"/>
                    <w:spacing w:before="68" w:line="231"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2"/>
                      <w:highlight w:val="none"/>
                      <w:u w:val="none" w:color="auto"/>
                    </w:rPr>
                    <w:t>环保工</w:t>
                  </w:r>
                  <w:r>
                    <w:rPr>
                      <w:rFonts w:hint="default" w:ascii="Times New Roman" w:hAnsi="Times New Roman" w:eastAsia="宋体" w:cs="Times New Roman"/>
                      <w:color w:val="auto"/>
                      <w:highlight w:val="none"/>
                      <w:u w:val="none" w:color="auto"/>
                    </w:rPr>
                    <w:t>程</w:t>
                  </w:r>
                </w:p>
              </w:tc>
              <w:tc>
                <w:tcPr>
                  <w:tcW w:w="1152" w:type="dxa"/>
                  <w:noWrap w:val="0"/>
                  <w:vAlign w:val="center"/>
                </w:tcPr>
                <w:p w14:paraId="74B3B39D">
                  <w:pPr>
                    <w:pStyle w:val="144"/>
                    <w:spacing w:before="308" w:line="221"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1"/>
                      <w:highlight w:val="none"/>
                      <w:u w:val="none" w:color="auto"/>
                    </w:rPr>
                    <w:t>废气治理</w:t>
                  </w:r>
                </w:p>
              </w:tc>
              <w:tc>
                <w:tcPr>
                  <w:tcW w:w="4405" w:type="dxa"/>
                  <w:noWrap w:val="0"/>
                  <w:vAlign w:val="center"/>
                </w:tcPr>
                <w:p w14:paraId="14545C3C">
                  <w:pPr>
                    <w:jc w:val="center"/>
                    <w:rPr>
                      <w:rFonts w:hint="default" w:ascii="Times New Roman" w:hAnsi="Times New Roman" w:eastAsia="宋体" w:cs="Times New Roman"/>
                      <w:color w:val="auto"/>
                      <w:highlight w:val="none"/>
                      <w:u w:val="none" w:color="auto"/>
                      <w:lang w:val="en-US"/>
                    </w:rPr>
                  </w:pPr>
                  <w:r>
                    <w:rPr>
                      <w:rFonts w:hint="default" w:ascii="Times New Roman" w:hAnsi="Times New Roman" w:eastAsia="宋体" w:cs="Times New Roman"/>
                      <w:bCs/>
                      <w:color w:val="auto"/>
                      <w:szCs w:val="21"/>
                      <w:highlight w:val="none"/>
                      <w:u w:val="none" w:color="auto"/>
                      <w:lang w:val="en-US" w:eastAsia="zh-CN"/>
                    </w:rPr>
                    <w:t>项目</w:t>
                  </w:r>
                  <w:r>
                    <w:rPr>
                      <w:rFonts w:hint="eastAsia" w:ascii="Times New Roman" w:hAnsi="Times New Roman" w:eastAsia="宋体" w:cs="Times New Roman"/>
                      <w:bCs/>
                      <w:color w:val="auto"/>
                      <w:szCs w:val="21"/>
                      <w:highlight w:val="none"/>
                      <w:u w:val="none" w:color="auto"/>
                      <w:lang w:val="en-US" w:eastAsia="zh-CN"/>
                    </w:rPr>
                    <w:t>未</w:t>
                  </w:r>
                  <w:r>
                    <w:rPr>
                      <w:rFonts w:hint="default" w:ascii="Times New Roman" w:hAnsi="Times New Roman" w:eastAsia="宋体" w:cs="Times New Roman"/>
                      <w:bCs/>
                      <w:color w:val="auto"/>
                      <w:szCs w:val="21"/>
                      <w:highlight w:val="none"/>
                      <w:u w:val="none" w:color="auto"/>
                      <w:lang w:val="en-US" w:eastAsia="zh-CN"/>
                    </w:rPr>
                    <w:t>新增</w:t>
                  </w:r>
                  <w:r>
                    <w:rPr>
                      <w:rFonts w:hint="eastAsia" w:ascii="Times New Roman" w:hAnsi="Times New Roman" w:eastAsia="宋体" w:cs="Times New Roman"/>
                      <w:bCs/>
                      <w:color w:val="auto"/>
                      <w:szCs w:val="21"/>
                      <w:highlight w:val="none"/>
                      <w:u w:val="none" w:color="auto"/>
                      <w:lang w:val="en-US" w:eastAsia="zh-CN"/>
                    </w:rPr>
                    <w:t>机械设备和车辆，无新增废气。运营</w:t>
                  </w:r>
                  <w:r>
                    <w:rPr>
                      <w:rFonts w:hint="eastAsia" w:cs="Times New Roman"/>
                      <w:bCs/>
                      <w:color w:val="auto"/>
                      <w:szCs w:val="21"/>
                      <w:highlight w:val="none"/>
                      <w:u w:val="none" w:color="auto"/>
                      <w:lang w:val="en-US" w:eastAsia="zh-CN"/>
                    </w:rPr>
                    <w:t>期间</w:t>
                  </w:r>
                  <w:r>
                    <w:rPr>
                      <w:rFonts w:hint="default" w:ascii="Times New Roman" w:hAnsi="Times New Roman" w:eastAsia="宋体" w:cs="Times New Roman"/>
                      <w:bCs/>
                      <w:color w:val="auto"/>
                      <w:szCs w:val="21"/>
                      <w:highlight w:val="none"/>
                      <w:u w:val="none" w:color="auto"/>
                      <w:lang w:val="en-US" w:eastAsia="zh-CN"/>
                    </w:rPr>
                    <w:t>机械</w:t>
                  </w:r>
                  <w:r>
                    <w:rPr>
                      <w:rFonts w:hint="eastAsia" w:ascii="Times New Roman" w:hAnsi="Times New Roman" w:eastAsia="宋体" w:cs="Times New Roman"/>
                      <w:bCs/>
                      <w:color w:val="auto"/>
                      <w:szCs w:val="21"/>
                      <w:highlight w:val="none"/>
                      <w:u w:val="none" w:color="auto"/>
                      <w:lang w:val="en-US" w:eastAsia="zh-CN"/>
                    </w:rPr>
                    <w:t>废气和</w:t>
                  </w:r>
                  <w:r>
                    <w:rPr>
                      <w:rFonts w:hint="default" w:ascii="Times New Roman" w:hAnsi="Times New Roman" w:eastAsia="宋体" w:cs="Times New Roman"/>
                      <w:bCs/>
                      <w:color w:val="auto"/>
                      <w:szCs w:val="21"/>
                      <w:highlight w:val="none"/>
                      <w:u w:val="none" w:color="auto"/>
                      <w:lang w:val="en-US" w:eastAsia="zh-CN"/>
                    </w:rPr>
                    <w:t>运输车辆尾气</w:t>
                  </w:r>
                  <w:r>
                    <w:rPr>
                      <w:rFonts w:hint="eastAsia" w:ascii="Times New Roman" w:hAnsi="Times New Roman" w:eastAsia="宋体" w:cs="Times New Roman"/>
                      <w:bCs/>
                      <w:color w:val="auto"/>
                      <w:szCs w:val="21"/>
                      <w:highlight w:val="none"/>
                      <w:u w:val="none" w:color="auto"/>
                      <w:lang w:val="en-US" w:eastAsia="zh-CN"/>
                    </w:rPr>
                    <w:t>通过无组织排放。</w:t>
                  </w:r>
                </w:p>
              </w:tc>
              <w:tc>
                <w:tcPr>
                  <w:tcW w:w="1978" w:type="dxa"/>
                  <w:shd w:val="clear" w:color="auto" w:fill="auto"/>
                  <w:noWrap w:val="0"/>
                  <w:vAlign w:val="center"/>
                </w:tcPr>
                <w:p w14:paraId="096DC18C">
                  <w:pPr>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依托原有</w:t>
                  </w:r>
                </w:p>
              </w:tc>
            </w:tr>
            <w:tr w14:paraId="79C7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vMerge w:val="continue"/>
                  <w:noWrap w:val="0"/>
                  <w:vAlign w:val="center"/>
                </w:tcPr>
                <w:p w14:paraId="16B66CCC">
                  <w:pPr>
                    <w:ind w:left="0" w:leftChars="0" w:right="65" w:rightChars="0" w:firstLine="0" w:firstLineChars="0"/>
                    <w:jc w:val="center"/>
                    <w:rPr>
                      <w:rFonts w:hint="default" w:ascii="Times New Roman" w:hAnsi="Times New Roman" w:eastAsia="宋体" w:cs="Times New Roman"/>
                      <w:color w:val="auto"/>
                      <w:sz w:val="21"/>
                      <w:highlight w:val="none"/>
                      <w:u w:val="none" w:color="auto"/>
                    </w:rPr>
                  </w:pPr>
                </w:p>
              </w:tc>
              <w:tc>
                <w:tcPr>
                  <w:tcW w:w="1152" w:type="dxa"/>
                  <w:noWrap w:val="0"/>
                  <w:vAlign w:val="center"/>
                </w:tcPr>
                <w:p w14:paraId="058F5331">
                  <w:pPr>
                    <w:pStyle w:val="144"/>
                    <w:spacing w:before="36" w:line="201"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4"/>
                      <w:highlight w:val="none"/>
                      <w:u w:val="none" w:color="auto"/>
                    </w:rPr>
                    <w:t>噪声治理</w:t>
                  </w:r>
                </w:p>
              </w:tc>
              <w:tc>
                <w:tcPr>
                  <w:tcW w:w="4405" w:type="dxa"/>
                  <w:noWrap w:val="0"/>
                  <w:vAlign w:val="center"/>
                </w:tcPr>
                <w:p w14:paraId="1937C575">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本</w:t>
                  </w:r>
                  <w:r>
                    <w:rPr>
                      <w:rFonts w:hint="default" w:ascii="Times New Roman" w:hAnsi="Times New Roman" w:eastAsia="宋体" w:cs="Times New Roman"/>
                      <w:color w:val="auto"/>
                      <w:sz w:val="21"/>
                      <w:szCs w:val="21"/>
                      <w:highlight w:val="none"/>
                      <w:u w:val="none" w:color="auto"/>
                      <w:lang w:val="en-US" w:eastAsia="zh-CN"/>
                    </w:rPr>
                    <w:t>工程</w:t>
                  </w:r>
                  <w:r>
                    <w:rPr>
                      <w:rFonts w:hint="eastAsia" w:ascii="Times New Roman" w:hAnsi="Times New Roman" w:eastAsia="宋体" w:cs="Times New Roman"/>
                      <w:color w:val="auto"/>
                      <w:sz w:val="21"/>
                      <w:szCs w:val="21"/>
                      <w:highlight w:val="none"/>
                      <w:u w:val="none" w:color="auto"/>
                      <w:lang w:val="en-US" w:eastAsia="zh-CN"/>
                    </w:rPr>
                    <w:t>未</w:t>
                  </w:r>
                  <w:r>
                    <w:rPr>
                      <w:rFonts w:hint="default" w:ascii="Times New Roman" w:hAnsi="Times New Roman" w:eastAsia="宋体" w:cs="Times New Roman"/>
                      <w:color w:val="auto"/>
                      <w:sz w:val="21"/>
                      <w:szCs w:val="21"/>
                      <w:highlight w:val="none"/>
                      <w:u w:val="none" w:color="auto"/>
                    </w:rPr>
                    <w:t>新增</w:t>
                  </w:r>
                  <w:r>
                    <w:rPr>
                      <w:rFonts w:hint="eastAsia" w:ascii="Times New Roman" w:hAnsi="Times New Roman" w:eastAsia="宋体" w:cs="Times New Roman"/>
                      <w:color w:val="auto"/>
                      <w:sz w:val="21"/>
                      <w:szCs w:val="21"/>
                      <w:highlight w:val="none"/>
                      <w:u w:val="none" w:color="auto"/>
                      <w:lang w:val="en-US" w:eastAsia="zh-CN"/>
                    </w:rPr>
                    <w:t>机械</w:t>
                  </w:r>
                  <w:r>
                    <w:rPr>
                      <w:rFonts w:hint="default" w:ascii="Times New Roman" w:hAnsi="Times New Roman" w:eastAsia="宋体" w:cs="Times New Roman"/>
                      <w:color w:val="auto"/>
                      <w:sz w:val="21"/>
                      <w:szCs w:val="21"/>
                      <w:highlight w:val="none"/>
                      <w:u w:val="none" w:color="auto"/>
                    </w:rPr>
                    <w:t>设备，无新增</w:t>
                  </w:r>
                  <w:r>
                    <w:rPr>
                      <w:rFonts w:hint="default" w:ascii="Times New Roman" w:hAnsi="Times New Roman" w:eastAsia="宋体" w:cs="Times New Roman"/>
                      <w:color w:val="auto"/>
                      <w:sz w:val="21"/>
                      <w:szCs w:val="21"/>
                      <w:highlight w:val="none"/>
                      <w:u w:val="none" w:color="auto"/>
                      <w:lang w:eastAsia="zh-CN"/>
                    </w:rPr>
                    <w:t>噪声源</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运营期选用低噪声、运行状况良好的设备，加强维护。</w:t>
                  </w:r>
                </w:p>
              </w:tc>
              <w:tc>
                <w:tcPr>
                  <w:tcW w:w="1978" w:type="dxa"/>
                  <w:shd w:val="clear" w:color="auto" w:fill="auto"/>
                  <w:noWrap w:val="0"/>
                  <w:vAlign w:val="center"/>
                </w:tcPr>
                <w:p w14:paraId="35DC21B7">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u w:val="none" w:color="auto"/>
                      <w:lang w:val="en-US" w:eastAsia="zh-CN"/>
                    </w:rPr>
                    <w:t>依托原有</w:t>
                  </w:r>
                </w:p>
              </w:tc>
            </w:tr>
            <w:tr w14:paraId="6FC2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vMerge w:val="continue"/>
                  <w:noWrap w:val="0"/>
                  <w:vAlign w:val="center"/>
                </w:tcPr>
                <w:p w14:paraId="5452A6EE">
                  <w:pPr>
                    <w:ind w:left="0" w:leftChars="0" w:right="65" w:rightChars="0" w:firstLine="0" w:firstLineChars="0"/>
                    <w:jc w:val="center"/>
                    <w:rPr>
                      <w:rFonts w:hint="default" w:ascii="Times New Roman" w:hAnsi="Times New Roman" w:eastAsia="宋体" w:cs="Times New Roman"/>
                      <w:color w:val="auto"/>
                      <w:sz w:val="21"/>
                      <w:highlight w:val="none"/>
                      <w:u w:val="none" w:color="auto"/>
                    </w:rPr>
                  </w:pPr>
                </w:p>
              </w:tc>
              <w:tc>
                <w:tcPr>
                  <w:tcW w:w="1152" w:type="dxa"/>
                  <w:noWrap w:val="0"/>
                  <w:vAlign w:val="center"/>
                </w:tcPr>
                <w:p w14:paraId="37032459">
                  <w:pPr>
                    <w:pStyle w:val="144"/>
                    <w:spacing w:before="68" w:line="221" w:lineRule="auto"/>
                    <w:ind w:left="0" w:leftChars="0" w:right="65" w:rightChars="0" w:firstLine="0" w:firstLineChars="0"/>
                    <w:jc w:val="center"/>
                    <w:rPr>
                      <w:rFonts w:hint="default" w:ascii="Times New Roman" w:hAnsi="Times New Roman" w:eastAsia="宋体" w:cs="Times New Roman"/>
                      <w:color w:val="auto"/>
                      <w:highlight w:val="none"/>
                      <w:u w:val="none" w:color="auto"/>
                    </w:rPr>
                  </w:pPr>
                  <w:r>
                    <w:rPr>
                      <w:rFonts w:hint="eastAsia" w:ascii="Times New Roman" w:hAnsi="Times New Roman" w:eastAsia="宋体" w:cs="Times New Roman"/>
                      <w:color w:val="auto"/>
                      <w:spacing w:val="-6"/>
                      <w:highlight w:val="none"/>
                      <w:u w:val="none" w:color="auto"/>
                      <w:lang w:val="en-US" w:eastAsia="zh-CN"/>
                    </w:rPr>
                    <w:t>固体废物</w:t>
                  </w:r>
                  <w:r>
                    <w:rPr>
                      <w:rFonts w:hint="default" w:ascii="Times New Roman" w:hAnsi="Times New Roman" w:eastAsia="宋体" w:cs="Times New Roman"/>
                      <w:color w:val="auto"/>
                      <w:spacing w:val="-6"/>
                      <w:highlight w:val="none"/>
                      <w:u w:val="none" w:color="auto"/>
                    </w:rPr>
                    <w:t>治理</w:t>
                  </w:r>
                </w:p>
              </w:tc>
              <w:tc>
                <w:tcPr>
                  <w:tcW w:w="4405" w:type="dxa"/>
                  <w:noWrap w:val="0"/>
                  <w:vAlign w:val="center"/>
                </w:tcPr>
                <w:p w14:paraId="1F15A471">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本工程未新增机械设备和车辆；未新增工作人员，无新增固体废物</w:t>
                  </w:r>
                  <w:r>
                    <w:rPr>
                      <w:rFonts w:hint="default" w:ascii="Times New Roman" w:hAnsi="Times New Roman" w:eastAsia="宋体" w:cs="Times New Roman"/>
                      <w:color w:val="auto"/>
                      <w:sz w:val="21"/>
                      <w:szCs w:val="21"/>
                      <w:highlight w:val="none"/>
                      <w:u w:val="none" w:color="auto"/>
                    </w:rPr>
                    <w:t>。</w:t>
                  </w:r>
                  <w:r>
                    <w:rPr>
                      <w:rFonts w:hint="eastAsia" w:ascii="Times New Roman" w:hAnsi="Times New Roman" w:eastAsia="宋体" w:cs="Times New Roman"/>
                      <w:color w:val="auto"/>
                      <w:sz w:val="21"/>
                      <w:szCs w:val="21"/>
                      <w:highlight w:val="none"/>
                      <w:u w:val="none" w:color="auto"/>
                      <w:lang w:val="en-US" w:eastAsia="zh-CN"/>
                    </w:rPr>
                    <w:t>运营期生活垃圾收集后交由环卫部门处理，废润滑油及含油抹布收集后暂存在危废暂存间，定期交由有资质的单位处理</w:t>
                  </w:r>
                  <w:r>
                    <w:rPr>
                      <w:rFonts w:hint="default" w:ascii="Times New Roman" w:hAnsi="Times New Roman" w:eastAsia="宋体" w:cs="Times New Roman"/>
                      <w:color w:val="auto"/>
                      <w:sz w:val="21"/>
                      <w:szCs w:val="21"/>
                      <w:highlight w:val="none"/>
                      <w:u w:val="none" w:color="auto"/>
                    </w:rPr>
                    <w:t>。</w:t>
                  </w:r>
                </w:p>
              </w:tc>
              <w:tc>
                <w:tcPr>
                  <w:tcW w:w="1978" w:type="dxa"/>
                  <w:shd w:val="clear" w:color="auto" w:fill="auto"/>
                  <w:noWrap w:val="0"/>
                  <w:vAlign w:val="center"/>
                </w:tcPr>
                <w:p w14:paraId="18D97E83">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u w:val="none" w:color="auto"/>
                      <w:lang w:val="en-US" w:eastAsia="zh-CN"/>
                    </w:rPr>
                    <w:t>依托原有</w:t>
                  </w:r>
                </w:p>
              </w:tc>
            </w:tr>
            <w:tr w14:paraId="26F7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59" w:type="dxa"/>
                  <w:vMerge w:val="continue"/>
                  <w:noWrap w:val="0"/>
                  <w:vAlign w:val="center"/>
                </w:tcPr>
                <w:p w14:paraId="57ECB913">
                  <w:pPr>
                    <w:ind w:left="0" w:leftChars="0" w:right="65" w:rightChars="0" w:firstLine="0" w:firstLineChars="0"/>
                    <w:jc w:val="center"/>
                    <w:rPr>
                      <w:rFonts w:hint="default" w:ascii="Times New Roman" w:hAnsi="Times New Roman" w:eastAsia="宋体" w:cs="Times New Roman"/>
                      <w:color w:val="auto"/>
                      <w:sz w:val="21"/>
                      <w:highlight w:val="none"/>
                      <w:u w:val="none" w:color="auto"/>
                    </w:rPr>
                  </w:pPr>
                </w:p>
              </w:tc>
              <w:tc>
                <w:tcPr>
                  <w:tcW w:w="1152" w:type="dxa"/>
                  <w:noWrap w:val="0"/>
                  <w:vAlign w:val="center"/>
                </w:tcPr>
                <w:p w14:paraId="5B0E7294">
                  <w:pPr>
                    <w:pStyle w:val="144"/>
                    <w:spacing w:before="68" w:line="221" w:lineRule="auto"/>
                    <w:ind w:left="0" w:leftChars="0" w:right="65" w:rightChars="0" w:firstLine="0" w:firstLineChars="0"/>
                    <w:jc w:val="center"/>
                    <w:rPr>
                      <w:rFonts w:hint="default" w:ascii="Times New Roman" w:hAnsi="Times New Roman" w:eastAsia="宋体" w:cs="Times New Roman"/>
                      <w:color w:val="auto"/>
                      <w:spacing w:val="-6"/>
                      <w:highlight w:val="none"/>
                      <w:u w:val="none" w:color="auto"/>
                      <w:lang w:val="en-US" w:eastAsia="zh-CN"/>
                    </w:rPr>
                  </w:pPr>
                  <w:r>
                    <w:rPr>
                      <w:rFonts w:hint="eastAsia" w:ascii="Times New Roman" w:hAnsi="Times New Roman" w:eastAsia="宋体" w:cs="Times New Roman"/>
                      <w:color w:val="auto"/>
                      <w:spacing w:val="-6"/>
                      <w:highlight w:val="none"/>
                      <w:u w:val="none" w:color="auto"/>
                      <w:lang w:val="en-US" w:eastAsia="zh-CN"/>
                    </w:rPr>
                    <w:t>废水</w:t>
                  </w:r>
                </w:p>
              </w:tc>
              <w:tc>
                <w:tcPr>
                  <w:tcW w:w="4405" w:type="dxa"/>
                  <w:noWrap w:val="0"/>
                  <w:vAlign w:val="center"/>
                </w:tcPr>
                <w:p w14:paraId="1AEE7927">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项目未新增工作人员，无新增废水产生。运营期生活污水进入现有港区生活化粪池预处理后，排入大榄坪污水处理厂，含油污水经过2#泊位后方和5#泊位后方的污水处理站处理后回用</w:t>
                  </w:r>
                  <w:r>
                    <w:rPr>
                      <w:rFonts w:hint="eastAsia" w:ascii="Times New Roman" w:hAnsi="Times New Roman" w:eastAsia="宋体" w:cs="Times New Roman"/>
                      <w:b w:val="0"/>
                      <w:bCs/>
                      <w:color w:val="auto"/>
                      <w:spacing w:val="0"/>
                      <w:sz w:val="21"/>
                      <w:szCs w:val="21"/>
                      <w:highlight w:val="none"/>
                      <w:u w:val="none" w:color="auto"/>
                      <w:lang w:val="en-US" w:eastAsia="zh-CN"/>
                    </w:rPr>
                    <w:t>。</w:t>
                  </w:r>
                </w:p>
              </w:tc>
              <w:tc>
                <w:tcPr>
                  <w:tcW w:w="1978" w:type="dxa"/>
                  <w:shd w:val="clear" w:color="auto" w:fill="auto"/>
                  <w:noWrap w:val="0"/>
                  <w:vAlign w:val="center"/>
                </w:tcPr>
                <w:p w14:paraId="3A146DB5">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b w:val="0"/>
                      <w:bCs/>
                      <w:color w:val="auto"/>
                      <w:spacing w:val="0"/>
                      <w:sz w:val="21"/>
                      <w:szCs w:val="21"/>
                      <w:highlight w:val="none"/>
                      <w:u w:val="none" w:color="auto"/>
                      <w:lang w:val="en-US" w:eastAsia="zh-CN"/>
                    </w:rPr>
                    <w:t>依托原有</w:t>
                  </w:r>
                </w:p>
              </w:tc>
            </w:tr>
          </w:tbl>
          <w:p w14:paraId="4AD1EAC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4</w:t>
            </w:r>
            <w:r>
              <w:rPr>
                <w:rFonts w:hint="default" w:ascii="Times New Roman" w:hAnsi="Times New Roman" w:eastAsia="宋体" w:cs="Times New Roman"/>
                <w:b/>
                <w:bCs/>
                <w:color w:val="auto"/>
                <w:sz w:val="24"/>
                <w:szCs w:val="24"/>
                <w:highlight w:val="none"/>
                <w:u w:val="none" w:color="auto"/>
                <w:lang w:val="en-US" w:eastAsia="zh-CN"/>
              </w:rPr>
              <w:t>、主要设备设施</w:t>
            </w:r>
          </w:p>
          <w:p w14:paraId="7270EE7E">
            <w:pPr>
              <w:keepNext w:val="0"/>
              <w:keepLines w:val="0"/>
              <w:pageBreakBefore w:val="0"/>
              <w:suppressLineNumbers w:val="0"/>
              <w:kinsoku/>
              <w:wordWrap/>
              <w:overflowPunct/>
              <w:bidi w:val="0"/>
              <w:adjustRightIn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32"/>
                <w:highlight w:val="none"/>
                <w:u w:val="none" w:color="auto"/>
              </w:rPr>
            </w:pPr>
            <w:r>
              <w:rPr>
                <w:rFonts w:hint="eastAsia" w:ascii="Times New Roman" w:hAnsi="Times New Roman" w:eastAsia="宋体" w:cs="Times New Roman"/>
                <w:color w:val="auto"/>
                <w:spacing w:val="-2"/>
                <w:kern w:val="2"/>
                <w:sz w:val="24"/>
                <w:szCs w:val="24"/>
                <w:highlight w:val="none"/>
                <w:u w:val="none" w:color="auto"/>
                <w:lang w:val="en-US" w:eastAsia="zh-CN" w:bidi="ar-SA"/>
              </w:rPr>
              <w:t>项目不改变码头性质、吞吐量等，不新增机械设备，均依托原有设备，</w:t>
            </w:r>
            <w:r>
              <w:rPr>
                <w:rFonts w:hint="eastAsia" w:cs="Times New Roman"/>
                <w:color w:val="auto"/>
                <w:spacing w:val="-2"/>
                <w:kern w:val="2"/>
                <w:sz w:val="24"/>
                <w:szCs w:val="24"/>
                <w:highlight w:val="none"/>
                <w:u w:val="single" w:color="auto"/>
                <w:lang w:val="en-US" w:eastAsia="zh-CN" w:bidi="ar-SA"/>
              </w:rPr>
              <w:t>项目装卸设备为电动机械</w:t>
            </w:r>
            <w:r>
              <w:rPr>
                <w:rFonts w:hint="eastAsia" w:cs="Times New Roman"/>
                <w:color w:val="auto"/>
                <w:spacing w:val="-2"/>
                <w:kern w:val="2"/>
                <w:sz w:val="24"/>
                <w:szCs w:val="24"/>
                <w:highlight w:val="none"/>
                <w:u w:val="none" w:color="auto"/>
                <w:lang w:val="en-US" w:eastAsia="zh-CN" w:bidi="ar-SA"/>
              </w:rPr>
              <w:t>。</w:t>
            </w:r>
            <w:r>
              <w:rPr>
                <w:rFonts w:hint="default" w:ascii="Times New Roman" w:hAnsi="Times New Roman" w:eastAsia="宋体" w:cs="Times New Roman"/>
                <w:color w:val="auto"/>
                <w:spacing w:val="-2"/>
                <w:kern w:val="2"/>
                <w:sz w:val="24"/>
                <w:szCs w:val="24"/>
                <w:highlight w:val="none"/>
                <w:u w:val="none" w:color="auto"/>
                <w:lang w:val="en-US" w:eastAsia="en-US" w:bidi="ar-SA"/>
              </w:rPr>
              <w:t>项目</w:t>
            </w:r>
            <w:r>
              <w:rPr>
                <w:rFonts w:hint="eastAsia" w:ascii="Times New Roman" w:hAnsi="Times New Roman" w:eastAsia="宋体" w:cs="Times New Roman"/>
                <w:color w:val="auto"/>
                <w:spacing w:val="-2"/>
                <w:kern w:val="2"/>
                <w:sz w:val="24"/>
                <w:szCs w:val="24"/>
                <w:highlight w:val="none"/>
                <w:u w:val="none" w:color="auto"/>
                <w:lang w:val="en-US" w:eastAsia="zh-CN" w:bidi="ar-SA"/>
              </w:rPr>
              <w:t>使用</w:t>
            </w:r>
            <w:r>
              <w:rPr>
                <w:rFonts w:hint="default" w:ascii="Times New Roman" w:hAnsi="Times New Roman" w:eastAsia="宋体" w:cs="Times New Roman"/>
                <w:color w:val="auto"/>
                <w:spacing w:val="-2"/>
                <w:kern w:val="2"/>
                <w:sz w:val="24"/>
                <w:szCs w:val="24"/>
                <w:highlight w:val="none"/>
                <w:u w:val="none" w:color="auto"/>
                <w:lang w:val="en-US" w:eastAsia="en-US" w:bidi="ar-SA"/>
              </w:rPr>
              <w:t>生产设备见表</w:t>
            </w:r>
            <w:r>
              <w:rPr>
                <w:rFonts w:hint="default" w:ascii="Times New Roman" w:hAnsi="Times New Roman" w:eastAsia="宋体" w:cs="Times New Roman"/>
                <w:color w:val="auto"/>
                <w:spacing w:val="-2"/>
                <w:kern w:val="2"/>
                <w:sz w:val="24"/>
                <w:szCs w:val="24"/>
                <w:highlight w:val="none"/>
                <w:u w:val="none" w:color="auto"/>
                <w:lang w:val="en-US" w:eastAsia="zh-CN" w:bidi="ar-SA"/>
              </w:rPr>
              <w:t>2-</w:t>
            </w:r>
            <w:r>
              <w:rPr>
                <w:rFonts w:hint="default" w:ascii="Times New Roman" w:hAnsi="Times New Roman" w:eastAsia="宋体" w:cs="Times New Roman"/>
                <w:color w:val="auto"/>
                <w:sz w:val="24"/>
                <w:szCs w:val="32"/>
                <w:highlight w:val="none"/>
                <w:u w:val="none" w:color="auto"/>
              </w:rPr>
              <w:t>2。</w:t>
            </w:r>
          </w:p>
          <w:p w14:paraId="1377D4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val="en-GB"/>
              </w:rPr>
              <w:t>表</w:t>
            </w:r>
            <w:r>
              <w:rPr>
                <w:rFonts w:hint="default" w:ascii="Times New Roman" w:hAnsi="Times New Roman" w:eastAsia="宋体" w:cs="Times New Roman"/>
                <w:b/>
                <w:color w:val="auto"/>
                <w:sz w:val="21"/>
                <w:szCs w:val="21"/>
                <w:highlight w:val="none"/>
                <w:u w:val="none" w:color="auto"/>
                <w:lang w:val="en-US" w:eastAsia="zh-CN"/>
              </w:rPr>
              <w:t>2</w:t>
            </w:r>
            <w:r>
              <w:rPr>
                <w:rFonts w:hint="default" w:ascii="Times New Roman" w:hAnsi="Times New Roman" w:eastAsia="宋体" w:cs="Times New Roman"/>
                <w:b/>
                <w:color w:val="auto"/>
                <w:sz w:val="21"/>
                <w:szCs w:val="21"/>
                <w:highlight w:val="none"/>
                <w:u w:val="none" w:color="auto"/>
              </w:rPr>
              <w:t>-</w:t>
            </w:r>
            <w:r>
              <w:rPr>
                <w:rFonts w:hint="default" w:ascii="Times New Roman" w:hAnsi="Times New Roman" w:eastAsia="宋体" w:cs="Times New Roman"/>
                <w:b/>
                <w:color w:val="auto"/>
                <w:sz w:val="21"/>
                <w:szCs w:val="21"/>
                <w:highlight w:val="none"/>
                <w:u w:val="none" w:color="auto"/>
                <w:lang w:val="en-US" w:eastAsia="zh-CN"/>
              </w:rPr>
              <w:t>2</w:t>
            </w:r>
            <w:r>
              <w:rPr>
                <w:rFonts w:hint="default" w:ascii="Times New Roman" w:hAnsi="Times New Roman" w:eastAsia="宋体" w:cs="Times New Roman"/>
                <w:b/>
                <w:color w:val="auto"/>
                <w:sz w:val="21"/>
                <w:szCs w:val="21"/>
                <w:highlight w:val="none"/>
                <w:u w:val="none" w:color="auto"/>
                <w:lang w:val="en-GB"/>
              </w:rPr>
              <w:t>主要生产设备一览表</w:t>
            </w:r>
          </w:p>
          <w:tbl>
            <w:tblPr>
              <w:tblStyle w:val="143"/>
              <w:tblW w:w="809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3"/>
              <w:gridCol w:w="3456"/>
              <w:gridCol w:w="2011"/>
              <w:gridCol w:w="1454"/>
            </w:tblGrid>
            <w:tr w14:paraId="43CE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73" w:type="dxa"/>
                  <w:noWrap w:val="0"/>
                  <w:vAlign w:val="center"/>
                </w:tcPr>
                <w:p w14:paraId="010C7993">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序号</w:t>
                  </w:r>
                </w:p>
              </w:tc>
              <w:tc>
                <w:tcPr>
                  <w:tcW w:w="3456" w:type="dxa"/>
                  <w:noWrap w:val="0"/>
                  <w:vAlign w:val="center"/>
                </w:tcPr>
                <w:p w14:paraId="1EDE3FD8">
                  <w:pPr>
                    <w:jc w:val="center"/>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rPr>
                    <w:t>名称</w:t>
                  </w:r>
                </w:p>
              </w:tc>
              <w:tc>
                <w:tcPr>
                  <w:tcW w:w="2011" w:type="dxa"/>
                  <w:noWrap w:val="0"/>
                  <w:vAlign w:val="center"/>
                </w:tcPr>
                <w:p w14:paraId="7ACDEB1A">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型号</w:t>
                  </w:r>
                </w:p>
              </w:tc>
              <w:tc>
                <w:tcPr>
                  <w:tcW w:w="1454" w:type="dxa"/>
                  <w:noWrap w:val="0"/>
                  <w:vAlign w:val="center"/>
                </w:tcPr>
                <w:p w14:paraId="5419F456">
                  <w:pPr>
                    <w:jc w:val="center"/>
                    <w:rPr>
                      <w:rFonts w:hint="default" w:ascii="Times New Roman" w:hAnsi="Times New Roman" w:eastAsia="宋体" w:cs="Times New Roman"/>
                      <w:b/>
                      <w:bCs/>
                      <w:color w:val="auto"/>
                      <w:sz w:val="21"/>
                      <w:szCs w:val="21"/>
                      <w:highlight w:val="none"/>
                      <w:u w:val="none" w:color="auto"/>
                      <w:lang w:eastAsia="zh-CN"/>
                    </w:rPr>
                  </w:pPr>
                  <w:r>
                    <w:rPr>
                      <w:rFonts w:hint="eastAsia" w:ascii="Times New Roman" w:hAnsi="Times New Roman" w:eastAsia="宋体" w:cs="Times New Roman"/>
                      <w:b/>
                      <w:bCs/>
                      <w:color w:val="auto"/>
                      <w:sz w:val="21"/>
                      <w:szCs w:val="21"/>
                      <w:highlight w:val="none"/>
                      <w:u w:val="none" w:color="auto"/>
                      <w:lang w:val="en-US" w:eastAsia="zh-CN"/>
                    </w:rPr>
                    <w:t>备注</w:t>
                  </w:r>
                </w:p>
              </w:tc>
            </w:tr>
            <w:tr w14:paraId="7FB6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73" w:type="dxa"/>
                  <w:noWrap w:val="0"/>
                  <w:vAlign w:val="center"/>
                </w:tcPr>
                <w:p w14:paraId="6E464086">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3456" w:type="dxa"/>
                  <w:shd w:val="clear" w:color="auto" w:fill="auto"/>
                  <w:noWrap w:val="0"/>
                  <w:vAlign w:val="center"/>
                </w:tcPr>
                <w:p w14:paraId="7C89069A">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轮胎式集装箱龙门起重机</w:t>
                  </w:r>
                </w:p>
              </w:tc>
              <w:tc>
                <w:tcPr>
                  <w:tcW w:w="2011" w:type="dxa"/>
                  <w:shd w:val="clear" w:color="auto" w:fill="auto"/>
                  <w:noWrap w:val="0"/>
                  <w:vAlign w:val="center"/>
                </w:tcPr>
                <w:p w14:paraId="5BDFFB55">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RTG 41t</w:t>
                  </w:r>
                  <w:r>
                    <w:rPr>
                      <w:rFonts w:hint="eastAsia" w:ascii="Times New Roman" w:hAnsi="Times New Roman" w:cs="Times New Roman"/>
                      <w:color w:val="auto"/>
                      <w:sz w:val="21"/>
                      <w:szCs w:val="21"/>
                      <w:highlight w:val="none"/>
                      <w:u w:val="none" w:color="auto"/>
                      <w:lang w:val="en-US" w:eastAsia="zh-CN"/>
                    </w:rPr>
                    <w:t>（电动）</w:t>
                  </w:r>
                </w:p>
              </w:tc>
              <w:tc>
                <w:tcPr>
                  <w:tcW w:w="1454" w:type="dxa"/>
                  <w:shd w:val="clear" w:color="auto" w:fill="auto"/>
                  <w:noWrap w:val="0"/>
                  <w:vAlign w:val="center"/>
                </w:tcPr>
                <w:p w14:paraId="2B9C693F">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依托原有</w:t>
                  </w:r>
                </w:p>
              </w:tc>
            </w:tr>
            <w:tr w14:paraId="1B60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173" w:type="dxa"/>
                  <w:noWrap w:val="0"/>
                  <w:vAlign w:val="center"/>
                </w:tcPr>
                <w:p w14:paraId="747B694E">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3456" w:type="dxa"/>
                  <w:shd w:val="clear" w:color="auto" w:fill="auto"/>
                  <w:noWrap w:val="0"/>
                  <w:vAlign w:val="center"/>
                </w:tcPr>
                <w:p w14:paraId="0C78D5EF">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集装箱牵引车拖半挂车</w:t>
                  </w:r>
                </w:p>
              </w:tc>
              <w:tc>
                <w:tcPr>
                  <w:tcW w:w="2011" w:type="dxa"/>
                  <w:shd w:val="clear" w:color="auto" w:fill="auto"/>
                  <w:noWrap w:val="0"/>
                  <w:vAlign w:val="center"/>
                </w:tcPr>
                <w:p w14:paraId="4CDE7403">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w:t>
                  </w:r>
                </w:p>
              </w:tc>
              <w:tc>
                <w:tcPr>
                  <w:tcW w:w="1454" w:type="dxa"/>
                  <w:shd w:val="clear" w:color="auto" w:fill="auto"/>
                  <w:noWrap w:val="0"/>
                  <w:vAlign w:val="center"/>
                </w:tcPr>
                <w:p w14:paraId="470B7345">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依托原有</w:t>
                  </w:r>
                </w:p>
              </w:tc>
            </w:tr>
          </w:tbl>
          <w:p w14:paraId="6CFB0E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5</w:t>
            </w:r>
            <w:r>
              <w:rPr>
                <w:rFonts w:hint="default" w:ascii="Times New Roman" w:hAnsi="Times New Roman" w:eastAsia="宋体" w:cs="Times New Roman"/>
                <w:b/>
                <w:bCs/>
                <w:color w:val="auto"/>
                <w:sz w:val="24"/>
                <w:szCs w:val="24"/>
                <w:highlight w:val="none"/>
                <w:u w:val="none" w:color="auto"/>
                <w:lang w:val="en-US" w:eastAsia="zh-CN"/>
              </w:rPr>
              <w:t>、项目</w:t>
            </w:r>
            <w:r>
              <w:rPr>
                <w:rFonts w:hint="eastAsia" w:ascii="Times New Roman" w:hAnsi="Times New Roman" w:eastAsia="宋体" w:cs="Times New Roman"/>
                <w:b/>
                <w:bCs/>
                <w:color w:val="auto"/>
                <w:sz w:val="24"/>
                <w:szCs w:val="24"/>
                <w:highlight w:val="none"/>
                <w:u w:val="none" w:color="auto"/>
                <w:lang w:val="en-US" w:eastAsia="zh-CN"/>
              </w:rPr>
              <w:t>混堆</w:t>
            </w:r>
            <w:r>
              <w:rPr>
                <w:rFonts w:hint="default" w:ascii="Times New Roman" w:hAnsi="Times New Roman" w:eastAsia="宋体" w:cs="Times New Roman"/>
                <w:b/>
                <w:bCs/>
                <w:color w:val="auto"/>
                <w:sz w:val="24"/>
                <w:szCs w:val="24"/>
                <w:highlight w:val="none"/>
                <w:u w:val="none" w:color="auto"/>
                <w:lang w:val="en-US" w:eastAsia="zh-CN"/>
              </w:rPr>
              <w:t>方案</w:t>
            </w:r>
          </w:p>
          <w:p w14:paraId="4622CEC3">
            <w:pPr>
              <w:pStyle w:val="144"/>
              <w:keepNext w:val="0"/>
              <w:keepLines w:val="0"/>
              <w:suppressLineNumbers w:val="0"/>
              <w:spacing w:before="157" w:beforeAutospacing="0" w:after="0" w:afterAutospacing="0" w:line="360" w:lineRule="auto"/>
              <w:ind w:left="106" w:right="96" w:firstLine="420"/>
              <w:rPr>
                <w:rFonts w:hint="default" w:ascii="Times New Roman" w:hAnsi="Times New Roman" w:eastAsia="宋体" w:cs="Times New Roman"/>
                <w:color w:val="auto"/>
                <w:spacing w:val="-1"/>
                <w:sz w:val="24"/>
                <w:szCs w:val="24"/>
                <w:highlight w:val="none"/>
                <w:u w:val="none" w:color="auto"/>
              </w:rPr>
            </w:pPr>
            <w:r>
              <w:rPr>
                <w:rFonts w:hint="default" w:ascii="Times New Roman" w:hAnsi="Times New Roman" w:eastAsia="宋体" w:cs="Times New Roman"/>
                <w:color w:val="auto"/>
                <w:spacing w:val="-2"/>
                <w:sz w:val="24"/>
                <w:szCs w:val="24"/>
                <w:highlight w:val="none"/>
                <w:u w:val="none" w:color="auto"/>
              </w:rPr>
              <w:t>根据建设单位提供资料，本项目</w:t>
            </w:r>
            <w:r>
              <w:rPr>
                <w:rFonts w:hint="default" w:ascii="Times New Roman" w:hAnsi="Times New Roman" w:eastAsia="宋体" w:cs="Times New Roman"/>
                <w:color w:val="auto"/>
                <w:spacing w:val="-2"/>
                <w:sz w:val="24"/>
                <w:szCs w:val="24"/>
                <w:highlight w:val="none"/>
                <w:u w:val="none" w:color="auto"/>
                <w:lang w:val="en-US" w:eastAsia="zh-CN"/>
              </w:rPr>
              <w:t>混堆</w:t>
            </w:r>
            <w:r>
              <w:rPr>
                <w:rFonts w:hint="eastAsia" w:ascii="Times New Roman" w:hAnsi="Times New Roman" w:eastAsia="宋体" w:cs="Times New Roman"/>
                <w:color w:val="auto"/>
                <w:spacing w:val="-2"/>
                <w:sz w:val="24"/>
                <w:szCs w:val="24"/>
                <w:highlight w:val="none"/>
                <w:u w:val="none" w:color="auto"/>
                <w:lang w:val="en-US" w:eastAsia="zh-CN"/>
              </w:rPr>
              <w:t>危险货物集装箱</w:t>
            </w:r>
            <w:r>
              <w:rPr>
                <w:rFonts w:hint="default" w:ascii="Times New Roman" w:hAnsi="Times New Roman" w:eastAsia="宋体" w:cs="Times New Roman"/>
                <w:color w:val="auto"/>
                <w:spacing w:val="-2"/>
                <w:sz w:val="24"/>
                <w:szCs w:val="24"/>
                <w:highlight w:val="none"/>
                <w:u w:val="none" w:color="auto"/>
                <w:lang w:val="en-US" w:eastAsia="zh-CN"/>
              </w:rPr>
              <w:t>为8类、9类固态危险货物中无副危险性、包装类非I、</w:t>
            </w:r>
            <w:r>
              <w:rPr>
                <w:rFonts w:hint="eastAsia" w:ascii="Times New Roman" w:hAnsi="Times New Roman" w:cs="Times New Roman"/>
                <w:color w:val="auto"/>
                <w:spacing w:val="-2"/>
                <w:sz w:val="24"/>
                <w:szCs w:val="24"/>
                <w:highlight w:val="none"/>
                <w:u w:val="none" w:color="auto"/>
                <w:lang w:val="en-US" w:eastAsia="zh-CN"/>
              </w:rPr>
              <w:t>Ⅱ类</w:t>
            </w:r>
            <w:r>
              <w:rPr>
                <w:rFonts w:hint="default" w:ascii="Times New Roman" w:hAnsi="Times New Roman" w:eastAsia="宋体" w:cs="Times New Roman"/>
                <w:color w:val="auto"/>
                <w:spacing w:val="-2"/>
                <w:sz w:val="24"/>
                <w:szCs w:val="24"/>
                <w:highlight w:val="none"/>
                <w:u w:val="none" w:color="auto"/>
                <w:lang w:val="en-US" w:eastAsia="zh-CN"/>
              </w:rPr>
              <w:t>且不属于危险化学品的集装箱的</w:t>
            </w:r>
            <w:r>
              <w:rPr>
                <w:rFonts w:hint="eastAsia" w:ascii="Times New Roman" w:hAnsi="Times New Roman" w:cs="Times New Roman"/>
                <w:color w:val="auto"/>
                <w:spacing w:val="-2"/>
                <w:sz w:val="24"/>
                <w:szCs w:val="24"/>
                <w:highlight w:val="none"/>
                <w:u w:val="none" w:color="auto"/>
                <w:lang w:val="en-US" w:eastAsia="zh-CN"/>
              </w:rPr>
              <w:t>37</w:t>
            </w:r>
            <w:r>
              <w:rPr>
                <w:rFonts w:hint="default" w:ascii="Times New Roman" w:hAnsi="Times New Roman" w:eastAsia="宋体" w:cs="Times New Roman"/>
                <w:color w:val="auto"/>
                <w:spacing w:val="-2"/>
                <w:sz w:val="24"/>
                <w:szCs w:val="24"/>
                <w:highlight w:val="none"/>
                <w:u w:val="none" w:color="auto"/>
                <w:lang w:val="en-US" w:eastAsia="zh-CN"/>
              </w:rPr>
              <w:t>种货物</w:t>
            </w:r>
            <w:r>
              <w:rPr>
                <w:rFonts w:hint="default" w:ascii="Times New Roman" w:hAnsi="Times New Roman" w:eastAsia="宋体" w:cs="Times New Roman"/>
                <w:color w:val="auto"/>
                <w:spacing w:val="-2"/>
                <w:sz w:val="24"/>
                <w:szCs w:val="24"/>
                <w:highlight w:val="none"/>
                <w:u w:val="none" w:color="auto"/>
              </w:rPr>
              <w:t>：</w:t>
            </w:r>
            <w:r>
              <w:rPr>
                <w:rFonts w:hint="eastAsia" w:ascii="Times New Roman" w:hAnsi="Times New Roman" w:eastAsia="宋体" w:cs="Times New Roman"/>
                <w:color w:val="auto"/>
                <w:spacing w:val="-2"/>
                <w:sz w:val="24"/>
                <w:szCs w:val="24"/>
                <w:highlight w:val="none"/>
                <w:u w:val="none" w:color="auto"/>
                <w:lang w:val="en-US" w:eastAsia="zh-CN"/>
              </w:rPr>
              <w:t>见下表</w:t>
            </w:r>
            <w:r>
              <w:rPr>
                <w:rFonts w:hint="default" w:ascii="Times New Roman" w:hAnsi="Times New Roman" w:eastAsia="宋体" w:cs="Times New Roman"/>
                <w:color w:val="auto"/>
                <w:spacing w:val="-1"/>
                <w:sz w:val="24"/>
                <w:szCs w:val="24"/>
                <w:highlight w:val="none"/>
                <w:u w:val="none" w:color="auto"/>
              </w:rPr>
              <w:t xml:space="preserve">。 </w:t>
            </w:r>
          </w:p>
          <w:p w14:paraId="230F47F1">
            <w:pPr>
              <w:pStyle w:val="144"/>
              <w:keepNext w:val="0"/>
              <w:keepLines w:val="0"/>
              <w:pageBreakBefore w:val="0"/>
              <w:widowControl w:val="0"/>
              <w:suppressLineNumbers w:val="0"/>
              <w:kinsoku/>
              <w:wordWrap/>
              <w:overflowPunct/>
              <w:topLinePunct w:val="0"/>
              <w:autoSpaceDE/>
              <w:autoSpaceDN/>
              <w:bidi w:val="0"/>
              <w:adjustRightInd/>
              <w:snapToGrid/>
              <w:spacing w:before="157" w:beforeAutospacing="0" w:after="0" w:afterAutospacing="0" w:line="240" w:lineRule="auto"/>
              <w:ind w:left="108" w:right="96" w:firstLine="420"/>
              <w:jc w:val="center"/>
              <w:textAlignment w:val="auto"/>
              <w:rPr>
                <w:rFonts w:hint="default" w:ascii="Times New Roman" w:hAnsi="Times New Roman" w:eastAsia="宋体" w:cs="Times New Roman"/>
                <w:b/>
                <w:bCs/>
                <w:color w:val="auto"/>
                <w:spacing w:val="-1"/>
                <w:sz w:val="21"/>
                <w:szCs w:val="21"/>
                <w:highlight w:val="none"/>
                <w:u w:val="none" w:color="auto"/>
              </w:rPr>
            </w:pPr>
            <w:r>
              <w:rPr>
                <w:rFonts w:hint="default" w:ascii="Times New Roman" w:hAnsi="Times New Roman" w:eastAsia="宋体" w:cs="Times New Roman"/>
                <w:b/>
                <w:bCs/>
                <w:color w:val="auto"/>
                <w:spacing w:val="-1"/>
                <w:sz w:val="21"/>
                <w:szCs w:val="21"/>
                <w:highlight w:val="none"/>
                <w:u w:val="none" w:color="auto"/>
                <w:lang w:val="en-GB"/>
              </w:rPr>
              <w:t>表</w:t>
            </w:r>
            <w:r>
              <w:rPr>
                <w:rFonts w:hint="default" w:ascii="Times New Roman" w:hAnsi="Times New Roman" w:eastAsia="宋体" w:cs="Times New Roman"/>
                <w:b/>
                <w:bCs/>
                <w:color w:val="auto"/>
                <w:spacing w:val="-1"/>
                <w:sz w:val="21"/>
                <w:szCs w:val="21"/>
                <w:highlight w:val="none"/>
                <w:u w:val="none" w:color="auto"/>
                <w:lang w:val="en-US" w:eastAsia="zh-CN"/>
              </w:rPr>
              <w:t>2</w:t>
            </w:r>
            <w:r>
              <w:rPr>
                <w:rFonts w:hint="default" w:ascii="Times New Roman" w:hAnsi="Times New Roman" w:eastAsia="宋体" w:cs="Times New Roman"/>
                <w:b/>
                <w:bCs/>
                <w:color w:val="auto"/>
                <w:spacing w:val="-1"/>
                <w:sz w:val="21"/>
                <w:szCs w:val="21"/>
                <w:highlight w:val="none"/>
                <w:u w:val="none" w:color="auto"/>
              </w:rPr>
              <w:t>-</w:t>
            </w:r>
            <w:r>
              <w:rPr>
                <w:rFonts w:hint="eastAsia" w:ascii="Times New Roman" w:hAnsi="Times New Roman" w:eastAsia="宋体" w:cs="Times New Roman"/>
                <w:b/>
                <w:bCs/>
                <w:color w:val="auto"/>
                <w:spacing w:val="-1"/>
                <w:sz w:val="21"/>
                <w:szCs w:val="21"/>
                <w:highlight w:val="none"/>
                <w:u w:val="none" w:color="auto"/>
                <w:lang w:val="en-US" w:eastAsia="zh-CN"/>
              </w:rPr>
              <w:t>3</w:t>
            </w:r>
            <w:r>
              <w:rPr>
                <w:rFonts w:hint="default" w:ascii="Times New Roman" w:hAnsi="Times New Roman" w:eastAsia="宋体" w:cs="Times New Roman"/>
                <w:b/>
                <w:bCs/>
                <w:color w:val="auto"/>
                <w:spacing w:val="-1"/>
                <w:sz w:val="21"/>
                <w:szCs w:val="21"/>
                <w:highlight w:val="none"/>
                <w:u w:val="none" w:color="auto"/>
              </w:rPr>
              <w:t>项目可混堆集装箱危险货物品名表</w:t>
            </w:r>
          </w:p>
          <w:tbl>
            <w:tblPr>
              <w:tblStyle w:val="46"/>
              <w:tblW w:w="5000" w:type="pct"/>
              <w:tblInd w:w="1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0"/>
              <w:gridCol w:w="955"/>
              <w:gridCol w:w="2870"/>
              <w:gridCol w:w="1042"/>
              <w:gridCol w:w="887"/>
              <w:gridCol w:w="960"/>
              <w:gridCol w:w="861"/>
            </w:tblGrid>
            <w:tr w14:paraId="407E24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431" w:type="dxa"/>
                  <w:shd w:val="clear" w:color="auto" w:fill="auto"/>
                  <w:noWrap w:val="0"/>
                  <w:vAlign w:val="center"/>
                </w:tcPr>
                <w:p w14:paraId="5B58F80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序号</w:t>
                  </w:r>
                </w:p>
              </w:tc>
              <w:tc>
                <w:tcPr>
                  <w:tcW w:w="791" w:type="dxa"/>
                  <w:shd w:val="clear" w:color="auto" w:fill="auto"/>
                  <w:noWrap w:val="0"/>
                  <w:vAlign w:val="center"/>
                </w:tcPr>
                <w:p w14:paraId="5F56A66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UN号</w:t>
                  </w:r>
                </w:p>
              </w:tc>
              <w:tc>
                <w:tcPr>
                  <w:tcW w:w="2378" w:type="dxa"/>
                  <w:shd w:val="clear" w:color="auto" w:fill="auto"/>
                  <w:noWrap w:val="0"/>
                  <w:vAlign w:val="center"/>
                </w:tcPr>
                <w:p w14:paraId="382D76F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名称和说明</w:t>
                  </w:r>
                </w:p>
              </w:tc>
              <w:tc>
                <w:tcPr>
                  <w:tcW w:w="863" w:type="dxa"/>
                  <w:shd w:val="clear" w:color="auto" w:fill="auto"/>
                  <w:noWrap w:val="0"/>
                  <w:vAlign w:val="center"/>
                </w:tcPr>
                <w:p w14:paraId="3E58403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zh-CN"/>
                    </w:rPr>
                  </w:pPr>
                  <w:r>
                    <w:rPr>
                      <w:rFonts w:hint="eastAsia" w:ascii="Times New Roman" w:hAnsi="Times New Roman" w:eastAsia="宋体" w:cs="Times New Roman"/>
                      <w:b w:val="0"/>
                      <w:bCs/>
                      <w:color w:val="auto"/>
                      <w:kern w:val="0"/>
                      <w:sz w:val="21"/>
                      <w:szCs w:val="21"/>
                      <w:u w:val="none" w:color="auto"/>
                      <w:lang w:val="zh-CN"/>
                    </w:rPr>
                    <w:t>危险货物类别</w:t>
                  </w:r>
                </w:p>
              </w:tc>
              <w:tc>
                <w:tcPr>
                  <w:tcW w:w="735" w:type="dxa"/>
                  <w:shd w:val="clear" w:color="auto" w:fill="auto"/>
                  <w:noWrap w:val="0"/>
                  <w:vAlign w:val="center"/>
                </w:tcPr>
                <w:p w14:paraId="2D2ACDC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en-US" w:eastAsia="zh-CN"/>
                    </w:rPr>
                  </w:pPr>
                  <w:r>
                    <w:rPr>
                      <w:rFonts w:hint="eastAsia" w:ascii="Times New Roman" w:hAnsi="Times New Roman" w:eastAsia="宋体" w:cs="Times New Roman"/>
                      <w:b w:val="0"/>
                      <w:bCs/>
                      <w:color w:val="auto"/>
                      <w:kern w:val="0"/>
                      <w:sz w:val="21"/>
                      <w:szCs w:val="21"/>
                      <w:u w:val="none" w:color="auto"/>
                      <w:lang w:val="en-US" w:eastAsia="zh-CN"/>
                    </w:rPr>
                    <w:t>包装类别</w:t>
                  </w:r>
                </w:p>
              </w:tc>
              <w:tc>
                <w:tcPr>
                  <w:tcW w:w="795" w:type="dxa"/>
                  <w:shd w:val="clear" w:color="auto" w:fill="auto"/>
                  <w:noWrap w:val="0"/>
                  <w:vAlign w:val="center"/>
                </w:tcPr>
                <w:p w14:paraId="5827F7E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auto"/>
                      <w:kern w:val="0"/>
                      <w:sz w:val="21"/>
                      <w:szCs w:val="21"/>
                      <w:u w:val="none" w:color="auto"/>
                      <w:lang w:val="en-US" w:eastAsia="zh-CN"/>
                    </w:rPr>
                  </w:pPr>
                  <w:r>
                    <w:rPr>
                      <w:rFonts w:hint="eastAsia" w:ascii="Times New Roman" w:hAnsi="Times New Roman" w:eastAsia="宋体" w:cs="Times New Roman"/>
                      <w:b w:val="0"/>
                      <w:bCs/>
                      <w:color w:val="auto"/>
                      <w:kern w:val="0"/>
                      <w:sz w:val="21"/>
                      <w:szCs w:val="21"/>
                      <w:u w:val="none" w:color="auto"/>
                      <w:lang w:val="en-US" w:eastAsia="zh-CN"/>
                    </w:rPr>
                    <w:t>副危险性</w:t>
                  </w:r>
                </w:p>
              </w:tc>
              <w:tc>
                <w:tcPr>
                  <w:tcW w:w="713" w:type="dxa"/>
                  <w:shd w:val="clear" w:color="auto" w:fill="auto"/>
                  <w:noWrap w:val="0"/>
                  <w:vAlign w:val="center"/>
                </w:tcPr>
                <w:p w14:paraId="1A36427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0"/>
                      <w:sz w:val="21"/>
                      <w:szCs w:val="21"/>
                      <w:u w:val="single" w:color="auto"/>
                      <w:lang w:val="en-US" w:eastAsia="zh-CN"/>
                    </w:rPr>
                  </w:pPr>
                  <w:r>
                    <w:rPr>
                      <w:rFonts w:hint="eastAsia" w:cs="Times New Roman"/>
                      <w:b w:val="0"/>
                      <w:bCs/>
                      <w:color w:val="auto"/>
                      <w:kern w:val="0"/>
                      <w:sz w:val="21"/>
                      <w:szCs w:val="21"/>
                      <w:u w:val="single" w:color="auto"/>
                      <w:lang w:val="en-US" w:eastAsia="zh-CN"/>
                    </w:rPr>
                    <w:t>形态</w:t>
                  </w:r>
                </w:p>
              </w:tc>
            </w:tr>
            <w:tr w14:paraId="0F5038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2093936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w:t>
                  </w:r>
                </w:p>
              </w:tc>
              <w:tc>
                <w:tcPr>
                  <w:tcW w:w="791" w:type="dxa"/>
                  <w:shd w:val="clear" w:color="auto" w:fill="auto"/>
                  <w:noWrap w:val="0"/>
                  <w:vAlign w:val="center"/>
                </w:tcPr>
                <w:p w14:paraId="5313446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2216</w:t>
                  </w:r>
                </w:p>
              </w:tc>
              <w:tc>
                <w:tcPr>
                  <w:tcW w:w="2378" w:type="dxa"/>
                  <w:shd w:val="clear" w:color="auto" w:fill="auto"/>
                  <w:noWrap w:val="0"/>
                  <w:vAlign w:val="center"/>
                </w:tcPr>
                <w:p w14:paraId="1964E2F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鱼粉（鱼屑），稳定的</w:t>
                  </w:r>
                </w:p>
              </w:tc>
              <w:tc>
                <w:tcPr>
                  <w:tcW w:w="863" w:type="dxa"/>
                  <w:shd w:val="clear" w:color="auto" w:fill="auto"/>
                  <w:noWrap w:val="0"/>
                  <w:vAlign w:val="center"/>
                </w:tcPr>
                <w:p w14:paraId="78E7EC6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0D28824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Ⅲ</w:t>
                  </w:r>
                </w:p>
              </w:tc>
              <w:tc>
                <w:tcPr>
                  <w:tcW w:w="795" w:type="dxa"/>
                  <w:shd w:val="clear" w:color="auto" w:fill="auto"/>
                  <w:noWrap w:val="0"/>
                  <w:vAlign w:val="center"/>
                </w:tcPr>
                <w:p w14:paraId="698A89C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828A25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single" w:color="auto"/>
                      <w:lang w:val="en-US" w:eastAsia="zh-CN"/>
                    </w:rPr>
                  </w:pPr>
                  <w:r>
                    <w:rPr>
                      <w:rFonts w:hint="eastAsia" w:cs="Times New Roman"/>
                      <w:color w:val="auto"/>
                      <w:kern w:val="0"/>
                      <w:sz w:val="21"/>
                      <w:szCs w:val="21"/>
                      <w:u w:val="single" w:color="auto"/>
                      <w:lang w:val="en-US" w:eastAsia="zh-CN"/>
                    </w:rPr>
                    <w:t>固态</w:t>
                  </w:r>
                </w:p>
              </w:tc>
            </w:tr>
            <w:tr w14:paraId="2C6B35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7BDF35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w:t>
                  </w:r>
                </w:p>
              </w:tc>
              <w:tc>
                <w:tcPr>
                  <w:tcW w:w="791" w:type="dxa"/>
                  <w:shd w:val="clear" w:color="auto" w:fill="auto"/>
                  <w:noWrap w:val="0"/>
                  <w:vAlign w:val="center"/>
                </w:tcPr>
                <w:p w14:paraId="6FA7DB4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2807</w:t>
                  </w:r>
                </w:p>
              </w:tc>
              <w:tc>
                <w:tcPr>
                  <w:tcW w:w="2378" w:type="dxa"/>
                  <w:shd w:val="clear" w:color="auto" w:fill="auto"/>
                  <w:noWrap w:val="0"/>
                  <w:vAlign w:val="center"/>
                </w:tcPr>
                <w:p w14:paraId="2201B47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磁化材料</w:t>
                  </w:r>
                </w:p>
              </w:tc>
              <w:tc>
                <w:tcPr>
                  <w:tcW w:w="863" w:type="dxa"/>
                  <w:shd w:val="clear" w:color="auto" w:fill="auto"/>
                  <w:noWrap w:val="0"/>
                  <w:vAlign w:val="center"/>
                </w:tcPr>
                <w:p w14:paraId="23AD38A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190F3E8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4E09A2A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8427ED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108BF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E4C767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w:t>
                  </w:r>
                </w:p>
              </w:tc>
              <w:tc>
                <w:tcPr>
                  <w:tcW w:w="791" w:type="dxa"/>
                  <w:shd w:val="clear" w:color="auto" w:fill="auto"/>
                  <w:noWrap w:val="0"/>
                  <w:vAlign w:val="center"/>
                </w:tcPr>
                <w:p w14:paraId="16BA38D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2990</w:t>
                  </w:r>
                </w:p>
              </w:tc>
              <w:tc>
                <w:tcPr>
                  <w:tcW w:w="2378" w:type="dxa"/>
                  <w:shd w:val="clear" w:color="auto" w:fill="auto"/>
                  <w:noWrap w:val="0"/>
                  <w:vAlign w:val="center"/>
                </w:tcPr>
                <w:p w14:paraId="0FE6A07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救生设备，自动膨胀式</w:t>
                  </w:r>
                </w:p>
              </w:tc>
              <w:tc>
                <w:tcPr>
                  <w:tcW w:w="863" w:type="dxa"/>
                  <w:shd w:val="clear" w:color="auto" w:fill="auto"/>
                  <w:noWrap w:val="0"/>
                  <w:vAlign w:val="center"/>
                </w:tcPr>
                <w:p w14:paraId="119CFBC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49974F5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698800E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405C4D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CBFD5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3B6090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4</w:t>
                  </w:r>
                </w:p>
              </w:tc>
              <w:tc>
                <w:tcPr>
                  <w:tcW w:w="791" w:type="dxa"/>
                  <w:shd w:val="clear" w:color="auto" w:fill="auto"/>
                  <w:noWrap w:val="0"/>
                  <w:vAlign w:val="center"/>
                </w:tcPr>
                <w:p w14:paraId="5F11E3A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3028</w:t>
                  </w:r>
                </w:p>
              </w:tc>
              <w:tc>
                <w:tcPr>
                  <w:tcW w:w="2378" w:type="dxa"/>
                  <w:shd w:val="clear" w:color="auto" w:fill="auto"/>
                  <w:noWrap w:val="0"/>
                  <w:vAlign w:val="center"/>
                </w:tcPr>
                <w:p w14:paraId="5BF63E6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蓄电池，干的，含固体氢氧化钾</w:t>
                  </w:r>
                </w:p>
              </w:tc>
              <w:tc>
                <w:tcPr>
                  <w:tcW w:w="863" w:type="dxa"/>
                  <w:shd w:val="clear" w:color="auto" w:fill="auto"/>
                  <w:noWrap w:val="0"/>
                  <w:vAlign w:val="center"/>
                </w:tcPr>
                <w:p w14:paraId="01C7A72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8</w:t>
                  </w:r>
                </w:p>
              </w:tc>
              <w:tc>
                <w:tcPr>
                  <w:tcW w:w="735" w:type="dxa"/>
                  <w:shd w:val="clear" w:color="auto" w:fill="auto"/>
                  <w:noWrap w:val="0"/>
                  <w:vAlign w:val="center"/>
                </w:tcPr>
                <w:p w14:paraId="391047A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1AC4836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C8B77F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D309E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A4B2F5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5</w:t>
                  </w:r>
                </w:p>
              </w:tc>
              <w:tc>
                <w:tcPr>
                  <w:tcW w:w="791" w:type="dxa"/>
                  <w:shd w:val="clear" w:color="auto" w:fill="auto"/>
                  <w:noWrap w:val="0"/>
                  <w:vAlign w:val="center"/>
                </w:tcPr>
                <w:p w14:paraId="6B6A011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3072</w:t>
                  </w:r>
                </w:p>
              </w:tc>
              <w:tc>
                <w:tcPr>
                  <w:tcW w:w="2378" w:type="dxa"/>
                  <w:shd w:val="clear" w:color="auto" w:fill="auto"/>
                  <w:noWrap w:val="0"/>
                  <w:vAlign w:val="center"/>
                </w:tcPr>
                <w:p w14:paraId="33ADA26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非自动膨胀式救生设备，装备中含有危险物品</w:t>
                  </w:r>
                </w:p>
              </w:tc>
              <w:tc>
                <w:tcPr>
                  <w:tcW w:w="863" w:type="dxa"/>
                  <w:shd w:val="clear" w:color="auto" w:fill="auto"/>
                  <w:noWrap w:val="0"/>
                  <w:vAlign w:val="center"/>
                </w:tcPr>
                <w:p w14:paraId="5E60AD4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4E47077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06B62B1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092452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7CCA58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497B45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6</w:t>
                  </w:r>
                </w:p>
              </w:tc>
              <w:tc>
                <w:tcPr>
                  <w:tcW w:w="791" w:type="dxa"/>
                  <w:shd w:val="clear" w:color="auto" w:fill="auto"/>
                  <w:noWrap w:val="0"/>
                  <w:vAlign w:val="center"/>
                </w:tcPr>
                <w:p w14:paraId="28F94AF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3166</w:t>
                  </w:r>
                </w:p>
              </w:tc>
              <w:tc>
                <w:tcPr>
                  <w:tcW w:w="2378" w:type="dxa"/>
                  <w:shd w:val="clear" w:color="auto" w:fill="auto"/>
                  <w:noWrap w:val="0"/>
                  <w:vAlign w:val="center"/>
                </w:tcPr>
                <w:p w14:paraId="219034D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rPr>
                  </w:pPr>
                  <w:r>
                    <w:rPr>
                      <w:rFonts w:hint="eastAsia" w:ascii="Times New Roman" w:hAnsi="Times New Roman" w:eastAsia="宋体" w:cs="Times New Roman"/>
                      <w:color w:val="auto"/>
                      <w:kern w:val="0"/>
                      <w:sz w:val="21"/>
                      <w:szCs w:val="21"/>
                      <w:u w:val="none" w:color="auto"/>
                      <w:lang w:val="zh-CN"/>
                    </w:rPr>
                    <w:t>易燃气体驱动车辆，</w:t>
                  </w:r>
                  <w:r>
                    <w:rPr>
                      <w:rFonts w:hint="eastAsia" w:ascii="Times New Roman" w:hAnsi="Times New Roman" w:eastAsia="宋体" w:cs="Times New Roman"/>
                      <w:color w:val="auto"/>
                      <w:kern w:val="0"/>
                      <w:sz w:val="21"/>
                      <w:szCs w:val="21"/>
                      <w:u w:val="none" w:color="auto"/>
                      <w:lang w:val="en-US" w:eastAsia="zh-CN"/>
                    </w:rPr>
                    <w:t>或</w:t>
                  </w:r>
                  <w:r>
                    <w:rPr>
                      <w:rFonts w:hint="eastAsia" w:ascii="Times New Roman" w:hAnsi="Times New Roman" w:eastAsia="宋体" w:cs="Times New Roman"/>
                      <w:color w:val="auto"/>
                      <w:kern w:val="0"/>
                      <w:sz w:val="21"/>
                      <w:szCs w:val="21"/>
                      <w:u w:val="none" w:color="auto"/>
                      <w:lang w:val="zh-CN"/>
                    </w:rPr>
                    <w:t>易燃液体</w:t>
                  </w:r>
                  <w:r>
                    <w:rPr>
                      <w:rFonts w:hint="eastAsia" w:ascii="Times New Roman" w:hAnsi="Times New Roman" w:eastAsia="宋体" w:cs="Times New Roman"/>
                      <w:color w:val="auto"/>
                      <w:kern w:val="0"/>
                      <w:sz w:val="21"/>
                      <w:szCs w:val="21"/>
                      <w:u w:val="none" w:color="auto"/>
                      <w:lang w:val="en-US" w:eastAsia="zh-CN"/>
                    </w:rPr>
                    <w:t>动力车辆，或易燃气体燃料电池动力车辆，或易燃液体燃料电池动力车辆</w:t>
                  </w:r>
                </w:p>
              </w:tc>
              <w:tc>
                <w:tcPr>
                  <w:tcW w:w="863" w:type="dxa"/>
                  <w:shd w:val="clear" w:color="auto" w:fill="auto"/>
                  <w:noWrap w:val="0"/>
                  <w:vAlign w:val="center"/>
                </w:tcPr>
                <w:p w14:paraId="359053E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236958F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081710A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FF5CFA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DFEEA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7405A2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7</w:t>
                  </w:r>
                </w:p>
              </w:tc>
              <w:tc>
                <w:tcPr>
                  <w:tcW w:w="791" w:type="dxa"/>
                  <w:shd w:val="clear" w:color="auto" w:fill="auto"/>
                  <w:noWrap w:val="0"/>
                  <w:vAlign w:val="center"/>
                </w:tcPr>
                <w:p w14:paraId="52C3F93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3171</w:t>
                  </w:r>
                </w:p>
              </w:tc>
              <w:tc>
                <w:tcPr>
                  <w:tcW w:w="2378" w:type="dxa"/>
                  <w:shd w:val="clear" w:color="auto" w:fill="auto"/>
                  <w:noWrap w:val="0"/>
                  <w:vAlign w:val="center"/>
                </w:tcPr>
                <w:p w14:paraId="35527FC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zh-CN"/>
                    </w:rPr>
                    <w:t>电池供电车辆或电池供</w:t>
                  </w:r>
                  <w:r>
                    <w:rPr>
                      <w:rFonts w:hint="eastAsia" w:ascii="Times New Roman" w:hAnsi="Times New Roman" w:eastAsia="宋体" w:cs="Times New Roman"/>
                      <w:color w:val="auto"/>
                      <w:kern w:val="0"/>
                      <w:sz w:val="21"/>
                      <w:szCs w:val="21"/>
                      <w:u w:val="none" w:color="auto"/>
                      <w:lang w:val="en-US" w:eastAsia="zh-CN"/>
                    </w:rPr>
                    <w:t>电设备</w:t>
                  </w:r>
                </w:p>
              </w:tc>
              <w:tc>
                <w:tcPr>
                  <w:tcW w:w="863" w:type="dxa"/>
                  <w:shd w:val="clear" w:color="auto" w:fill="auto"/>
                  <w:noWrap w:val="0"/>
                  <w:vAlign w:val="center"/>
                </w:tcPr>
                <w:p w14:paraId="05E0A89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79251ED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77DACBB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8E6E18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437C0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ECDD6F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8</w:t>
                  </w:r>
                </w:p>
              </w:tc>
              <w:tc>
                <w:tcPr>
                  <w:tcW w:w="791" w:type="dxa"/>
                  <w:shd w:val="clear" w:color="auto" w:fill="auto"/>
                  <w:noWrap w:val="0"/>
                  <w:vAlign w:val="center"/>
                </w:tcPr>
                <w:p w14:paraId="091CBCD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3268</w:t>
                  </w:r>
                </w:p>
              </w:tc>
              <w:tc>
                <w:tcPr>
                  <w:tcW w:w="2378" w:type="dxa"/>
                  <w:shd w:val="clear" w:color="auto" w:fill="auto"/>
                  <w:noWrap w:val="0"/>
                  <w:vAlign w:val="center"/>
                </w:tcPr>
                <w:p w14:paraId="01E4D25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eastAsia="zh-CN"/>
                    </w:rPr>
                  </w:pPr>
                  <w:r>
                    <w:rPr>
                      <w:rFonts w:hint="eastAsia" w:ascii="Times New Roman" w:hAnsi="Times New Roman" w:eastAsia="宋体" w:cs="Times New Roman"/>
                      <w:color w:val="auto"/>
                      <w:kern w:val="0"/>
                      <w:sz w:val="21"/>
                      <w:szCs w:val="21"/>
                      <w:u w:val="none" w:color="auto"/>
                      <w:lang w:val="zh-CN"/>
                    </w:rPr>
                    <w:t>安全装置，</w:t>
                  </w:r>
                  <w:r>
                    <w:rPr>
                      <w:rFonts w:hint="eastAsia" w:ascii="Times New Roman" w:hAnsi="Times New Roman" w:eastAsia="宋体" w:cs="Times New Roman"/>
                      <w:color w:val="auto"/>
                      <w:kern w:val="0"/>
                      <w:sz w:val="21"/>
                      <w:szCs w:val="21"/>
                      <w:u w:val="none" w:color="auto"/>
                      <w:lang w:val="en-US" w:eastAsia="zh-CN"/>
                    </w:rPr>
                    <w:t>电启动</w:t>
                  </w:r>
                </w:p>
              </w:tc>
              <w:tc>
                <w:tcPr>
                  <w:tcW w:w="863" w:type="dxa"/>
                  <w:shd w:val="clear" w:color="auto" w:fill="auto"/>
                  <w:noWrap w:val="0"/>
                  <w:vAlign w:val="center"/>
                </w:tcPr>
                <w:p w14:paraId="64EEFCE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71ACF50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20C707F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6EDE5D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50DD29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23107A1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91" w:type="dxa"/>
                  <w:shd w:val="clear" w:color="auto" w:fill="auto"/>
                  <w:noWrap w:val="0"/>
                  <w:vAlign w:val="center"/>
                </w:tcPr>
                <w:p w14:paraId="1EABDC5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3316</w:t>
                  </w:r>
                </w:p>
              </w:tc>
              <w:tc>
                <w:tcPr>
                  <w:tcW w:w="2378" w:type="dxa"/>
                  <w:shd w:val="clear" w:color="auto" w:fill="auto"/>
                  <w:noWrap w:val="0"/>
                  <w:vAlign w:val="center"/>
                </w:tcPr>
                <w:p w14:paraId="05F5E78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化学品箱或急救箱</w:t>
                  </w:r>
                </w:p>
              </w:tc>
              <w:tc>
                <w:tcPr>
                  <w:tcW w:w="863" w:type="dxa"/>
                  <w:shd w:val="clear" w:color="auto" w:fill="auto"/>
                  <w:noWrap w:val="0"/>
                  <w:vAlign w:val="center"/>
                </w:tcPr>
                <w:p w14:paraId="5EC25E7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64536AB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483F17D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0D2084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67DE9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A69AC2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10</w:t>
                  </w:r>
                </w:p>
              </w:tc>
              <w:tc>
                <w:tcPr>
                  <w:tcW w:w="791" w:type="dxa"/>
                  <w:shd w:val="clear" w:color="auto" w:fill="auto"/>
                  <w:noWrap w:val="0"/>
                  <w:vAlign w:val="center"/>
                </w:tcPr>
                <w:p w14:paraId="3EE2B84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3335</w:t>
                  </w:r>
                </w:p>
              </w:tc>
              <w:tc>
                <w:tcPr>
                  <w:tcW w:w="2378" w:type="dxa"/>
                  <w:shd w:val="clear" w:color="auto" w:fill="auto"/>
                  <w:noWrap w:val="0"/>
                  <w:vAlign w:val="center"/>
                </w:tcPr>
                <w:p w14:paraId="4772F88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空运受管制的固体，未另作规定的</w:t>
                  </w:r>
                </w:p>
              </w:tc>
              <w:tc>
                <w:tcPr>
                  <w:tcW w:w="863" w:type="dxa"/>
                  <w:shd w:val="clear" w:color="auto" w:fill="auto"/>
                  <w:noWrap w:val="0"/>
                  <w:vAlign w:val="center"/>
                </w:tcPr>
                <w:p w14:paraId="303D6EC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0CA986E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1FEEF2E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3C3DD6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C1213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9673C6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11</w:t>
                  </w:r>
                </w:p>
              </w:tc>
              <w:tc>
                <w:tcPr>
                  <w:tcW w:w="791" w:type="dxa"/>
                  <w:shd w:val="clear" w:color="auto" w:fill="auto"/>
                  <w:noWrap w:val="0"/>
                  <w:vAlign w:val="center"/>
                </w:tcPr>
                <w:p w14:paraId="1F0F5FA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3363</w:t>
                  </w:r>
                </w:p>
              </w:tc>
              <w:tc>
                <w:tcPr>
                  <w:tcW w:w="2378" w:type="dxa"/>
                  <w:shd w:val="clear" w:color="auto" w:fill="auto"/>
                  <w:noWrap w:val="0"/>
                  <w:vAlign w:val="center"/>
                </w:tcPr>
                <w:p w14:paraId="3FCD5A0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zh-CN"/>
                    </w:rPr>
                    <w:t>物品中的危险货物，</w:t>
                  </w:r>
                  <w:r>
                    <w:rPr>
                      <w:rFonts w:hint="eastAsia" w:ascii="Times New Roman" w:hAnsi="Times New Roman" w:eastAsia="宋体" w:cs="Times New Roman"/>
                      <w:color w:val="auto"/>
                      <w:kern w:val="0"/>
                      <w:sz w:val="21"/>
                      <w:szCs w:val="21"/>
                      <w:u w:val="none" w:color="auto"/>
                      <w:lang w:val="en-US" w:eastAsia="zh-CN"/>
                    </w:rPr>
                    <w:t>或机器中的危险货物，</w:t>
                  </w:r>
                  <w:r>
                    <w:rPr>
                      <w:rFonts w:hint="eastAsia" w:ascii="Times New Roman" w:hAnsi="Times New Roman" w:eastAsia="宋体" w:cs="Times New Roman"/>
                      <w:color w:val="auto"/>
                      <w:kern w:val="0"/>
                      <w:sz w:val="21"/>
                      <w:szCs w:val="21"/>
                      <w:u w:val="none" w:color="auto"/>
                      <w:lang w:val="zh-CN"/>
                    </w:rPr>
                    <w:t>或仪器中的危险货</w:t>
                  </w:r>
                  <w:r>
                    <w:rPr>
                      <w:rFonts w:hint="eastAsia" w:ascii="Times New Roman" w:hAnsi="Times New Roman" w:eastAsia="宋体" w:cs="Times New Roman"/>
                      <w:color w:val="auto"/>
                      <w:kern w:val="0"/>
                      <w:sz w:val="21"/>
                      <w:szCs w:val="21"/>
                      <w:u w:val="none" w:color="auto"/>
                      <w:lang w:val="en-US" w:eastAsia="zh-CN"/>
                    </w:rPr>
                    <w:t>物</w:t>
                  </w:r>
                </w:p>
              </w:tc>
              <w:tc>
                <w:tcPr>
                  <w:tcW w:w="863" w:type="dxa"/>
                  <w:shd w:val="clear" w:color="auto" w:fill="auto"/>
                  <w:noWrap w:val="0"/>
                  <w:vAlign w:val="center"/>
                </w:tcPr>
                <w:p w14:paraId="2AC18CA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11CE659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782B6D2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C7467D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69A8D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3DA8E1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12</w:t>
                  </w:r>
                </w:p>
              </w:tc>
              <w:tc>
                <w:tcPr>
                  <w:tcW w:w="791" w:type="dxa"/>
                  <w:shd w:val="clear" w:color="auto" w:fill="auto"/>
                  <w:noWrap w:val="0"/>
                  <w:vAlign w:val="center"/>
                </w:tcPr>
                <w:p w14:paraId="24842C9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3496</w:t>
                  </w:r>
                </w:p>
              </w:tc>
              <w:tc>
                <w:tcPr>
                  <w:tcW w:w="2378" w:type="dxa"/>
                  <w:shd w:val="clear" w:color="auto" w:fill="auto"/>
                  <w:noWrap w:val="0"/>
                  <w:vAlign w:val="center"/>
                </w:tcPr>
                <w:p w14:paraId="4325E78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镍/金属氢化物蓄电池</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镍氢电池</w:t>
                  </w:r>
                  <w:r>
                    <w:rPr>
                      <w:rFonts w:hint="eastAsia" w:cs="Times New Roman"/>
                      <w:color w:val="auto"/>
                      <w:kern w:val="0"/>
                      <w:sz w:val="21"/>
                      <w:szCs w:val="21"/>
                      <w:u w:val="none" w:color="auto"/>
                      <w:lang w:val="zh-CN"/>
                    </w:rPr>
                    <w:t>）</w:t>
                  </w:r>
                </w:p>
              </w:tc>
              <w:tc>
                <w:tcPr>
                  <w:tcW w:w="863" w:type="dxa"/>
                  <w:shd w:val="clear" w:color="auto" w:fill="auto"/>
                  <w:noWrap w:val="0"/>
                  <w:vAlign w:val="center"/>
                </w:tcPr>
                <w:p w14:paraId="40212CE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7D5D9F2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5444ED2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26C7EF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2493CA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F2B8CF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13</w:t>
                  </w:r>
                </w:p>
              </w:tc>
              <w:tc>
                <w:tcPr>
                  <w:tcW w:w="791" w:type="dxa"/>
                  <w:shd w:val="clear" w:color="auto" w:fill="auto"/>
                  <w:noWrap w:val="0"/>
                  <w:vAlign w:val="center"/>
                </w:tcPr>
                <w:p w14:paraId="332F925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3499</w:t>
                  </w:r>
                </w:p>
              </w:tc>
              <w:tc>
                <w:tcPr>
                  <w:tcW w:w="2378" w:type="dxa"/>
                  <w:shd w:val="clear" w:color="auto" w:fill="auto"/>
                  <w:noWrap w:val="0"/>
                  <w:vAlign w:val="center"/>
                </w:tcPr>
                <w:p w14:paraId="7494ED1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双电层电容器（储能量大于 0.3瓦特小时）</w:t>
                  </w:r>
                </w:p>
              </w:tc>
              <w:tc>
                <w:tcPr>
                  <w:tcW w:w="863" w:type="dxa"/>
                  <w:shd w:val="clear" w:color="auto" w:fill="auto"/>
                  <w:noWrap w:val="0"/>
                  <w:vAlign w:val="center"/>
                </w:tcPr>
                <w:p w14:paraId="55495D5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2BC22B6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3F6EC35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F2221F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CB7BB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3843AA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14</w:t>
                  </w:r>
                </w:p>
              </w:tc>
              <w:tc>
                <w:tcPr>
                  <w:tcW w:w="791" w:type="dxa"/>
                  <w:shd w:val="clear" w:color="auto" w:fill="auto"/>
                  <w:noWrap w:val="0"/>
                  <w:vAlign w:val="center"/>
                </w:tcPr>
                <w:p w14:paraId="01A31A8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3508</w:t>
                  </w:r>
                </w:p>
              </w:tc>
              <w:tc>
                <w:tcPr>
                  <w:tcW w:w="2378" w:type="dxa"/>
                  <w:shd w:val="clear" w:color="auto" w:fill="auto"/>
                  <w:noWrap w:val="0"/>
                  <w:vAlign w:val="center"/>
                </w:tcPr>
                <w:p w14:paraId="5152EF5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非对称电容器（储能量大于 0.3 瓦特小时）</w:t>
                  </w:r>
                </w:p>
              </w:tc>
              <w:tc>
                <w:tcPr>
                  <w:tcW w:w="863" w:type="dxa"/>
                  <w:shd w:val="clear" w:color="auto" w:fill="auto"/>
                  <w:noWrap w:val="0"/>
                  <w:vAlign w:val="center"/>
                </w:tcPr>
                <w:p w14:paraId="65976D9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0D1F4EB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4ED43BE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6BCB886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8FB9D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17963AB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15</w:t>
                  </w:r>
                </w:p>
              </w:tc>
              <w:tc>
                <w:tcPr>
                  <w:tcW w:w="791" w:type="dxa"/>
                  <w:shd w:val="clear" w:color="auto" w:fill="auto"/>
                  <w:noWrap w:val="0"/>
                  <w:vAlign w:val="center"/>
                </w:tcPr>
                <w:p w14:paraId="7C50907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3536</w:t>
                  </w:r>
                </w:p>
              </w:tc>
              <w:tc>
                <w:tcPr>
                  <w:tcW w:w="2378" w:type="dxa"/>
                  <w:shd w:val="clear" w:color="auto" w:fill="auto"/>
                  <w:noWrap w:val="0"/>
                  <w:vAlign w:val="center"/>
                </w:tcPr>
                <w:p w14:paraId="2197E43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装在货物运输</w:t>
                  </w:r>
                  <w:r>
                    <w:rPr>
                      <w:rFonts w:hint="eastAsia" w:ascii="Times New Roman" w:hAnsi="Times New Roman" w:eastAsia="宋体" w:cs="Times New Roman"/>
                      <w:color w:val="auto"/>
                      <w:kern w:val="0"/>
                      <w:sz w:val="21"/>
                      <w:szCs w:val="21"/>
                      <w:u w:val="none" w:color="auto"/>
                      <w:lang w:val="en-US" w:eastAsia="zh-CN"/>
                    </w:rPr>
                    <w:t>装置</w:t>
                  </w:r>
                  <w:r>
                    <w:rPr>
                      <w:rFonts w:hint="eastAsia" w:ascii="Times New Roman" w:hAnsi="Times New Roman" w:eastAsia="宋体" w:cs="Times New Roman"/>
                      <w:color w:val="auto"/>
                      <w:kern w:val="0"/>
                      <w:sz w:val="21"/>
                      <w:szCs w:val="21"/>
                      <w:u w:val="none" w:color="auto"/>
                      <w:lang w:val="zh-CN"/>
                    </w:rPr>
                    <w:t>中的锂电池，锂离子电池或锂金属电池</w:t>
                  </w:r>
                </w:p>
              </w:tc>
              <w:tc>
                <w:tcPr>
                  <w:tcW w:w="863" w:type="dxa"/>
                  <w:shd w:val="clear" w:color="auto" w:fill="auto"/>
                  <w:noWrap w:val="0"/>
                  <w:vAlign w:val="center"/>
                </w:tcPr>
                <w:p w14:paraId="23475C8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9</w:t>
                  </w:r>
                </w:p>
              </w:tc>
              <w:tc>
                <w:tcPr>
                  <w:tcW w:w="735" w:type="dxa"/>
                  <w:shd w:val="clear" w:color="auto" w:fill="auto"/>
                  <w:noWrap w:val="0"/>
                  <w:vAlign w:val="center"/>
                </w:tcPr>
                <w:p w14:paraId="1C51765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3456029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11CC4C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D4D53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BF49FD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16</w:t>
                  </w:r>
                </w:p>
              </w:tc>
              <w:tc>
                <w:tcPr>
                  <w:tcW w:w="791" w:type="dxa"/>
                  <w:shd w:val="clear" w:color="auto" w:fill="auto"/>
                  <w:noWrap w:val="0"/>
                  <w:vAlign w:val="center"/>
                </w:tcPr>
                <w:p w14:paraId="4B34BCA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1759</w:t>
                  </w:r>
                </w:p>
              </w:tc>
              <w:tc>
                <w:tcPr>
                  <w:tcW w:w="2378" w:type="dxa"/>
                  <w:shd w:val="clear" w:color="auto" w:fill="auto"/>
                  <w:noWrap w:val="0"/>
                  <w:vAlign w:val="center"/>
                </w:tcPr>
                <w:p w14:paraId="3D0B4CD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6BC39D9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7C63C46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258911E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D02D18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2BD66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5AEA08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17</w:t>
                  </w:r>
                </w:p>
              </w:tc>
              <w:tc>
                <w:tcPr>
                  <w:tcW w:w="791" w:type="dxa"/>
                  <w:shd w:val="clear" w:color="auto" w:fill="auto"/>
                  <w:noWrap w:val="0"/>
                  <w:vAlign w:val="center"/>
                </w:tcPr>
                <w:p w14:paraId="51B2C5E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1845</w:t>
                  </w:r>
                </w:p>
              </w:tc>
              <w:tc>
                <w:tcPr>
                  <w:tcW w:w="2378" w:type="dxa"/>
                  <w:shd w:val="clear" w:color="auto" w:fill="auto"/>
                  <w:noWrap w:val="0"/>
                  <w:vAlign w:val="center"/>
                </w:tcPr>
                <w:p w14:paraId="4B7EDE4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固态二氧化碳</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干冰</w:t>
                  </w:r>
                  <w:r>
                    <w:rPr>
                      <w:rFonts w:hint="eastAsia" w:cs="Times New Roman"/>
                      <w:color w:val="auto"/>
                      <w:kern w:val="0"/>
                      <w:sz w:val="21"/>
                      <w:szCs w:val="21"/>
                      <w:u w:val="none" w:color="auto"/>
                      <w:lang w:val="zh-CN"/>
                    </w:rPr>
                    <w:t>）</w:t>
                  </w:r>
                </w:p>
              </w:tc>
              <w:tc>
                <w:tcPr>
                  <w:tcW w:w="863" w:type="dxa"/>
                  <w:shd w:val="clear" w:color="auto" w:fill="auto"/>
                  <w:noWrap w:val="0"/>
                  <w:vAlign w:val="center"/>
                </w:tcPr>
                <w:p w14:paraId="7266E4A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47CB261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12E81FF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DF545B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70C98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B2E1F4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18</w:t>
                  </w:r>
                </w:p>
              </w:tc>
              <w:tc>
                <w:tcPr>
                  <w:tcW w:w="791" w:type="dxa"/>
                  <w:shd w:val="clear" w:color="auto" w:fill="auto"/>
                  <w:noWrap w:val="0"/>
                  <w:vAlign w:val="center"/>
                </w:tcPr>
                <w:p w14:paraId="53EFD2F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3077</w:t>
                  </w:r>
                </w:p>
              </w:tc>
              <w:tc>
                <w:tcPr>
                  <w:tcW w:w="2378" w:type="dxa"/>
                  <w:shd w:val="clear" w:color="auto" w:fill="auto"/>
                  <w:noWrap w:val="0"/>
                  <w:vAlign w:val="center"/>
                </w:tcPr>
                <w:p w14:paraId="4C4A220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zh-CN"/>
                    </w:rPr>
                    <w:t>对环境有害的固态物质</w:t>
                  </w:r>
                  <w:r>
                    <w:rPr>
                      <w:rFonts w:hint="eastAsia" w:cs="Times New Roman"/>
                      <w:color w:val="auto"/>
                      <w:kern w:val="0"/>
                      <w:sz w:val="21"/>
                      <w:szCs w:val="21"/>
                      <w:u w:val="none" w:color="auto"/>
                      <w:lang w:val="zh-CN"/>
                    </w:rPr>
                    <w:t>，</w:t>
                  </w:r>
                  <w:r>
                    <w:rPr>
                      <w:rFonts w:hint="eastAsia" w:cs="Times New Roman"/>
                      <w:color w:val="auto"/>
                      <w:kern w:val="0"/>
                      <w:sz w:val="21"/>
                      <w:szCs w:val="21"/>
                      <w:u w:val="none" w:color="auto"/>
                      <w:lang w:val="en-US" w:eastAsia="zh-CN"/>
                    </w:rPr>
                    <w:t>未另作规定的</w:t>
                  </w:r>
                </w:p>
              </w:tc>
              <w:tc>
                <w:tcPr>
                  <w:tcW w:w="863" w:type="dxa"/>
                  <w:shd w:val="clear" w:color="auto" w:fill="auto"/>
                  <w:noWrap w:val="0"/>
                  <w:vAlign w:val="center"/>
                </w:tcPr>
                <w:p w14:paraId="27BA4F5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0328C9C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Ⅲ</w:t>
                  </w:r>
                </w:p>
              </w:tc>
              <w:tc>
                <w:tcPr>
                  <w:tcW w:w="795" w:type="dxa"/>
                  <w:shd w:val="clear" w:color="auto" w:fill="auto"/>
                  <w:noWrap w:val="0"/>
                  <w:vAlign w:val="center"/>
                </w:tcPr>
                <w:p w14:paraId="3F20458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4A5C50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ACF69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977649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19</w:t>
                  </w:r>
                </w:p>
              </w:tc>
              <w:tc>
                <w:tcPr>
                  <w:tcW w:w="791" w:type="dxa"/>
                  <w:shd w:val="clear" w:color="auto" w:fill="auto"/>
                  <w:noWrap w:val="0"/>
                  <w:vAlign w:val="center"/>
                </w:tcPr>
                <w:p w14:paraId="06A4FB3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3090</w:t>
                  </w:r>
                </w:p>
              </w:tc>
              <w:tc>
                <w:tcPr>
                  <w:tcW w:w="2378" w:type="dxa"/>
                  <w:shd w:val="clear" w:color="auto" w:fill="auto"/>
                  <w:noWrap w:val="0"/>
                  <w:vAlign w:val="center"/>
                </w:tcPr>
                <w:p w14:paraId="5779458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锂金属电池（包括锂合金电池）</w:t>
                  </w:r>
                </w:p>
              </w:tc>
              <w:tc>
                <w:tcPr>
                  <w:tcW w:w="863" w:type="dxa"/>
                  <w:shd w:val="clear" w:color="auto" w:fill="auto"/>
                  <w:noWrap w:val="0"/>
                  <w:vAlign w:val="center"/>
                </w:tcPr>
                <w:p w14:paraId="18DD3DD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7A00F18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75C6798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AD23A6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7B3CF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27EDE51">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20</w:t>
                  </w:r>
                </w:p>
              </w:tc>
              <w:tc>
                <w:tcPr>
                  <w:tcW w:w="791" w:type="dxa"/>
                  <w:shd w:val="clear" w:color="auto" w:fill="auto"/>
                  <w:noWrap w:val="0"/>
                  <w:vAlign w:val="center"/>
                </w:tcPr>
                <w:p w14:paraId="7F84EC7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3091</w:t>
                  </w:r>
                </w:p>
              </w:tc>
              <w:tc>
                <w:tcPr>
                  <w:tcW w:w="2378" w:type="dxa"/>
                  <w:shd w:val="clear" w:color="auto" w:fill="auto"/>
                  <w:noWrap w:val="0"/>
                  <w:vAlign w:val="center"/>
                </w:tcPr>
                <w:p w14:paraId="2C29E6D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包含在设备中的锂金属电池或与设备包装在一起的锂金属电池（包括锂合金电池）</w:t>
                  </w:r>
                </w:p>
              </w:tc>
              <w:tc>
                <w:tcPr>
                  <w:tcW w:w="863" w:type="dxa"/>
                  <w:shd w:val="clear" w:color="auto" w:fill="auto"/>
                  <w:noWrap w:val="0"/>
                  <w:vAlign w:val="center"/>
                </w:tcPr>
                <w:p w14:paraId="6E7F932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2634C14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5D11C80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54B0B3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AABEC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AE8933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21</w:t>
                  </w:r>
                </w:p>
              </w:tc>
              <w:tc>
                <w:tcPr>
                  <w:tcW w:w="791" w:type="dxa"/>
                  <w:shd w:val="clear" w:color="auto" w:fill="auto"/>
                  <w:noWrap w:val="0"/>
                  <w:vAlign w:val="center"/>
                </w:tcPr>
                <w:p w14:paraId="613C256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3147</w:t>
                  </w:r>
                </w:p>
              </w:tc>
              <w:tc>
                <w:tcPr>
                  <w:tcW w:w="2378" w:type="dxa"/>
                  <w:shd w:val="clear" w:color="auto" w:fill="auto"/>
                  <w:noWrap w:val="0"/>
                  <w:vAlign w:val="center"/>
                </w:tcPr>
                <w:p w14:paraId="096016A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固态染料</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未另作规定的或固态染料中间体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776D35B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18CA43D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71B5D3B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1219CF2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BC80A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1210464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22</w:t>
                  </w:r>
                </w:p>
              </w:tc>
              <w:tc>
                <w:tcPr>
                  <w:tcW w:w="791" w:type="dxa"/>
                  <w:shd w:val="clear" w:color="auto" w:fill="auto"/>
                  <w:noWrap w:val="0"/>
                  <w:vAlign w:val="center"/>
                </w:tcPr>
                <w:p w14:paraId="16C61F5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3259</w:t>
                  </w:r>
                </w:p>
              </w:tc>
              <w:tc>
                <w:tcPr>
                  <w:tcW w:w="2378" w:type="dxa"/>
                  <w:shd w:val="clear" w:color="auto" w:fill="auto"/>
                  <w:noWrap w:val="0"/>
                  <w:vAlign w:val="center"/>
                </w:tcPr>
                <w:p w14:paraId="2ACE092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zh-CN"/>
                    </w:rPr>
                    <w:t>固态胺</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未另作规定的或固态聚胺</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腐蚀性</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w:t>
                  </w:r>
                  <w:r>
                    <w:rPr>
                      <w:rFonts w:hint="eastAsia" w:cs="Times New Roman"/>
                      <w:color w:val="auto"/>
                      <w:kern w:val="0"/>
                      <w:sz w:val="21"/>
                      <w:szCs w:val="21"/>
                      <w:u w:val="none" w:color="auto"/>
                      <w:lang w:val="en-US" w:eastAsia="zh-CN"/>
                    </w:rPr>
                    <w:t>的</w:t>
                  </w:r>
                </w:p>
              </w:tc>
              <w:tc>
                <w:tcPr>
                  <w:tcW w:w="863" w:type="dxa"/>
                  <w:shd w:val="clear" w:color="auto" w:fill="auto"/>
                  <w:noWrap w:val="0"/>
                  <w:vAlign w:val="center"/>
                </w:tcPr>
                <w:p w14:paraId="60E1B82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61A7E38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3F0AFFF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BDC305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09F29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07BA95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23</w:t>
                  </w:r>
                </w:p>
              </w:tc>
              <w:tc>
                <w:tcPr>
                  <w:tcW w:w="791" w:type="dxa"/>
                  <w:shd w:val="clear" w:color="auto" w:fill="auto"/>
                  <w:noWrap w:val="0"/>
                  <w:vAlign w:val="center"/>
                </w:tcPr>
                <w:p w14:paraId="38A6412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3260</w:t>
                  </w:r>
                </w:p>
              </w:tc>
              <w:tc>
                <w:tcPr>
                  <w:tcW w:w="2378" w:type="dxa"/>
                  <w:shd w:val="clear" w:color="auto" w:fill="auto"/>
                  <w:noWrap w:val="0"/>
                  <w:vAlign w:val="center"/>
                </w:tcPr>
                <w:p w14:paraId="22CC923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无机酸性腐蚀性固体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5191F9D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004E6A5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597327B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37B46FC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7FDEF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200C35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24</w:t>
                  </w:r>
                </w:p>
              </w:tc>
              <w:tc>
                <w:tcPr>
                  <w:tcW w:w="791" w:type="dxa"/>
                  <w:shd w:val="clear" w:color="auto" w:fill="auto"/>
                  <w:noWrap w:val="0"/>
                  <w:vAlign w:val="center"/>
                </w:tcPr>
                <w:p w14:paraId="1674553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3261</w:t>
                  </w:r>
                </w:p>
              </w:tc>
              <w:tc>
                <w:tcPr>
                  <w:tcW w:w="2378" w:type="dxa"/>
                  <w:shd w:val="clear" w:color="auto" w:fill="auto"/>
                  <w:noWrap w:val="0"/>
                  <w:vAlign w:val="center"/>
                </w:tcPr>
                <w:p w14:paraId="17355E9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有机酸性腐蚀性固体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1F4EB7A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13830A3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355F0FE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690086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3322D6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5F260E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25</w:t>
                  </w:r>
                </w:p>
              </w:tc>
              <w:tc>
                <w:tcPr>
                  <w:tcW w:w="791" w:type="dxa"/>
                  <w:shd w:val="clear" w:color="auto" w:fill="auto"/>
                  <w:noWrap w:val="0"/>
                  <w:vAlign w:val="center"/>
                </w:tcPr>
                <w:p w14:paraId="0E9D1B2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3262</w:t>
                  </w:r>
                </w:p>
              </w:tc>
              <w:tc>
                <w:tcPr>
                  <w:tcW w:w="2378" w:type="dxa"/>
                  <w:shd w:val="clear" w:color="auto" w:fill="auto"/>
                  <w:noWrap w:val="0"/>
                  <w:vAlign w:val="center"/>
                </w:tcPr>
                <w:p w14:paraId="74D3A73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无机碱性腐蚀性固体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01C70CF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2242587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0A50A47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0FEF8C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597687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2D84EBC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26</w:t>
                  </w:r>
                </w:p>
              </w:tc>
              <w:tc>
                <w:tcPr>
                  <w:tcW w:w="791" w:type="dxa"/>
                  <w:shd w:val="clear" w:color="auto" w:fill="auto"/>
                  <w:noWrap w:val="0"/>
                  <w:vAlign w:val="center"/>
                </w:tcPr>
                <w:p w14:paraId="3540F74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3263</w:t>
                  </w:r>
                </w:p>
              </w:tc>
              <w:tc>
                <w:tcPr>
                  <w:tcW w:w="2378" w:type="dxa"/>
                  <w:shd w:val="clear" w:color="auto" w:fill="auto"/>
                  <w:noWrap w:val="0"/>
                  <w:vAlign w:val="center"/>
                </w:tcPr>
                <w:p w14:paraId="58DEB45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有机碱性腐蚀性固体</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未另作规定的</w:t>
                  </w:r>
                </w:p>
              </w:tc>
              <w:tc>
                <w:tcPr>
                  <w:tcW w:w="863" w:type="dxa"/>
                  <w:shd w:val="clear" w:color="auto" w:fill="auto"/>
                  <w:noWrap w:val="0"/>
                  <w:vAlign w:val="center"/>
                </w:tcPr>
                <w:p w14:paraId="59124D0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8</w:t>
                  </w:r>
                </w:p>
              </w:tc>
              <w:tc>
                <w:tcPr>
                  <w:tcW w:w="735" w:type="dxa"/>
                  <w:shd w:val="clear" w:color="auto" w:fill="auto"/>
                  <w:noWrap w:val="0"/>
                  <w:vAlign w:val="center"/>
                </w:tcPr>
                <w:p w14:paraId="074553D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kern w:val="0"/>
                      <w:sz w:val="21"/>
                      <w:szCs w:val="21"/>
                      <w:u w:val="none" w:color="auto"/>
                      <w:lang w:val="en-US" w:eastAsia="zh-CN" w:bidi="ar-SA"/>
                    </w:rPr>
                    <w:t>Ⅲ</w:t>
                  </w:r>
                </w:p>
              </w:tc>
              <w:tc>
                <w:tcPr>
                  <w:tcW w:w="795" w:type="dxa"/>
                  <w:shd w:val="clear" w:color="auto" w:fill="auto"/>
                  <w:noWrap w:val="0"/>
                  <w:vAlign w:val="center"/>
                </w:tcPr>
                <w:p w14:paraId="52B5C91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6F2DF3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F9E0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A58DEB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27</w:t>
                  </w:r>
                </w:p>
              </w:tc>
              <w:tc>
                <w:tcPr>
                  <w:tcW w:w="791" w:type="dxa"/>
                  <w:shd w:val="clear" w:color="auto" w:fill="auto"/>
                  <w:noWrap w:val="0"/>
                  <w:vAlign w:val="center"/>
                </w:tcPr>
                <w:p w14:paraId="4083A6C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3359</w:t>
                  </w:r>
                </w:p>
              </w:tc>
              <w:tc>
                <w:tcPr>
                  <w:tcW w:w="2378" w:type="dxa"/>
                  <w:shd w:val="clear" w:color="auto" w:fill="auto"/>
                  <w:noWrap w:val="0"/>
                  <w:vAlign w:val="center"/>
                </w:tcPr>
                <w:p w14:paraId="4068837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熏蒸过的货物运输装置</w:t>
                  </w:r>
                </w:p>
              </w:tc>
              <w:tc>
                <w:tcPr>
                  <w:tcW w:w="863" w:type="dxa"/>
                  <w:shd w:val="clear" w:color="auto" w:fill="auto"/>
                  <w:noWrap w:val="0"/>
                  <w:vAlign w:val="center"/>
                </w:tcPr>
                <w:p w14:paraId="3EE9B09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241355F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795C535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A3C539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13C3D2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4382794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28</w:t>
                  </w:r>
                </w:p>
              </w:tc>
              <w:tc>
                <w:tcPr>
                  <w:tcW w:w="791" w:type="dxa"/>
                  <w:shd w:val="clear" w:color="auto" w:fill="auto"/>
                  <w:noWrap w:val="0"/>
                  <w:vAlign w:val="center"/>
                </w:tcPr>
                <w:p w14:paraId="1C5ECAC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3480</w:t>
                  </w:r>
                </w:p>
              </w:tc>
              <w:tc>
                <w:tcPr>
                  <w:tcW w:w="2378" w:type="dxa"/>
                  <w:shd w:val="clear" w:color="auto" w:fill="auto"/>
                  <w:noWrap w:val="0"/>
                  <w:vAlign w:val="center"/>
                </w:tcPr>
                <w:p w14:paraId="354F10F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锂离子电池（包括锂离子聚合物电池）</w:t>
                  </w:r>
                </w:p>
              </w:tc>
              <w:tc>
                <w:tcPr>
                  <w:tcW w:w="863" w:type="dxa"/>
                  <w:shd w:val="clear" w:color="auto" w:fill="auto"/>
                  <w:noWrap w:val="0"/>
                  <w:vAlign w:val="center"/>
                </w:tcPr>
                <w:p w14:paraId="797F15F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4F858906">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7F2F8A8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D0555B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776664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24372F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29</w:t>
                  </w:r>
                </w:p>
              </w:tc>
              <w:tc>
                <w:tcPr>
                  <w:tcW w:w="791" w:type="dxa"/>
                  <w:shd w:val="clear" w:color="auto" w:fill="auto"/>
                  <w:noWrap w:val="0"/>
                  <w:vAlign w:val="center"/>
                </w:tcPr>
                <w:p w14:paraId="53E3F9B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3481</w:t>
                  </w:r>
                </w:p>
              </w:tc>
              <w:tc>
                <w:tcPr>
                  <w:tcW w:w="2378" w:type="dxa"/>
                  <w:shd w:val="clear" w:color="auto" w:fill="auto"/>
                  <w:noWrap w:val="0"/>
                  <w:vAlign w:val="center"/>
                </w:tcPr>
                <w:p w14:paraId="5C5F3F4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包含在设备中的锂离子电池或与设备包装在一起的锂离子电池（包括锂离子聚合物电池）</w:t>
                  </w:r>
                </w:p>
              </w:tc>
              <w:tc>
                <w:tcPr>
                  <w:tcW w:w="863" w:type="dxa"/>
                  <w:shd w:val="clear" w:color="auto" w:fill="auto"/>
                  <w:noWrap w:val="0"/>
                  <w:vAlign w:val="center"/>
                </w:tcPr>
                <w:p w14:paraId="7C95955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53C3392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4FF575D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18E860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8AF90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74EB86D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30</w:t>
                  </w:r>
                </w:p>
              </w:tc>
              <w:tc>
                <w:tcPr>
                  <w:tcW w:w="791" w:type="dxa"/>
                  <w:shd w:val="clear" w:color="auto" w:fill="auto"/>
                  <w:noWrap w:val="0"/>
                  <w:vAlign w:val="center"/>
                </w:tcPr>
                <w:p w14:paraId="614965C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3509</w:t>
                  </w:r>
                </w:p>
              </w:tc>
              <w:tc>
                <w:tcPr>
                  <w:tcW w:w="2378" w:type="dxa"/>
                  <w:shd w:val="clear" w:color="auto" w:fill="auto"/>
                  <w:noWrap w:val="0"/>
                  <w:vAlign w:val="center"/>
                </w:tcPr>
                <w:p w14:paraId="33F6D7E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废弃空包装</w:t>
                  </w:r>
                  <w:r>
                    <w:rPr>
                      <w:rFonts w:hint="eastAsia" w:cs="Times New Roman"/>
                      <w:color w:val="auto"/>
                      <w:kern w:val="0"/>
                      <w:sz w:val="21"/>
                      <w:szCs w:val="21"/>
                      <w:u w:val="none" w:color="auto"/>
                      <w:lang w:val="zh-CN"/>
                    </w:rPr>
                    <w:t>，</w:t>
                  </w:r>
                  <w:r>
                    <w:rPr>
                      <w:rFonts w:hint="eastAsia" w:ascii="Times New Roman" w:hAnsi="Times New Roman" w:eastAsia="宋体" w:cs="Times New Roman"/>
                      <w:color w:val="auto"/>
                      <w:kern w:val="0"/>
                      <w:sz w:val="21"/>
                      <w:szCs w:val="21"/>
                      <w:u w:val="none" w:color="auto"/>
                      <w:lang w:val="zh-CN"/>
                    </w:rPr>
                    <w:t>未清洁</w:t>
                  </w:r>
                </w:p>
              </w:tc>
              <w:tc>
                <w:tcPr>
                  <w:tcW w:w="863" w:type="dxa"/>
                  <w:shd w:val="clear" w:color="auto" w:fill="auto"/>
                  <w:noWrap w:val="0"/>
                  <w:vAlign w:val="center"/>
                </w:tcPr>
                <w:p w14:paraId="5ECBD6E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487B6348">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6F394AD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7B884E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2E035C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13470AF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31</w:t>
                  </w:r>
                </w:p>
              </w:tc>
              <w:tc>
                <w:tcPr>
                  <w:tcW w:w="791" w:type="dxa"/>
                  <w:shd w:val="clear" w:color="auto" w:fill="auto"/>
                  <w:noWrap w:val="0"/>
                  <w:vAlign w:val="center"/>
                </w:tcPr>
                <w:p w14:paraId="4948A62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3530</w:t>
                  </w:r>
                </w:p>
              </w:tc>
              <w:tc>
                <w:tcPr>
                  <w:tcW w:w="2378" w:type="dxa"/>
                  <w:shd w:val="clear" w:color="auto" w:fill="auto"/>
                  <w:noWrap w:val="0"/>
                  <w:vAlign w:val="center"/>
                </w:tcPr>
                <w:p w14:paraId="6D96B6D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内燃机或内燃机机械</w:t>
                  </w:r>
                </w:p>
              </w:tc>
              <w:tc>
                <w:tcPr>
                  <w:tcW w:w="863" w:type="dxa"/>
                  <w:shd w:val="clear" w:color="auto" w:fill="auto"/>
                  <w:noWrap w:val="0"/>
                  <w:vAlign w:val="center"/>
                </w:tcPr>
                <w:p w14:paraId="5473271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04D52A0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01E049E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4D95161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C1EB1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21BCF2E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32</w:t>
                  </w:r>
                </w:p>
              </w:tc>
              <w:tc>
                <w:tcPr>
                  <w:tcW w:w="791" w:type="dxa"/>
                  <w:shd w:val="clear" w:color="auto" w:fill="auto"/>
                  <w:noWrap w:val="0"/>
                  <w:vAlign w:val="center"/>
                </w:tcPr>
                <w:p w14:paraId="460D3E3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3551</w:t>
                  </w:r>
                </w:p>
              </w:tc>
              <w:tc>
                <w:tcPr>
                  <w:tcW w:w="2378" w:type="dxa"/>
                  <w:shd w:val="clear" w:color="auto" w:fill="auto"/>
                  <w:noWrap w:val="0"/>
                  <w:vAlign w:val="center"/>
                </w:tcPr>
                <w:p w14:paraId="747BA28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有机电解质钠离子电池</w:t>
                  </w:r>
                </w:p>
              </w:tc>
              <w:tc>
                <w:tcPr>
                  <w:tcW w:w="863" w:type="dxa"/>
                  <w:shd w:val="clear" w:color="auto" w:fill="auto"/>
                  <w:noWrap w:val="0"/>
                  <w:vAlign w:val="center"/>
                </w:tcPr>
                <w:p w14:paraId="34CA82F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5832D46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211B460A">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6FA38F4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2AFC2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68CA427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33</w:t>
                  </w:r>
                </w:p>
              </w:tc>
              <w:tc>
                <w:tcPr>
                  <w:tcW w:w="791" w:type="dxa"/>
                  <w:shd w:val="clear" w:color="auto" w:fill="auto"/>
                  <w:noWrap w:val="0"/>
                  <w:vAlign w:val="center"/>
                </w:tcPr>
                <w:p w14:paraId="63D4862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3552</w:t>
                  </w:r>
                </w:p>
              </w:tc>
              <w:tc>
                <w:tcPr>
                  <w:tcW w:w="2378" w:type="dxa"/>
                  <w:shd w:val="clear" w:color="auto" w:fill="auto"/>
                  <w:noWrap w:val="0"/>
                  <w:vAlign w:val="center"/>
                </w:tcPr>
                <w:p w14:paraId="2726463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包含在设备中的有机电解质钠离子电池或与设备包装在一起的有机电解质钠离子电池</w:t>
                  </w:r>
                </w:p>
              </w:tc>
              <w:tc>
                <w:tcPr>
                  <w:tcW w:w="863" w:type="dxa"/>
                  <w:shd w:val="clear" w:color="auto" w:fill="auto"/>
                  <w:noWrap w:val="0"/>
                  <w:vAlign w:val="center"/>
                </w:tcPr>
                <w:p w14:paraId="0E01C7C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6ABE3ED3">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5B359D6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0741AAC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717067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A7DAB1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34</w:t>
                  </w:r>
                </w:p>
              </w:tc>
              <w:tc>
                <w:tcPr>
                  <w:tcW w:w="791" w:type="dxa"/>
                  <w:shd w:val="clear" w:color="auto" w:fill="auto"/>
                  <w:noWrap w:val="0"/>
                  <w:vAlign w:val="center"/>
                </w:tcPr>
                <w:p w14:paraId="5D17D29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3556</w:t>
                  </w:r>
                </w:p>
              </w:tc>
              <w:tc>
                <w:tcPr>
                  <w:tcW w:w="2378" w:type="dxa"/>
                  <w:shd w:val="clear" w:color="auto" w:fill="auto"/>
                  <w:noWrap w:val="0"/>
                  <w:vAlign w:val="center"/>
                </w:tcPr>
                <w:p w14:paraId="6092E4C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以锂离子电池为动力的车辆</w:t>
                  </w:r>
                </w:p>
              </w:tc>
              <w:tc>
                <w:tcPr>
                  <w:tcW w:w="863" w:type="dxa"/>
                  <w:shd w:val="clear" w:color="auto" w:fill="auto"/>
                  <w:noWrap w:val="0"/>
                  <w:vAlign w:val="center"/>
                </w:tcPr>
                <w:p w14:paraId="644C63B2">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6015801E">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6BE4C0A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0590147">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06832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3247383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w:t>
                  </w:r>
                </w:p>
              </w:tc>
              <w:tc>
                <w:tcPr>
                  <w:tcW w:w="791" w:type="dxa"/>
                  <w:shd w:val="clear" w:color="auto" w:fill="auto"/>
                  <w:noWrap w:val="0"/>
                  <w:vAlign w:val="center"/>
                </w:tcPr>
                <w:p w14:paraId="4CA26248">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3557</w:t>
                  </w:r>
                </w:p>
              </w:tc>
              <w:tc>
                <w:tcPr>
                  <w:tcW w:w="2378" w:type="dxa"/>
                  <w:shd w:val="clear" w:color="auto" w:fill="auto"/>
                  <w:noWrap w:val="0"/>
                  <w:vAlign w:val="center"/>
                </w:tcPr>
                <w:p w14:paraId="08750A89">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以锂金属电池为动力的车辆</w:t>
                  </w:r>
                </w:p>
              </w:tc>
              <w:tc>
                <w:tcPr>
                  <w:tcW w:w="863" w:type="dxa"/>
                  <w:shd w:val="clear" w:color="auto" w:fill="auto"/>
                  <w:noWrap w:val="0"/>
                  <w:vAlign w:val="center"/>
                </w:tcPr>
                <w:p w14:paraId="4425DDE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6A8B6964">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02C2623D">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1A6652F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6578DE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587F65D0">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36</w:t>
                  </w:r>
                </w:p>
              </w:tc>
              <w:tc>
                <w:tcPr>
                  <w:tcW w:w="791" w:type="dxa"/>
                  <w:shd w:val="clear" w:color="auto" w:fill="auto"/>
                  <w:noWrap w:val="0"/>
                  <w:vAlign w:val="center"/>
                </w:tcPr>
                <w:p w14:paraId="293C39DE">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3558</w:t>
                  </w:r>
                </w:p>
              </w:tc>
              <w:tc>
                <w:tcPr>
                  <w:tcW w:w="2378" w:type="dxa"/>
                  <w:shd w:val="clear" w:color="auto" w:fill="auto"/>
                  <w:noWrap w:val="0"/>
                  <w:vAlign w:val="center"/>
                </w:tcPr>
                <w:p w14:paraId="0E3A990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zh-CN" w:eastAsia="zh-CN" w:bidi="ar-SA"/>
                    </w:rPr>
                  </w:pPr>
                  <w:r>
                    <w:rPr>
                      <w:rFonts w:hint="eastAsia" w:ascii="Times New Roman" w:hAnsi="Times New Roman" w:eastAsia="宋体" w:cs="Times New Roman"/>
                      <w:color w:val="auto"/>
                      <w:kern w:val="0"/>
                      <w:sz w:val="21"/>
                      <w:szCs w:val="21"/>
                      <w:u w:val="none" w:color="auto"/>
                      <w:lang w:val="zh-CN"/>
                    </w:rPr>
                    <w:t>以钠离子电池为动力的车辆</w:t>
                  </w:r>
                </w:p>
              </w:tc>
              <w:tc>
                <w:tcPr>
                  <w:tcW w:w="863" w:type="dxa"/>
                  <w:shd w:val="clear" w:color="auto" w:fill="auto"/>
                  <w:noWrap w:val="0"/>
                  <w:vAlign w:val="center"/>
                </w:tcPr>
                <w:p w14:paraId="3E9DE61F">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9</w:t>
                  </w:r>
                </w:p>
              </w:tc>
              <w:tc>
                <w:tcPr>
                  <w:tcW w:w="735" w:type="dxa"/>
                  <w:shd w:val="clear" w:color="auto" w:fill="auto"/>
                  <w:noWrap w:val="0"/>
                  <w:vAlign w:val="center"/>
                </w:tcPr>
                <w:p w14:paraId="5262BD9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w:t>
                  </w:r>
                </w:p>
              </w:tc>
              <w:tc>
                <w:tcPr>
                  <w:tcW w:w="795" w:type="dxa"/>
                  <w:shd w:val="clear" w:color="auto" w:fill="auto"/>
                  <w:noWrap w:val="0"/>
                  <w:vAlign w:val="center"/>
                </w:tcPr>
                <w:p w14:paraId="35B1BBDB">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77A619B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r w14:paraId="40EE6D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1" w:type="dxa"/>
                  <w:shd w:val="clear" w:color="auto" w:fill="auto"/>
                  <w:noWrap w:val="0"/>
                  <w:vAlign w:val="center"/>
                </w:tcPr>
                <w:p w14:paraId="01D936C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37</w:t>
                  </w:r>
                </w:p>
              </w:tc>
              <w:tc>
                <w:tcPr>
                  <w:tcW w:w="791" w:type="dxa"/>
                  <w:shd w:val="clear" w:color="auto" w:fill="auto"/>
                  <w:noWrap w:val="0"/>
                  <w:vAlign w:val="center"/>
                </w:tcPr>
                <w:p w14:paraId="51C0666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3559</w:t>
                  </w:r>
                </w:p>
              </w:tc>
              <w:tc>
                <w:tcPr>
                  <w:tcW w:w="2378" w:type="dxa"/>
                  <w:shd w:val="clear" w:color="auto" w:fill="auto"/>
                  <w:noWrap w:val="0"/>
                  <w:vAlign w:val="center"/>
                </w:tcPr>
                <w:p w14:paraId="2BF9C57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u w:val="none" w:color="auto"/>
                      <w:lang w:val="zh-CN"/>
                    </w:rPr>
                  </w:pPr>
                  <w:r>
                    <w:rPr>
                      <w:rFonts w:hint="eastAsia" w:ascii="Times New Roman" w:hAnsi="Times New Roman" w:eastAsia="宋体" w:cs="Times New Roman"/>
                      <w:color w:val="auto"/>
                      <w:kern w:val="0"/>
                      <w:sz w:val="21"/>
                      <w:szCs w:val="21"/>
                      <w:u w:val="none" w:color="auto"/>
                      <w:lang w:val="zh-CN"/>
                    </w:rPr>
                    <w:t>灭火剂分散装置</w:t>
                  </w:r>
                </w:p>
              </w:tc>
              <w:tc>
                <w:tcPr>
                  <w:tcW w:w="863" w:type="dxa"/>
                  <w:shd w:val="clear" w:color="auto" w:fill="auto"/>
                  <w:noWrap w:val="0"/>
                  <w:vAlign w:val="center"/>
                </w:tcPr>
                <w:p w14:paraId="2AE694E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0"/>
                      <w:sz w:val="21"/>
                      <w:szCs w:val="21"/>
                      <w:u w:val="none" w:color="auto"/>
                      <w:lang w:val="en-US" w:eastAsia="zh-CN"/>
                    </w:rPr>
                    <w:t>9</w:t>
                  </w:r>
                </w:p>
              </w:tc>
              <w:tc>
                <w:tcPr>
                  <w:tcW w:w="735" w:type="dxa"/>
                  <w:shd w:val="clear" w:color="auto" w:fill="auto"/>
                  <w:noWrap w:val="0"/>
                  <w:vAlign w:val="center"/>
                </w:tcPr>
                <w:p w14:paraId="2CE3B8BC">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u w:val="none" w:color="auto"/>
                      <w:lang w:val="en-US" w:eastAsia="zh-CN" w:bidi="ar-SA"/>
                    </w:rPr>
                  </w:pPr>
                  <w:r>
                    <w:rPr>
                      <w:rFonts w:hint="eastAsia" w:cs="Times New Roman"/>
                      <w:color w:val="auto"/>
                      <w:kern w:val="0"/>
                      <w:sz w:val="21"/>
                      <w:szCs w:val="21"/>
                      <w:u w:val="none" w:color="auto"/>
                      <w:lang w:val="en-US" w:eastAsia="zh-CN" w:bidi="ar-SA"/>
                    </w:rPr>
                    <w:t>/</w:t>
                  </w:r>
                </w:p>
              </w:tc>
              <w:tc>
                <w:tcPr>
                  <w:tcW w:w="795" w:type="dxa"/>
                  <w:shd w:val="clear" w:color="auto" w:fill="auto"/>
                  <w:noWrap w:val="0"/>
                  <w:vAlign w:val="center"/>
                </w:tcPr>
                <w:p w14:paraId="61108A45">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无</w:t>
                  </w:r>
                </w:p>
              </w:tc>
              <w:tc>
                <w:tcPr>
                  <w:tcW w:w="713" w:type="dxa"/>
                  <w:shd w:val="clear" w:color="auto" w:fill="auto"/>
                  <w:noWrap w:val="0"/>
                  <w:vAlign w:val="center"/>
                </w:tcPr>
                <w:p w14:paraId="555146A0">
                  <w:pPr>
                    <w:keepNext w:val="0"/>
                    <w:keepLines w:val="0"/>
                    <w:suppressLineNumbers w:val="0"/>
                    <w:autoSpaceDE w:val="0"/>
                    <w:autoSpaceDN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固态</w:t>
                  </w:r>
                </w:p>
              </w:tc>
            </w:tr>
          </w:tbl>
          <w:p w14:paraId="27B43A4B">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szCs w:val="32"/>
                <w:highlight w:val="none"/>
                <w:u w:val="none" w:color="auto"/>
                <w:lang w:val="en-US" w:eastAsia="zh-CN"/>
              </w:rPr>
            </w:pPr>
            <w:r>
              <w:rPr>
                <w:rFonts w:hint="eastAsia" w:ascii="Times New Roman" w:hAnsi="Times New Roman" w:eastAsia="宋体" w:cs="Times New Roman"/>
                <w:color w:val="auto"/>
                <w:sz w:val="24"/>
                <w:szCs w:val="32"/>
                <w:highlight w:val="none"/>
                <w:u w:val="none" w:color="auto"/>
                <w:lang w:val="en-US" w:eastAsia="zh-CN"/>
              </w:rPr>
              <w:t>部分介绍如下：</w:t>
            </w:r>
          </w:p>
          <w:p w14:paraId="7247B7BF">
            <w:pPr>
              <w:keepNext w:val="0"/>
              <w:keepLines w:val="0"/>
              <w:pageBreakBefore w:val="0"/>
              <w:suppressLineNumbers w:val="0"/>
              <w:kinsoku/>
              <w:wordWrap/>
              <w:overflowPunct/>
              <w:topLinePunct w:val="0"/>
              <w:autoSpaceDE/>
              <w:autoSpaceDN/>
              <w:bidi w:val="0"/>
              <w:adjustRightInd/>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szCs w:val="32"/>
                <w:highlight w:val="none"/>
                <w:u w:val="none" w:color="auto"/>
                <w:lang w:val="en-US" w:eastAsia="zh-CN"/>
              </w:rPr>
            </w:pPr>
            <w:r>
              <w:rPr>
                <w:rFonts w:hint="eastAsia" w:ascii="Times New Roman" w:hAnsi="Times New Roman" w:eastAsia="宋体" w:cs="Times New Roman"/>
                <w:color w:val="auto"/>
                <w:sz w:val="24"/>
                <w:szCs w:val="32"/>
                <w:highlight w:val="none"/>
                <w:u w:val="none" w:color="auto"/>
                <w:lang w:val="en-US" w:eastAsia="zh-CN"/>
              </w:rPr>
              <w:t>（1）UN 2216 鱼粉（鱼屑）。稳定的，经抗氧剂处理的，按质量计，水分含量大于5%但不超过12%，按质量脂肪含量不超过15%。本品一般为棕色团粒状渣粉，有鱼腥味。将含油鱼加热并使其干燥，获得的褐色至绿褐色的产品。</w:t>
            </w:r>
          </w:p>
          <w:p w14:paraId="40D478D3">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default" w:ascii="Times New Roman" w:hAnsi="Times New Roman" w:eastAsia="宋体" w:cs="Times New Roman"/>
                <w:color w:val="auto"/>
                <w:kern w:val="2"/>
                <w:sz w:val="24"/>
                <w:szCs w:val="32"/>
                <w:u w:val="none" w:color="auto"/>
                <w:lang w:val="en-US" w:eastAsia="zh-CN" w:bidi="ar-SA"/>
              </w:rPr>
            </w:pPr>
            <w:r>
              <w:rPr>
                <w:rFonts w:hint="eastAsia" w:cs="Times New Roman"/>
                <w:color w:val="auto"/>
                <w:kern w:val="2"/>
                <w:sz w:val="24"/>
                <w:szCs w:val="32"/>
                <w:u w:val="none" w:color="auto"/>
                <w:lang w:val="en-US" w:eastAsia="zh-CN" w:bidi="ar-SA"/>
              </w:rPr>
              <w:t>（2）</w:t>
            </w:r>
            <w:r>
              <w:rPr>
                <w:rFonts w:hint="eastAsia" w:ascii="Times New Roman" w:hAnsi="Times New Roman" w:eastAsia="宋体" w:cs="Times New Roman"/>
                <w:color w:val="auto"/>
                <w:kern w:val="2"/>
                <w:sz w:val="24"/>
                <w:szCs w:val="32"/>
                <w:u w:val="none" w:color="auto"/>
                <w:lang w:val="en-US" w:eastAsia="zh-CN" w:bidi="ar-SA"/>
              </w:rPr>
              <w:t>UN 2990 救生设备，自动膨胀式。包括：第2.2类压缩气体；信号装置</w:t>
            </w:r>
            <w:r>
              <w:rPr>
                <w:rFonts w:hint="eastAsia" w:cs="Times New Roman"/>
                <w:color w:val="auto"/>
                <w:kern w:val="2"/>
                <w:sz w:val="24"/>
                <w:szCs w:val="32"/>
                <w:u w:val="none" w:color="auto"/>
                <w:lang w:val="en-US" w:eastAsia="zh-CN" w:bidi="ar-SA"/>
              </w:rPr>
              <w:t>（</w:t>
            </w:r>
            <w:r>
              <w:rPr>
                <w:rFonts w:hint="eastAsia" w:ascii="Times New Roman" w:hAnsi="Times New Roman" w:eastAsia="宋体" w:cs="Times New Roman"/>
                <w:color w:val="auto"/>
                <w:kern w:val="2"/>
                <w:sz w:val="24"/>
                <w:szCs w:val="32"/>
                <w:u w:val="none" w:color="auto"/>
                <w:lang w:val="en-US" w:eastAsia="zh-CN" w:bidi="ar-SA"/>
              </w:rPr>
              <w:t>第1类</w:t>
            </w:r>
            <w:r>
              <w:rPr>
                <w:rFonts w:hint="eastAsia" w:cs="Times New Roman"/>
                <w:color w:val="auto"/>
                <w:kern w:val="2"/>
                <w:sz w:val="24"/>
                <w:szCs w:val="32"/>
                <w:u w:val="none" w:color="auto"/>
                <w:lang w:val="en-US" w:eastAsia="zh-CN" w:bidi="ar-SA"/>
              </w:rPr>
              <w:t>）</w:t>
            </w:r>
            <w:r>
              <w:rPr>
                <w:rFonts w:hint="eastAsia" w:ascii="Times New Roman" w:hAnsi="Times New Roman" w:eastAsia="宋体" w:cs="Times New Roman"/>
                <w:color w:val="auto"/>
                <w:kern w:val="2"/>
                <w:sz w:val="24"/>
                <w:szCs w:val="32"/>
                <w:u w:val="none" w:color="auto"/>
                <w:lang w:val="en-US" w:eastAsia="zh-CN" w:bidi="ar-SA"/>
              </w:rPr>
              <w:t>，包括烟雾和发光照明信号装置，信号装置须装在塑料和纤维板的内包件里；蓄电池；急救包；或可随处划着的火柴。</w:t>
            </w:r>
          </w:p>
          <w:p w14:paraId="6F824773">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default" w:ascii="Times New Roman" w:hAnsi="Times New Roman" w:eastAsia="宋体" w:cs="Times New Roman"/>
                <w:color w:val="auto"/>
                <w:kern w:val="2"/>
                <w:sz w:val="24"/>
                <w:szCs w:val="32"/>
                <w:u w:val="none" w:color="auto"/>
                <w:lang w:val="en-US" w:eastAsia="zh-CN" w:bidi="ar-SA"/>
              </w:rPr>
            </w:pPr>
            <w:r>
              <w:rPr>
                <w:rFonts w:hint="default" w:ascii="Times New Roman" w:hAnsi="Times New Roman" w:eastAsia="宋体" w:cs="Times New Roman"/>
                <w:color w:val="auto"/>
                <w:kern w:val="2"/>
                <w:sz w:val="24"/>
                <w:szCs w:val="32"/>
                <w:u w:val="none" w:color="auto"/>
                <w:lang w:val="en-US" w:eastAsia="zh-CN" w:bidi="ar-SA"/>
              </w:rPr>
              <w:t>（3）UN 3072救生设备，非自动膨胀式，装备中含有危险物品。这些物品包括：第2.2类压缩气体；信号装置</w:t>
            </w:r>
            <w:r>
              <w:rPr>
                <w:rFonts w:hint="eastAsia" w:cs="Times New Roman"/>
                <w:color w:val="auto"/>
                <w:kern w:val="2"/>
                <w:sz w:val="24"/>
                <w:szCs w:val="32"/>
                <w:u w:val="none" w:color="auto"/>
                <w:lang w:val="en-US" w:eastAsia="zh-CN" w:bidi="ar-SA"/>
              </w:rPr>
              <w:t>（</w:t>
            </w:r>
            <w:r>
              <w:rPr>
                <w:rFonts w:hint="default" w:ascii="Times New Roman" w:hAnsi="Times New Roman" w:eastAsia="宋体" w:cs="Times New Roman"/>
                <w:color w:val="auto"/>
                <w:kern w:val="2"/>
                <w:sz w:val="24"/>
                <w:szCs w:val="32"/>
                <w:u w:val="none" w:color="auto"/>
                <w:lang w:val="en-US" w:eastAsia="zh-CN" w:bidi="ar-SA"/>
              </w:rPr>
              <w:t>第1类</w:t>
            </w:r>
            <w:r>
              <w:rPr>
                <w:rFonts w:hint="eastAsia" w:cs="Times New Roman"/>
                <w:color w:val="auto"/>
                <w:kern w:val="2"/>
                <w:sz w:val="24"/>
                <w:szCs w:val="32"/>
                <w:u w:val="none" w:color="auto"/>
                <w:lang w:val="en-US" w:eastAsia="zh-CN" w:bidi="ar-SA"/>
              </w:rPr>
              <w:t>）</w:t>
            </w:r>
            <w:r>
              <w:rPr>
                <w:rFonts w:hint="default" w:ascii="Times New Roman" w:hAnsi="Times New Roman" w:eastAsia="宋体" w:cs="Times New Roman"/>
                <w:color w:val="auto"/>
                <w:kern w:val="2"/>
                <w:sz w:val="24"/>
                <w:szCs w:val="32"/>
                <w:u w:val="none" w:color="auto"/>
                <w:lang w:val="en-US" w:eastAsia="zh-CN" w:bidi="ar-SA"/>
              </w:rPr>
              <w:t>，包括烟雾和发光照明信号装置，信号装置须装在塑料和纤维板的内包件里；蓄电池；急救包；或可随处划着的火柴。</w:t>
            </w:r>
          </w:p>
          <w:p w14:paraId="54ED247A">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default" w:ascii="Times New Roman" w:hAnsi="Times New Roman" w:eastAsia="宋体" w:cs="Times New Roman"/>
                <w:color w:val="auto"/>
                <w:kern w:val="2"/>
                <w:sz w:val="24"/>
                <w:szCs w:val="32"/>
                <w:u w:val="none" w:color="auto"/>
                <w:lang w:val="en-US" w:eastAsia="zh-CN" w:bidi="ar-SA"/>
              </w:rPr>
            </w:pPr>
            <w:r>
              <w:rPr>
                <w:rFonts w:hint="eastAsia" w:ascii="Times New Roman" w:hAnsi="Times New Roman" w:eastAsia="宋体" w:cs="Times New Roman"/>
                <w:color w:val="auto"/>
                <w:kern w:val="2"/>
                <w:sz w:val="24"/>
                <w:szCs w:val="32"/>
                <w:u w:val="none" w:color="auto"/>
                <w:lang w:val="en-US" w:eastAsia="zh-CN" w:bidi="ar-SA"/>
              </w:rPr>
              <w:t>（4）</w:t>
            </w:r>
            <w:r>
              <w:rPr>
                <w:rFonts w:hint="default" w:ascii="Times New Roman" w:hAnsi="Times New Roman" w:eastAsia="宋体" w:cs="Times New Roman"/>
                <w:color w:val="auto"/>
                <w:kern w:val="2"/>
                <w:sz w:val="24"/>
                <w:szCs w:val="32"/>
                <w:u w:val="none" w:color="auto"/>
                <w:lang w:val="en-US" w:eastAsia="zh-CN" w:bidi="ar-SA"/>
              </w:rPr>
              <w:t>UN 3028蓄电池，干的，含固体氢氧化钾</w:t>
            </w:r>
            <w:r>
              <w:rPr>
                <w:rFonts w:hint="eastAsia" w:ascii="Times New Roman" w:hAnsi="Times New Roman" w:eastAsia="宋体" w:cs="Times New Roman"/>
                <w:color w:val="auto"/>
                <w:kern w:val="2"/>
                <w:sz w:val="24"/>
                <w:szCs w:val="32"/>
                <w:u w:val="none" w:color="auto"/>
                <w:lang w:val="en-US" w:eastAsia="zh-CN" w:bidi="ar-SA"/>
              </w:rPr>
              <w:t>。</w:t>
            </w:r>
            <w:r>
              <w:rPr>
                <w:rFonts w:hint="default" w:ascii="Times New Roman" w:hAnsi="Times New Roman" w:eastAsia="宋体" w:cs="Times New Roman"/>
                <w:color w:val="auto"/>
                <w:kern w:val="2"/>
                <w:sz w:val="24"/>
                <w:szCs w:val="32"/>
                <w:u w:val="none" w:color="auto"/>
                <w:lang w:val="en-US" w:eastAsia="zh-CN" w:bidi="ar-SA"/>
              </w:rPr>
              <w:t>蓄存电的在密闭容器内，串联在一起的金属板组，浸在干氢氧化钾中，充电后由于接头短路可引起着火</w:t>
            </w:r>
            <w:r>
              <w:rPr>
                <w:rFonts w:hint="eastAsia" w:ascii="Times New Roman" w:hAnsi="Times New Roman" w:eastAsia="宋体" w:cs="Times New Roman"/>
                <w:color w:val="auto"/>
                <w:kern w:val="2"/>
                <w:sz w:val="24"/>
                <w:szCs w:val="32"/>
                <w:u w:val="none" w:color="auto"/>
                <w:lang w:val="en-US" w:eastAsia="zh-CN" w:bidi="ar-SA"/>
              </w:rPr>
              <w:t>。</w:t>
            </w:r>
          </w:p>
          <w:p w14:paraId="0906ABCA">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val="en-US" w:eastAsia="zh-CN"/>
              </w:rPr>
            </w:pPr>
            <w:r>
              <w:rPr>
                <w:rFonts w:hint="eastAsia" w:ascii="Times New Roman" w:hAnsi="Times New Roman" w:eastAsia="宋体" w:cs="Times New Roman"/>
                <w:color w:val="auto"/>
                <w:sz w:val="24"/>
                <w:szCs w:val="32"/>
                <w:highlight w:val="none"/>
                <w:u w:val="none" w:color="auto"/>
                <w:lang w:val="en-US" w:eastAsia="zh-CN"/>
              </w:rPr>
              <w:t>（5）UN 3171电池驱动的车辆或电池驱动的设备。包括：电动滑板车、电动自行车、电动轮椅车、平衡车、电动车、电动高尔夫球车，电动环卫车，电动公交车，电动警车，电动叉车，磁动车等。电池驱动的设备主要包括：割草机、清洁机、模型飞行器、模型船等。</w:t>
            </w:r>
          </w:p>
          <w:p w14:paraId="2515CAC5">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default" w:ascii="Times New Roman" w:hAnsi="Times New Roman" w:eastAsia="宋体" w:cs="Times New Roman"/>
                <w:color w:val="auto"/>
                <w:sz w:val="24"/>
                <w:szCs w:val="32"/>
                <w:highlight w:val="none"/>
                <w:u w:val="none" w:color="auto"/>
              </w:rPr>
            </w:pPr>
            <w:r>
              <w:rPr>
                <w:rFonts w:hint="eastAsia" w:ascii="Times New Roman" w:hAnsi="Times New Roman" w:eastAsia="宋体" w:cs="Times New Roman"/>
                <w:color w:val="auto"/>
                <w:sz w:val="24"/>
                <w:szCs w:val="32"/>
                <w:highlight w:val="none"/>
                <w:u w:val="none" w:color="auto"/>
                <w:lang w:val="en-US" w:eastAsia="zh-CN"/>
              </w:rPr>
              <w:t>（6）</w:t>
            </w:r>
            <w:r>
              <w:rPr>
                <w:rFonts w:hint="default" w:ascii="Times New Roman" w:hAnsi="Times New Roman" w:eastAsia="宋体" w:cs="Times New Roman"/>
                <w:color w:val="auto"/>
                <w:sz w:val="24"/>
                <w:szCs w:val="32"/>
                <w:highlight w:val="none"/>
                <w:u w:val="none" w:color="auto"/>
                <w:lang w:val="en-US" w:eastAsia="zh-CN"/>
              </w:rPr>
              <w:t>UN 3268 安全装置，电激发的</w:t>
            </w:r>
            <w:r>
              <w:rPr>
                <w:rFonts w:hint="eastAsia" w:ascii="Times New Roman" w:hAnsi="Times New Roman" w:eastAsia="宋体" w:cs="Times New Roman"/>
                <w:color w:val="auto"/>
                <w:sz w:val="24"/>
                <w:szCs w:val="32"/>
                <w:highlight w:val="none"/>
                <w:u w:val="none" w:color="auto"/>
                <w:lang w:val="en-US" w:eastAsia="zh-CN"/>
              </w:rPr>
              <w:t>。</w:t>
            </w:r>
            <w:r>
              <w:rPr>
                <w:rFonts w:hint="default" w:ascii="Times New Roman" w:hAnsi="Times New Roman" w:eastAsia="宋体" w:cs="Times New Roman"/>
                <w:color w:val="auto"/>
                <w:sz w:val="24"/>
                <w:szCs w:val="32"/>
                <w:highlight w:val="none"/>
                <w:u w:val="none" w:color="auto"/>
                <w:lang w:val="en-US" w:eastAsia="zh-CN"/>
              </w:rPr>
              <w:t>适用于用作救生用的车辆安全气囊气体发生器或安全气囊模块或安全带卷收器，并且装有第1类爆炸性物质或其他类危险货物的物品，并且在作为部件运输时以及在这些物品提交运输时已按照《试验和标准手册》第一部分试验系列进行过试验</w:t>
            </w:r>
            <w:r>
              <w:rPr>
                <w:rFonts w:hint="eastAsia" w:ascii="Times New Roman" w:hAnsi="Times New Roman" w:eastAsia="宋体" w:cs="Times New Roman"/>
                <w:color w:val="auto"/>
                <w:sz w:val="24"/>
                <w:szCs w:val="32"/>
                <w:highlight w:val="none"/>
                <w:u w:val="none" w:color="auto"/>
                <w:lang w:val="en-US" w:eastAsia="zh-CN"/>
              </w:rPr>
              <w:t>，</w:t>
            </w:r>
            <w:r>
              <w:rPr>
                <w:rFonts w:hint="default" w:ascii="Times New Roman" w:hAnsi="Times New Roman" w:eastAsia="宋体" w:cs="Times New Roman"/>
                <w:color w:val="auto"/>
                <w:sz w:val="24"/>
                <w:szCs w:val="32"/>
                <w:highlight w:val="none"/>
                <w:u w:val="none" w:color="auto"/>
                <w:lang w:val="en-US" w:eastAsia="zh-CN"/>
              </w:rPr>
              <w:t>其结果是装置没有爆炸、装置外壳或压力容器没有碎裂</w:t>
            </w:r>
            <w:r>
              <w:rPr>
                <w:rFonts w:hint="eastAsia" w:ascii="Times New Roman" w:hAnsi="Times New Roman" w:eastAsia="宋体" w:cs="Times New Roman"/>
                <w:color w:val="auto"/>
                <w:sz w:val="24"/>
                <w:szCs w:val="32"/>
                <w:highlight w:val="none"/>
                <w:u w:val="none" w:color="auto"/>
                <w:lang w:val="en-US" w:eastAsia="zh-CN"/>
              </w:rPr>
              <w:t>，</w:t>
            </w:r>
            <w:r>
              <w:rPr>
                <w:rFonts w:hint="default" w:ascii="Times New Roman" w:hAnsi="Times New Roman" w:eastAsia="宋体" w:cs="Times New Roman"/>
                <w:color w:val="auto"/>
                <w:sz w:val="24"/>
                <w:szCs w:val="32"/>
                <w:highlight w:val="none"/>
                <w:u w:val="none" w:color="auto"/>
                <w:lang w:val="en-US" w:eastAsia="zh-CN"/>
              </w:rPr>
              <w:t>在装置紧邻处救火或其他应急行动时</w:t>
            </w:r>
            <w:r>
              <w:rPr>
                <w:rFonts w:hint="eastAsia" w:ascii="Times New Roman" w:hAnsi="Times New Roman" w:eastAsia="宋体" w:cs="Times New Roman"/>
                <w:color w:val="auto"/>
                <w:sz w:val="24"/>
                <w:szCs w:val="32"/>
                <w:highlight w:val="none"/>
                <w:u w:val="none" w:color="auto"/>
                <w:lang w:val="en-US" w:eastAsia="zh-CN"/>
              </w:rPr>
              <w:t>，</w:t>
            </w:r>
            <w:r>
              <w:rPr>
                <w:rFonts w:hint="default" w:ascii="Times New Roman" w:hAnsi="Times New Roman" w:eastAsia="宋体" w:cs="Times New Roman"/>
                <w:color w:val="auto"/>
                <w:sz w:val="24"/>
                <w:szCs w:val="32"/>
                <w:highlight w:val="none"/>
                <w:u w:val="none" w:color="auto"/>
                <w:lang w:val="en-US" w:eastAsia="zh-CN"/>
              </w:rPr>
              <w:t>不会发生明显妨碍应急行动的抛射危险或热效应</w:t>
            </w:r>
            <w:r>
              <w:rPr>
                <w:rFonts w:hint="eastAsia" w:ascii="Times New Roman" w:hAnsi="Times New Roman" w:eastAsia="宋体" w:cs="Times New Roman"/>
                <w:color w:val="auto"/>
                <w:sz w:val="24"/>
                <w:szCs w:val="32"/>
                <w:highlight w:val="none"/>
                <w:u w:val="none" w:color="auto"/>
                <w:lang w:val="en-US" w:eastAsia="zh-CN"/>
              </w:rPr>
              <w:t>。</w:t>
            </w:r>
          </w:p>
          <w:p w14:paraId="7F78A2CE">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eastAsia="zh-CN"/>
              </w:rPr>
            </w:pPr>
            <w:r>
              <w:rPr>
                <w:rFonts w:hint="eastAsia" w:ascii="Times New Roman" w:hAnsi="Times New Roman" w:eastAsia="宋体" w:cs="Times New Roman"/>
                <w:color w:val="auto"/>
                <w:sz w:val="24"/>
                <w:szCs w:val="32"/>
                <w:highlight w:val="none"/>
                <w:u w:val="none" w:color="auto"/>
                <w:lang w:eastAsia="zh-CN"/>
              </w:rPr>
              <w:t>（</w:t>
            </w:r>
            <w:r>
              <w:rPr>
                <w:rFonts w:hint="eastAsia" w:ascii="Times New Roman" w:hAnsi="Times New Roman" w:eastAsia="宋体" w:cs="Times New Roman"/>
                <w:color w:val="auto"/>
                <w:sz w:val="24"/>
                <w:szCs w:val="32"/>
                <w:highlight w:val="none"/>
                <w:u w:val="none" w:color="auto"/>
                <w:lang w:val="en-US" w:eastAsia="zh-CN"/>
              </w:rPr>
              <w:t>7</w:t>
            </w:r>
            <w:r>
              <w:rPr>
                <w:rFonts w:hint="eastAsia" w:ascii="Times New Roman" w:hAnsi="Times New Roman" w:eastAsia="宋体" w:cs="Times New Roman"/>
                <w:color w:val="auto"/>
                <w:sz w:val="24"/>
                <w:szCs w:val="32"/>
                <w:highlight w:val="none"/>
                <w:u w:val="none" w:color="auto"/>
                <w:lang w:eastAsia="zh-CN"/>
              </w:rPr>
              <w:t>）</w:t>
            </w:r>
            <w:r>
              <w:rPr>
                <w:rFonts w:hint="eastAsia" w:ascii="Times New Roman" w:hAnsi="Times New Roman" w:eastAsia="宋体" w:cs="Times New Roman"/>
                <w:color w:val="auto"/>
                <w:sz w:val="24"/>
                <w:szCs w:val="32"/>
                <w:highlight w:val="none"/>
                <w:u w:val="none" w:color="auto"/>
                <w:lang w:val="en-US" w:eastAsia="zh-CN"/>
              </w:rPr>
              <w:t>UN3316化学品箱或急救箱。是用来盛装例如用于医疗、分析、测试或维修为目的少量不同种类的危险品的箱、盒等。</w:t>
            </w:r>
          </w:p>
          <w:p w14:paraId="472139DF">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val="en-US" w:eastAsia="zh-CN"/>
              </w:rPr>
            </w:pPr>
            <w:r>
              <w:rPr>
                <w:rFonts w:hint="eastAsia" w:ascii="Times New Roman" w:hAnsi="Times New Roman" w:eastAsia="宋体" w:cs="Times New Roman"/>
                <w:color w:val="auto"/>
                <w:sz w:val="24"/>
                <w:szCs w:val="32"/>
                <w:highlight w:val="none"/>
                <w:u w:val="none" w:color="auto"/>
                <w:lang w:val="en-US" w:eastAsia="zh-CN"/>
              </w:rPr>
              <w:t>（8）UN3480锂离子电池（包括锂离子聚合物电池），装在刚性金属体内含有锂离子的电池。锂离子电池也可以在设备中或与设备合装在一起运输。</w:t>
            </w:r>
          </w:p>
          <w:p w14:paraId="6533D7DD">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val="en-US" w:eastAsia="zh-CN"/>
              </w:rPr>
            </w:pPr>
            <w:r>
              <w:rPr>
                <w:rFonts w:hint="eastAsia" w:ascii="Times New Roman" w:hAnsi="Times New Roman" w:eastAsia="宋体" w:cs="Times New Roman"/>
                <w:color w:val="auto"/>
                <w:sz w:val="24"/>
                <w:szCs w:val="32"/>
                <w:highlight w:val="none"/>
                <w:u w:val="none" w:color="auto"/>
                <w:lang w:val="en-US" w:eastAsia="zh-CN"/>
              </w:rPr>
              <w:t>（9）UN3481包含在设备中的锂离子电池或与设备包装在一起的锂离子电池（包括锂离子聚合物电池），装在刚性金属体内含有锂离子的电池。锂离子电池也可以在设备中或与设备合装在一起运输。</w:t>
            </w:r>
          </w:p>
          <w:p w14:paraId="79B6E6FD">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val="en-US" w:eastAsia="zh-CN"/>
              </w:rPr>
            </w:pPr>
            <w:r>
              <w:rPr>
                <w:rFonts w:hint="eastAsia" w:ascii="Times New Roman" w:hAnsi="Times New Roman" w:eastAsia="宋体" w:cs="Times New Roman"/>
                <w:color w:val="auto"/>
                <w:sz w:val="24"/>
                <w:szCs w:val="32"/>
                <w:highlight w:val="none"/>
                <w:u w:val="none" w:color="auto"/>
                <w:lang w:val="en-US" w:eastAsia="zh-CN"/>
              </w:rPr>
              <w:t>（10）UN 3496 镍氢电池，是一种性能良好的蓄电池。镍氢电池分为高压镍氢电池和低压镍氢电池。镍氢电池正极活性物质为Ni（OH）2（称NiO电极），负极活性物质为金属氢化物，也称储氢合金（电极称储氢电极），电解液为氢氧化钾溶液。</w:t>
            </w:r>
          </w:p>
          <w:p w14:paraId="5B43F771">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eastAsia="zh-CN"/>
              </w:rPr>
            </w:pPr>
            <w:r>
              <w:rPr>
                <w:rFonts w:hint="eastAsia" w:ascii="Times New Roman" w:hAnsi="Times New Roman" w:eastAsia="宋体" w:cs="Times New Roman"/>
                <w:color w:val="auto"/>
                <w:sz w:val="24"/>
                <w:szCs w:val="32"/>
                <w:highlight w:val="none"/>
                <w:u w:val="none" w:color="auto"/>
                <w:lang w:eastAsia="zh-CN"/>
              </w:rPr>
              <w:t>（</w:t>
            </w:r>
            <w:r>
              <w:rPr>
                <w:rFonts w:hint="eastAsia" w:ascii="Times New Roman" w:hAnsi="Times New Roman" w:eastAsia="宋体" w:cs="Times New Roman"/>
                <w:color w:val="auto"/>
                <w:sz w:val="24"/>
                <w:szCs w:val="32"/>
                <w:highlight w:val="none"/>
                <w:u w:val="none" w:color="auto"/>
                <w:lang w:val="en-US" w:eastAsia="zh-CN"/>
              </w:rPr>
              <w:t>11</w:t>
            </w:r>
            <w:r>
              <w:rPr>
                <w:rFonts w:hint="eastAsia" w:ascii="Times New Roman" w:hAnsi="Times New Roman" w:eastAsia="宋体" w:cs="Times New Roman"/>
                <w:color w:val="auto"/>
                <w:sz w:val="24"/>
                <w:szCs w:val="32"/>
                <w:highlight w:val="none"/>
                <w:u w:val="none" w:color="auto"/>
                <w:lang w:eastAsia="zh-CN"/>
              </w:rPr>
              <w:t>）</w:t>
            </w:r>
            <w:r>
              <w:rPr>
                <w:rFonts w:hint="eastAsia" w:ascii="Times New Roman" w:hAnsi="Times New Roman" w:eastAsia="宋体" w:cs="Times New Roman"/>
                <w:color w:val="auto"/>
                <w:sz w:val="24"/>
                <w:szCs w:val="32"/>
                <w:highlight w:val="none"/>
                <w:u w:val="none" w:color="auto"/>
                <w:lang w:val="en-US" w:eastAsia="zh-CN"/>
              </w:rPr>
              <w:t>UN 3499 双电层电容器</w:t>
            </w:r>
            <w:r>
              <w:rPr>
                <w:rFonts w:hint="eastAsia" w:cs="Times New Roman"/>
                <w:color w:val="auto"/>
                <w:sz w:val="24"/>
                <w:szCs w:val="32"/>
                <w:highlight w:val="none"/>
                <w:u w:val="none" w:color="auto"/>
                <w:lang w:val="en-US" w:eastAsia="zh-CN"/>
              </w:rPr>
              <w:t>（</w:t>
            </w:r>
            <w:r>
              <w:rPr>
                <w:rFonts w:hint="eastAsia" w:ascii="Times New Roman" w:hAnsi="Times New Roman" w:eastAsia="宋体" w:cs="Times New Roman"/>
                <w:color w:val="auto"/>
                <w:sz w:val="24"/>
                <w:szCs w:val="32"/>
                <w:highlight w:val="none"/>
                <w:u w:val="none" w:color="auto"/>
                <w:lang w:val="en-US" w:eastAsia="zh-CN"/>
              </w:rPr>
              <w:t>储能量大于0.3瓦特小时</w:t>
            </w:r>
            <w:r>
              <w:rPr>
                <w:rFonts w:hint="eastAsia" w:cs="Times New Roman"/>
                <w:color w:val="auto"/>
                <w:sz w:val="24"/>
                <w:szCs w:val="32"/>
                <w:highlight w:val="none"/>
                <w:u w:val="none" w:color="auto"/>
                <w:lang w:val="en-US" w:eastAsia="zh-CN"/>
              </w:rPr>
              <w:t>）</w:t>
            </w:r>
          </w:p>
          <w:p w14:paraId="0DE41BC3">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eastAsia="zh-CN"/>
              </w:rPr>
            </w:pPr>
            <w:r>
              <w:rPr>
                <w:rFonts w:hint="eastAsia" w:ascii="Times New Roman" w:hAnsi="Times New Roman" w:eastAsia="宋体" w:cs="Times New Roman"/>
                <w:color w:val="auto"/>
                <w:sz w:val="24"/>
                <w:szCs w:val="32"/>
                <w:highlight w:val="none"/>
                <w:u w:val="none" w:color="auto"/>
                <w:lang w:val="en-US" w:eastAsia="zh-CN"/>
              </w:rPr>
              <w:t>用于储存电量的带有非危险性的活性炭和电极的物品。装在设备中的双层带电的电容器可在充电状态下运输。双电层电容器能够以非常低的内阻-允许极快的放电。</w:t>
            </w:r>
          </w:p>
          <w:p w14:paraId="669E396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eastAsia="zh-CN"/>
              </w:rPr>
            </w:pPr>
            <w:r>
              <w:rPr>
                <w:rFonts w:hint="eastAsia" w:ascii="Times New Roman" w:hAnsi="Times New Roman" w:eastAsia="宋体" w:cs="Times New Roman"/>
                <w:color w:val="auto"/>
                <w:sz w:val="24"/>
                <w:szCs w:val="32"/>
                <w:highlight w:val="none"/>
                <w:u w:val="none" w:color="auto"/>
                <w:lang w:val="en-US" w:eastAsia="zh-CN"/>
              </w:rPr>
              <w:t>（12）UN 3508 电容器，非对称的</w:t>
            </w:r>
            <w:r>
              <w:rPr>
                <w:rFonts w:hint="eastAsia" w:cs="Times New Roman"/>
                <w:color w:val="auto"/>
                <w:sz w:val="24"/>
                <w:szCs w:val="32"/>
                <w:highlight w:val="none"/>
                <w:u w:val="none" w:color="auto"/>
                <w:lang w:val="en-US" w:eastAsia="zh-CN"/>
              </w:rPr>
              <w:t>（</w:t>
            </w:r>
            <w:r>
              <w:rPr>
                <w:rFonts w:hint="eastAsia" w:ascii="Times New Roman" w:hAnsi="Times New Roman" w:eastAsia="宋体" w:cs="Times New Roman"/>
                <w:color w:val="auto"/>
                <w:sz w:val="24"/>
                <w:szCs w:val="32"/>
                <w:highlight w:val="none"/>
                <w:u w:val="none" w:color="auto"/>
                <w:lang w:val="en-US" w:eastAsia="zh-CN"/>
              </w:rPr>
              <w:t>储能量大于0.3瓦特小时</w:t>
            </w:r>
            <w:r>
              <w:rPr>
                <w:rFonts w:hint="eastAsia" w:cs="Times New Roman"/>
                <w:color w:val="auto"/>
                <w:sz w:val="24"/>
                <w:szCs w:val="32"/>
                <w:highlight w:val="none"/>
                <w:u w:val="none" w:color="auto"/>
                <w:lang w:val="en-US" w:eastAsia="zh-CN"/>
              </w:rPr>
              <w:t>）</w:t>
            </w:r>
            <w:r>
              <w:rPr>
                <w:rFonts w:hint="eastAsia" w:ascii="Times New Roman" w:hAnsi="Times New Roman" w:eastAsia="宋体" w:cs="Times New Roman"/>
                <w:color w:val="auto"/>
                <w:sz w:val="24"/>
                <w:szCs w:val="32"/>
                <w:highlight w:val="none"/>
                <w:u w:val="none" w:color="auto"/>
                <w:lang w:val="en-US" w:eastAsia="zh-CN"/>
              </w:rPr>
              <w:t xml:space="preserve"> </w:t>
            </w:r>
          </w:p>
          <w:p w14:paraId="1323CEBE">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none" w:color="auto"/>
                <w:lang w:val="en-US" w:eastAsia="zh-CN"/>
              </w:rPr>
            </w:pPr>
            <w:r>
              <w:rPr>
                <w:rFonts w:hint="eastAsia" w:ascii="Times New Roman" w:hAnsi="Times New Roman" w:eastAsia="宋体" w:cs="Times New Roman"/>
                <w:color w:val="auto"/>
                <w:sz w:val="24"/>
                <w:szCs w:val="32"/>
                <w:highlight w:val="none"/>
                <w:u w:val="none" w:color="auto"/>
                <w:lang w:val="en-US" w:eastAsia="zh-CN"/>
              </w:rPr>
              <w:t>含有不同材料组成的正负电极和电解液，用于存储电量的物品。不对称的电容器可以在充电状态下运输。双电层电容器能够以非常低的内阻-允许极快的放电。</w:t>
            </w:r>
          </w:p>
          <w:p w14:paraId="487E5CC2">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37种可混堆危险货物，按UN编号顺序分类整理，包含性状、理化特性、包装形式及特殊要求</w:t>
            </w:r>
            <w:r>
              <w:rPr>
                <w:rFonts w:hint="eastAsia" w:cs="Times New Roman"/>
                <w:color w:val="auto"/>
                <w:sz w:val="24"/>
                <w:szCs w:val="32"/>
                <w:highlight w:val="none"/>
                <w:u w:val="single" w:color="auto"/>
                <w:lang w:val="en-US" w:eastAsia="zh-CN"/>
              </w:rPr>
              <w:t>如下：</w:t>
            </w:r>
          </w:p>
          <w:p w14:paraId="689D4AB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1、</w:t>
            </w:r>
            <w:r>
              <w:rPr>
                <w:rFonts w:hint="eastAsia" w:cs="Times New Roman"/>
                <w:color w:val="auto"/>
                <w:sz w:val="24"/>
                <w:szCs w:val="32"/>
                <w:highlight w:val="none"/>
                <w:u w:val="single" w:color="auto"/>
                <w:lang w:val="en-US" w:eastAsia="zh-CN"/>
              </w:rPr>
              <w:t>第9类危险货物（杂项）</w:t>
            </w:r>
          </w:p>
          <w:p w14:paraId="64ADF96A">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（1）UN 2216 鱼粉（鱼屑），稳定的​</w:t>
            </w:r>
          </w:p>
          <w:p w14:paraId="76C06F5E">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性状：棕色至绿褐色团粒状粉末，有明显鱼腥味，含脂肪（≤15%）和水分（5%-12%）。理化特性：易氧化自热，添加抗氧化剂（如乙氧基喹啉）；燃点≥150℃。包装：防潮编织袋（内衬聚乙烯膜）或吨袋，每包≤50kg。</w:t>
            </w:r>
          </w:p>
          <w:p w14:paraId="77E825FD">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（2）</w:t>
            </w:r>
            <w:r>
              <w:rPr>
                <w:rFonts w:hint="eastAsia" w:cs="Times New Roman"/>
                <w:color w:val="auto"/>
                <w:sz w:val="24"/>
                <w:szCs w:val="32"/>
                <w:highlight w:val="none"/>
                <w:u w:val="single" w:color="auto"/>
                <w:lang w:val="en-US" w:eastAsia="zh-CN"/>
              </w:rPr>
              <w:t>UN 2807 磁化材料</w:t>
            </w:r>
          </w:p>
          <w:p w14:paraId="6FF58397">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性状：金属合金块/片（如钕铁硼），表面镀镍防锈。理化特性：磁场强度≥0.159A/m，可能干扰电子设备。包装：镀锌铁箱（磁屏蔽）+内部防震泡沫，标注“磁性物质”。 ​​</w:t>
            </w:r>
          </w:p>
          <w:p w14:paraId="3A4E49F5">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（3）</w:t>
            </w:r>
            <w:r>
              <w:rPr>
                <w:rFonts w:hint="eastAsia" w:cs="Times New Roman"/>
                <w:color w:val="auto"/>
                <w:sz w:val="24"/>
                <w:szCs w:val="32"/>
                <w:highlight w:val="none"/>
                <w:u w:val="single" w:color="auto"/>
                <w:lang w:val="en-US" w:eastAsia="zh-CN"/>
              </w:rPr>
              <w:t>UN 2990/3072 救生设备（自动/非自动膨胀式）</w:t>
            </w:r>
          </w:p>
          <w:p w14:paraId="48753F9B">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组成：含压缩气体（CO₂/N₂）、烟火信号弹（1.4S类）、火柴等。包装：防水纤维外袋+硬质塑料内箱，气瓶单独固定。特殊要求：信号装置需内衬防静电材料。</w:t>
            </w:r>
          </w:p>
          <w:p w14:paraId="624B85C7">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（4）</w:t>
            </w:r>
            <w:r>
              <w:rPr>
                <w:rFonts w:hint="eastAsia" w:cs="Times New Roman"/>
                <w:color w:val="auto"/>
                <w:sz w:val="24"/>
                <w:szCs w:val="32"/>
                <w:highlight w:val="none"/>
                <w:u w:val="single" w:color="auto"/>
                <w:lang w:val="en-US" w:eastAsia="zh-CN"/>
              </w:rPr>
              <w:t>UN 3166 易燃气体/液体驱动车辆</w:t>
            </w:r>
          </w:p>
          <w:p w14:paraId="59A83507">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典型货物：含残余燃料（汽油/柴油）的汽车、叉车。包装：油箱排空至≤10L，车辆固定支架+防漏托盘。</w:t>
            </w:r>
          </w:p>
          <w:p w14:paraId="55A96508">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（5）</w:t>
            </w:r>
            <w:r>
              <w:rPr>
                <w:rFonts w:hint="eastAsia" w:cs="Times New Roman"/>
                <w:color w:val="auto"/>
                <w:sz w:val="24"/>
                <w:szCs w:val="32"/>
                <w:highlight w:val="none"/>
                <w:u w:val="single" w:color="auto"/>
                <w:lang w:val="en-US" w:eastAsia="zh-CN"/>
              </w:rPr>
              <w:t>UN 3171 电池驱动车辆/设备</w:t>
            </w:r>
          </w:p>
          <w:p w14:paraId="615C54FE">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示例：电动车、平衡车、电动工具（含铅酸/锂电池）。包装：电池电极绝缘保护，设备防短路包装。</w:t>
            </w:r>
          </w:p>
          <w:p w14:paraId="54792038">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（6）</w:t>
            </w:r>
            <w:r>
              <w:rPr>
                <w:rFonts w:hint="eastAsia" w:cs="Times New Roman"/>
                <w:color w:val="auto"/>
                <w:sz w:val="24"/>
                <w:szCs w:val="32"/>
                <w:highlight w:val="none"/>
                <w:u w:val="single" w:color="auto"/>
                <w:lang w:val="en-US" w:eastAsia="zh-CN"/>
              </w:rPr>
              <w:t>UN 3268 电启动安全装置</w:t>
            </w:r>
          </w:p>
          <w:p w14:paraId="30E398E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组成：含微量火药（≤1g）的车辆安全气囊模块。包装：防静电金属盒，通过UN 38.3跌落测试。 ​​</w:t>
            </w:r>
          </w:p>
          <w:p w14:paraId="0BB98EC0">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（7）UN 3316 化学品箱/急救箱</w:t>
            </w:r>
          </w:p>
          <w:p w14:paraId="402EE080">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内容物：医疗消毒剂、试剂（如甲醛溶液≤30%）。包装：耐腐蚀ABS塑料箱，内部分隔缓冲。</w:t>
            </w:r>
          </w:p>
          <w:p w14:paraId="7DCF558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（8）</w:t>
            </w:r>
            <w:r>
              <w:rPr>
                <w:rFonts w:hint="eastAsia" w:cs="Times New Roman"/>
                <w:color w:val="auto"/>
                <w:sz w:val="24"/>
                <w:szCs w:val="32"/>
                <w:highlight w:val="none"/>
                <w:u w:val="single" w:color="auto"/>
                <w:lang w:val="en-US" w:eastAsia="zh-CN"/>
              </w:rPr>
              <w:t>UN 3496 镍氢蓄电池​</w:t>
            </w:r>
          </w:p>
          <w:p w14:paraId="48EA54B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电解液：30%氢氧化钾溶液，电压1.2V/单体。包装：防漏塑料外壳+电极绝缘帽。</w:t>
            </w:r>
          </w:p>
          <w:p w14:paraId="6864C473">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（9）</w:t>
            </w:r>
            <w:r>
              <w:rPr>
                <w:rFonts w:hint="eastAsia" w:cs="Times New Roman"/>
                <w:color w:val="auto"/>
                <w:sz w:val="24"/>
                <w:szCs w:val="32"/>
                <w:highlight w:val="none"/>
                <w:u w:val="single" w:color="auto"/>
                <w:lang w:val="en-US" w:eastAsia="zh-CN"/>
              </w:rPr>
              <w:t>UN 3499/3508 电容器（双电层/非对称）​​ • ​​</w:t>
            </w:r>
          </w:p>
          <w:p w14:paraId="4F7D16FB">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储能量：＞0.3Wh，内阻＜10mΩ。包装：金属外壳+防短路设计，充电状态需标注。</w:t>
            </w:r>
          </w:p>
          <w:p w14:paraId="6018B3F2">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（10）</w:t>
            </w:r>
            <w:r>
              <w:rPr>
                <w:rFonts w:hint="eastAsia" w:cs="Times New Roman"/>
                <w:color w:val="auto"/>
                <w:sz w:val="24"/>
                <w:szCs w:val="32"/>
                <w:highlight w:val="none"/>
                <w:u w:val="single" w:color="auto"/>
                <w:lang w:val="en-US" w:eastAsia="zh-CN"/>
              </w:rPr>
              <w:t>UN 3536 运输装置中的锂电池</w:t>
            </w:r>
          </w:p>
          <w:p w14:paraId="02727179">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包装：防撞金属框架，电池荷电量≤30%。</w:t>
            </w:r>
          </w:p>
          <w:p w14:paraId="08F6EAD2">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（11）</w:t>
            </w:r>
            <w:r>
              <w:rPr>
                <w:rFonts w:hint="eastAsia" w:cs="Times New Roman"/>
                <w:color w:val="auto"/>
                <w:sz w:val="24"/>
                <w:szCs w:val="32"/>
                <w:highlight w:val="none"/>
                <w:u w:val="single" w:color="auto"/>
                <w:lang w:val="en-US" w:eastAsia="zh-CN"/>
              </w:rPr>
              <w:t>UN 1845 固态二氧化碳（干冰）</w:t>
            </w:r>
          </w:p>
          <w:p w14:paraId="6075E087">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性状：白色雪花状固体，-78℃升华。包装：泡沫箱（预留排气孔），标注“CO₂窒息风险”。</w:t>
            </w:r>
          </w:p>
          <w:p w14:paraId="774EB422">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（12）</w:t>
            </w:r>
            <w:r>
              <w:rPr>
                <w:rFonts w:hint="eastAsia" w:cs="Times New Roman"/>
                <w:color w:val="auto"/>
                <w:sz w:val="24"/>
                <w:szCs w:val="32"/>
                <w:highlight w:val="none"/>
                <w:u w:val="single" w:color="auto"/>
                <w:lang w:val="en-US" w:eastAsia="zh-CN"/>
              </w:rPr>
              <w:t>UN 3077 环境有害固态物质</w:t>
            </w:r>
          </w:p>
          <w:p w14:paraId="15A9BEDF">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示例：含重金属的工业废料。包装：HDPE密封桶，贴环境危害标志。 ​​（13）UN 3359 熏蒸货物装置</w:t>
            </w:r>
          </w:p>
          <w:p w14:paraId="25A4038F">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残留物：如溴甲烷≤5ppm。包装：通风检测合格后运输。</w:t>
            </w:r>
          </w:p>
          <w:p w14:paraId="2800EE79">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default" w:ascii="Times New Roman" w:hAnsi="Times New Roman" w:eastAsia="宋体"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2、第8类危险货物</w:t>
            </w:r>
          </w:p>
          <w:p w14:paraId="5457169F">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（1）</w:t>
            </w:r>
            <w:r>
              <w:rPr>
                <w:rFonts w:hint="eastAsia" w:ascii="Times New Roman" w:hAnsi="Times New Roman" w:eastAsia="宋体" w:cs="Times New Roman"/>
                <w:color w:val="auto"/>
                <w:sz w:val="24"/>
                <w:szCs w:val="32"/>
                <w:highlight w:val="none"/>
                <w:u w:val="single" w:color="auto"/>
                <w:lang w:val="en-US" w:eastAsia="zh-CN"/>
              </w:rPr>
              <w:t>UN 1759/3147/3259-3263 腐蚀性固体</w:t>
            </w:r>
          </w:p>
          <w:p w14:paraId="0F769D05">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性状：粉末/结晶（如UN 3260无机酸性固体为白色颗粒）。腐蚀性：pH≤2或≥12.5（按包装类别Ⅲ标准）。包装：HDPE桶（带密封盖）或内衬聚乙烯的钢桶。特殊要求：UN 3262（无机碱性）：与酸类隔离。UN 3147（染料）：避光保存。</w:t>
            </w:r>
          </w:p>
          <w:p w14:paraId="3CEB95D8">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3、</w:t>
            </w:r>
            <w:r>
              <w:rPr>
                <w:rFonts w:hint="eastAsia" w:ascii="Times New Roman" w:hAnsi="Times New Roman" w:eastAsia="宋体" w:cs="Times New Roman"/>
                <w:color w:val="auto"/>
                <w:sz w:val="24"/>
                <w:szCs w:val="32"/>
                <w:highlight w:val="none"/>
                <w:u w:val="single" w:color="auto"/>
                <w:lang w:val="en-US" w:eastAsia="zh-CN"/>
              </w:rPr>
              <w:t>锂电池及含电池设备</w:t>
            </w:r>
          </w:p>
          <w:p w14:paraId="0AE27A4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（1）</w:t>
            </w:r>
            <w:r>
              <w:rPr>
                <w:rFonts w:hint="eastAsia" w:ascii="Times New Roman" w:hAnsi="Times New Roman" w:eastAsia="宋体" w:cs="Times New Roman"/>
                <w:color w:val="auto"/>
                <w:sz w:val="24"/>
                <w:szCs w:val="32"/>
                <w:highlight w:val="none"/>
                <w:u w:val="single" w:color="auto"/>
                <w:lang w:val="en-US" w:eastAsia="zh-CN"/>
              </w:rPr>
              <w:t>UN 3090/3091 锂金属电池</w:t>
            </w:r>
          </w:p>
          <w:p w14:paraId="325BE616">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能量限制：锂含量≤1g/电池，≤2g/设备。包装：通过UN 38.3测试的防短路包装。</w:t>
            </w:r>
          </w:p>
          <w:p w14:paraId="3006D43B">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（2）</w:t>
            </w:r>
            <w:r>
              <w:rPr>
                <w:rFonts w:hint="eastAsia" w:ascii="Times New Roman" w:hAnsi="Times New Roman" w:eastAsia="宋体" w:cs="Times New Roman"/>
                <w:color w:val="auto"/>
                <w:sz w:val="24"/>
                <w:szCs w:val="32"/>
                <w:highlight w:val="none"/>
                <w:u w:val="single" w:color="auto"/>
                <w:lang w:val="en-US" w:eastAsia="zh-CN"/>
              </w:rPr>
              <w:t>UN 3480/3481 锂离子电池</w:t>
            </w:r>
          </w:p>
          <w:p w14:paraId="54AE811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能量密度：≤20Wh/电池，≤100Wh/设备。包装：硬质外箱+缓冲材料（如蜂窝纸板）。</w:t>
            </w:r>
          </w:p>
          <w:p w14:paraId="2468B31E">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（3）</w:t>
            </w:r>
            <w:r>
              <w:rPr>
                <w:rFonts w:hint="eastAsia" w:ascii="Times New Roman" w:hAnsi="Times New Roman" w:eastAsia="宋体" w:cs="Times New Roman"/>
                <w:color w:val="auto"/>
                <w:sz w:val="24"/>
                <w:szCs w:val="32"/>
                <w:highlight w:val="none"/>
                <w:u w:val="single" w:color="auto"/>
                <w:lang w:val="en-US" w:eastAsia="zh-CN"/>
              </w:rPr>
              <w:t>UN 3556-3558 电池动力车辆</w:t>
            </w:r>
          </w:p>
          <w:p w14:paraId="0B6B83D9">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示例：电动叉车、平衡车（锂/钠离子电池）。包装：电池断电固定，防倾倒支架。</w:t>
            </w:r>
          </w:p>
          <w:p w14:paraId="671C2C8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4、</w:t>
            </w:r>
            <w:r>
              <w:rPr>
                <w:rFonts w:hint="eastAsia" w:ascii="Times New Roman" w:hAnsi="Times New Roman" w:eastAsia="宋体" w:cs="Times New Roman"/>
                <w:color w:val="auto"/>
                <w:sz w:val="24"/>
                <w:szCs w:val="32"/>
                <w:highlight w:val="none"/>
                <w:u w:val="single" w:color="auto"/>
                <w:lang w:val="en-US" w:eastAsia="zh-CN"/>
              </w:rPr>
              <w:t>其他特殊货物</w:t>
            </w:r>
          </w:p>
          <w:p w14:paraId="5D18B27C">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cs="Times New Roman"/>
                <w:color w:val="auto"/>
                <w:sz w:val="24"/>
                <w:szCs w:val="32"/>
                <w:highlight w:val="none"/>
                <w:u w:val="single" w:color="auto"/>
                <w:lang w:val="en-US" w:eastAsia="zh-CN"/>
              </w:rPr>
              <w:t>（1）</w:t>
            </w:r>
            <w:r>
              <w:rPr>
                <w:rFonts w:hint="eastAsia" w:ascii="Times New Roman" w:hAnsi="Times New Roman" w:eastAsia="宋体" w:cs="Times New Roman"/>
                <w:color w:val="auto"/>
                <w:sz w:val="24"/>
                <w:szCs w:val="32"/>
                <w:highlight w:val="none"/>
                <w:u w:val="single" w:color="auto"/>
                <w:lang w:val="en-US" w:eastAsia="zh-CN"/>
              </w:rPr>
              <w:t>UN 3509 废弃空包装</w:t>
            </w:r>
          </w:p>
          <w:p w14:paraId="26F9BA36">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要求：未清洁，含残留物＜1%。包装：与原货物相同包装形式。</w:t>
            </w:r>
          </w:p>
          <w:p w14:paraId="3ED8D405">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kern w:val="2"/>
                <w:sz w:val="24"/>
                <w:szCs w:val="32"/>
                <w:u w:val="single" w:color="auto"/>
                <w:lang w:val="en-US" w:eastAsia="zh-CN" w:bidi="ar-SA"/>
              </w:rPr>
              <w:t>（2）</w:t>
            </w:r>
            <w:r>
              <w:rPr>
                <w:rFonts w:hint="eastAsia" w:ascii="Times New Roman" w:hAnsi="Times New Roman" w:eastAsia="宋体" w:cs="Times New Roman"/>
                <w:color w:val="auto"/>
                <w:sz w:val="24"/>
                <w:szCs w:val="32"/>
                <w:highlight w:val="none"/>
                <w:u w:val="single" w:color="auto"/>
                <w:lang w:val="en-US" w:eastAsia="zh-CN"/>
              </w:rPr>
              <w:t>UN 3530 内燃机机械</w:t>
            </w:r>
          </w:p>
          <w:p w14:paraId="3D9E167E">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eastAsia" w:ascii="Times New Roman" w:hAnsi="Times New Roman" w:eastAsia="宋体" w:cs="Times New Roman"/>
                <w:color w:val="auto"/>
                <w:sz w:val="24"/>
                <w:szCs w:val="32"/>
                <w:highlight w:val="none"/>
                <w:u w:val="single" w:color="auto"/>
                <w:lang w:val="en-US" w:eastAsia="zh-CN"/>
              </w:rPr>
            </w:pPr>
            <w:r>
              <w:rPr>
                <w:rFonts w:hint="eastAsia" w:ascii="Times New Roman" w:hAnsi="Times New Roman" w:eastAsia="宋体" w:cs="Times New Roman"/>
                <w:color w:val="auto"/>
                <w:sz w:val="24"/>
                <w:szCs w:val="32"/>
                <w:highlight w:val="none"/>
                <w:u w:val="single" w:color="auto"/>
                <w:lang w:val="en-US" w:eastAsia="zh-CN"/>
              </w:rPr>
              <w:t>残留燃料：柴油≤10L，油箱密封。包装：防漏托盘+防静电处理。</w:t>
            </w:r>
          </w:p>
          <w:p w14:paraId="2268A8A1">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leftChars="0" w:right="0" w:rightChars="0" w:firstLine="480" w:firstLineChars="0"/>
              <w:textAlignment w:val="auto"/>
              <w:rPr>
                <w:rFonts w:hint="default" w:ascii="Times New Roman" w:hAnsi="Times New Roman" w:eastAsia="宋体" w:cs="Times New Roman"/>
                <w:color w:val="auto"/>
                <w:sz w:val="24"/>
                <w:szCs w:val="32"/>
                <w:highlight w:val="none"/>
                <w:u w:val="none" w:color="auto"/>
                <w:vertAlign w:val="baseline"/>
                <w:lang w:val="en-US" w:eastAsia="zh-CN"/>
              </w:rPr>
            </w:pPr>
            <w:r>
              <w:rPr>
                <w:rFonts w:hint="eastAsia" w:ascii="Times New Roman" w:hAnsi="Times New Roman" w:eastAsia="宋体" w:cs="Times New Roman"/>
                <w:color w:val="auto"/>
                <w:sz w:val="24"/>
                <w:szCs w:val="32"/>
                <w:highlight w:val="none"/>
                <w:u w:val="none" w:color="auto"/>
                <w:lang w:val="en-US" w:eastAsia="zh-CN"/>
              </w:rPr>
              <w:t>部分图片如下：</w:t>
            </w:r>
          </w:p>
          <w:tbl>
            <w:tblPr>
              <w:tblStyle w:val="47"/>
              <w:tblW w:w="8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4"/>
            </w:tblGrid>
            <w:tr w14:paraId="4362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4" w:type="dxa"/>
                </w:tcPr>
                <w:p w14:paraId="7E07B1E2">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textAlignment w:val="auto"/>
                    <w:rPr>
                      <w:rFonts w:hint="default" w:ascii="Times New Roman" w:hAnsi="Times New Roman" w:eastAsia="宋体" w:cs="Times New Roman"/>
                      <w:color w:val="auto"/>
                      <w:sz w:val="24"/>
                      <w:szCs w:val="32"/>
                      <w:highlight w:val="none"/>
                      <w:u w:val="none" w:color="auto"/>
                      <w:vertAlign w:val="baseline"/>
                      <w:lang w:val="en-US" w:eastAsia="zh-CN"/>
                    </w:rPr>
                  </w:pP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71552" behindDoc="0" locked="0" layoutInCell="1" allowOverlap="1">
                            <wp:simplePos x="0" y="0"/>
                            <wp:positionH relativeFrom="column">
                              <wp:posOffset>2576195</wp:posOffset>
                            </wp:positionH>
                            <wp:positionV relativeFrom="paragraph">
                              <wp:posOffset>1287780</wp:posOffset>
                            </wp:positionV>
                            <wp:extent cx="571500" cy="285750"/>
                            <wp:effectExtent l="0" t="0" r="0" b="0"/>
                            <wp:wrapNone/>
                            <wp:docPr id="80" name="矩形 80"/>
                            <wp:cNvGraphicFramePr/>
                            <a:graphic xmlns:a="http://schemas.openxmlformats.org/drawingml/2006/main">
                              <a:graphicData uri="http://schemas.microsoft.com/office/word/2010/wordprocessingShape">
                                <wps:wsp>
                                  <wps:cNvSpPr/>
                                  <wps:spPr>
                                    <a:xfrm>
                                      <a:off x="4090035" y="4462145"/>
                                      <a:ext cx="571500" cy="2857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85pt;margin-top:101.4pt;height:22.5pt;width:45pt;z-index:251671552;v-text-anchor:middle;mso-width-relative:page;mso-height-relative:page;" fillcolor="#FFFFFF [3212]" filled="t" stroked="f" coordsize="21600,21600" o:gfxdata="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hDrnvVAAAACwEAAA8AAAAAAAAAAQAgAAAAIgAAAGRycy9kb3ducmV2LnhtbFBLAQIU&#10;ABQAAAAIAIdO4kDKZYpjaAIAAMEEAAAOAAAAAAAAAAEAIAAAACQBAABkcnMvZTJvRG9jLnhtbFBL&#10;BQYAAAAABgAGAFkBAAD+BQAAAAA=&#10;">
                            <v:fill on="t" focussize="0,0"/>
                            <v:stroke on="f" weight="2pt"/>
                            <v:imagedata o:title=""/>
                            <o:lock v:ext="edit" aspectratio="f"/>
                          </v:rect>
                        </w:pict>
                      </mc:Fallback>
                    </mc:AlternateContent>
                  </w: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70528" behindDoc="0" locked="0" layoutInCell="1" allowOverlap="1">
                            <wp:simplePos x="0" y="0"/>
                            <wp:positionH relativeFrom="column">
                              <wp:posOffset>490220</wp:posOffset>
                            </wp:positionH>
                            <wp:positionV relativeFrom="paragraph">
                              <wp:posOffset>1297305</wp:posOffset>
                            </wp:positionV>
                            <wp:extent cx="552450" cy="266700"/>
                            <wp:effectExtent l="0" t="0" r="0" b="0"/>
                            <wp:wrapNone/>
                            <wp:docPr id="79" name="矩形 79"/>
                            <wp:cNvGraphicFramePr/>
                            <a:graphic xmlns:a="http://schemas.openxmlformats.org/drawingml/2006/main">
                              <a:graphicData uri="http://schemas.microsoft.com/office/word/2010/wordprocessingShape">
                                <wps:wsp>
                                  <wps:cNvSpPr/>
                                  <wps:spPr>
                                    <a:xfrm>
                                      <a:off x="2004060" y="4471670"/>
                                      <a:ext cx="552450" cy="266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6pt;margin-top:102.15pt;height:21pt;width:43.5pt;z-index:251670528;v-text-anchor:middle;mso-width-relative:page;mso-height-relative:page;" fillcolor="#FFFFFF [3212]" filled="t" stroked="f" coordsize="21600,21600" o:gfxdata="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MNuPbUAAAACgEAAA8AAAAAAAAAAQAgAAAAIgAAAGRycy9kb3ducmV2LnhtbFBLAQIUABQA&#10;AAAIAIdO4kBiiPfpZgIAAMEEAAAOAAAAAAAAAAEAIAAAACMBAABkcnMvZTJvRG9jLnhtbFBLBQYA&#10;AAAABgAGAFkBAAD7BQAAAAA=&#10;">
                            <v:fill on="t" focussize="0,0"/>
                            <v:stroke on="f" weight="2pt"/>
                            <v:imagedata o:title=""/>
                            <o:lock v:ext="edit" aspectratio="f"/>
                          </v:rect>
                        </w:pict>
                      </mc:Fallback>
                    </mc:AlternateContent>
                  </w:r>
                  <w:r>
                    <w:rPr>
                      <w:rFonts w:hint="default" w:ascii="Times New Roman" w:hAnsi="Times New Roman" w:eastAsia="宋体" w:cs="Times New Roman"/>
                      <w:color w:val="auto"/>
                      <w:sz w:val="24"/>
                      <w:szCs w:val="32"/>
                      <w:highlight w:val="none"/>
                      <w:u w:val="none" w:color="auto"/>
                      <w:vertAlign w:val="baseline"/>
                      <w:lang w:val="en-US" w:eastAsia="zh-CN"/>
                    </w:rPr>
                    <w:drawing>
                      <wp:inline distT="0" distB="0" distL="114300" distR="114300">
                        <wp:extent cx="4980940" cy="1555750"/>
                        <wp:effectExtent l="0" t="0" r="0" b="0"/>
                        <wp:docPr id="78" name="图片 78" descr="ed507e1e88ce50908f2efc10c50e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d507e1e88ce50908f2efc10c50efe2"/>
                                <pic:cNvPicPr>
                                  <a:picLocks noChangeAspect="1"/>
                                </pic:cNvPicPr>
                              </pic:nvPicPr>
                              <pic:blipFill>
                                <a:blip r:embed="rId15"/>
                                <a:srcRect r="457" b="3695"/>
                                <a:stretch>
                                  <a:fillRect/>
                                </a:stretch>
                              </pic:blipFill>
                              <pic:spPr>
                                <a:xfrm>
                                  <a:off x="0" y="0"/>
                                  <a:ext cx="4980940" cy="1555750"/>
                                </a:xfrm>
                                <a:prstGeom prst="rect">
                                  <a:avLst/>
                                </a:prstGeom>
                              </pic:spPr>
                            </pic:pic>
                          </a:graphicData>
                        </a:graphic>
                      </wp:inline>
                    </w:drawing>
                  </w:r>
                </w:p>
              </w:tc>
            </w:tr>
            <w:tr w14:paraId="6FC6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4" w:type="dxa"/>
                </w:tcPr>
                <w:p w14:paraId="54F894B8">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textAlignment w:val="auto"/>
                    <w:rPr>
                      <w:rFonts w:hint="default" w:ascii="Times New Roman" w:hAnsi="Times New Roman" w:eastAsia="宋体" w:cs="Times New Roman"/>
                      <w:color w:val="auto"/>
                      <w:sz w:val="24"/>
                      <w:szCs w:val="32"/>
                      <w:highlight w:val="none"/>
                      <w:u w:val="none" w:color="auto"/>
                      <w:vertAlign w:val="baseline"/>
                      <w:lang w:val="en-US" w:eastAsia="zh-CN"/>
                    </w:rPr>
                  </w:pPr>
                  <w:r>
                    <w:rPr>
                      <w:rFonts w:hint="default" w:ascii="Times New Roman" w:hAnsi="Times New Roman" w:eastAsia="宋体" w:cs="Times New Roman"/>
                      <w:color w:val="auto"/>
                      <w:sz w:val="24"/>
                      <w:szCs w:val="32"/>
                      <w:highlight w:val="none"/>
                      <w:u w:val="none" w:color="auto"/>
                      <w:vertAlign w:val="baseline"/>
                      <w:lang w:val="en-US" w:eastAsia="zh-CN"/>
                    </w:rPr>
                    <w:drawing>
                      <wp:inline distT="0" distB="0" distL="114300" distR="114300">
                        <wp:extent cx="5076825" cy="1767205"/>
                        <wp:effectExtent l="0" t="0" r="0" b="0"/>
                        <wp:docPr id="81" name="图片 81" descr="d9b31f3426d55fd648340b072c26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9b31f3426d55fd648340b072c26b42"/>
                                <pic:cNvPicPr>
                                  <a:picLocks noChangeAspect="1"/>
                                </pic:cNvPicPr>
                              </pic:nvPicPr>
                              <pic:blipFill>
                                <a:blip r:embed="rId16"/>
                                <a:srcRect t="15983" r="-1460" b="7854"/>
                                <a:stretch>
                                  <a:fillRect/>
                                </a:stretch>
                              </pic:blipFill>
                              <pic:spPr>
                                <a:xfrm>
                                  <a:off x="0" y="0"/>
                                  <a:ext cx="5076825" cy="1767205"/>
                                </a:xfrm>
                                <a:prstGeom prst="rect">
                                  <a:avLst/>
                                </a:prstGeom>
                              </pic:spPr>
                            </pic:pic>
                          </a:graphicData>
                        </a:graphic>
                      </wp:inline>
                    </w:drawing>
                  </w:r>
                </w:p>
              </w:tc>
            </w:tr>
            <w:tr w14:paraId="58FE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4" w:type="dxa"/>
                </w:tcPr>
                <w:p w14:paraId="5F0891CA">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textAlignment w:val="auto"/>
                    <w:rPr>
                      <w:rFonts w:hint="default" w:ascii="Times New Roman" w:hAnsi="Times New Roman" w:eastAsia="宋体" w:cs="Times New Roman"/>
                      <w:color w:val="auto"/>
                      <w:sz w:val="24"/>
                      <w:szCs w:val="32"/>
                      <w:highlight w:val="none"/>
                      <w:u w:val="none" w:color="auto"/>
                      <w:vertAlign w:val="baseline"/>
                      <w:lang w:val="en-US" w:eastAsia="zh-CN"/>
                    </w:rPr>
                  </w:pP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73600" behindDoc="0" locked="0" layoutInCell="1" allowOverlap="1">
                            <wp:simplePos x="0" y="0"/>
                            <wp:positionH relativeFrom="column">
                              <wp:posOffset>833120</wp:posOffset>
                            </wp:positionH>
                            <wp:positionV relativeFrom="paragraph">
                              <wp:posOffset>3401060</wp:posOffset>
                            </wp:positionV>
                            <wp:extent cx="476250" cy="219075"/>
                            <wp:effectExtent l="0" t="0" r="0" b="9525"/>
                            <wp:wrapNone/>
                            <wp:docPr id="84" name="矩形 84"/>
                            <wp:cNvGraphicFramePr/>
                            <a:graphic xmlns:a="http://schemas.openxmlformats.org/drawingml/2006/main">
                              <a:graphicData uri="http://schemas.microsoft.com/office/word/2010/wordprocessingShape">
                                <wps:wsp>
                                  <wps:cNvSpPr/>
                                  <wps:spPr>
                                    <a:xfrm>
                                      <a:off x="0" y="0"/>
                                      <a:ext cx="476250" cy="2190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6pt;margin-top:267.8pt;height:17.25pt;width:37.5pt;z-index:251673600;v-text-anchor:middle;mso-width-relative:page;mso-height-relative:page;" fillcolor="#FFFFFF [3212]" filled="t" stroked="f" coordsize="21600,21600" o:gfxdata="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KcqjHV&#10;AAAACwEAAA8AAAAAAAAAAQAgAAAAIgAAAGRycy9kb3ducmV2LnhtbFBLAQIUABQAAAAIAIdO4kDU&#10;NHOJXAIAALUEAAAOAAAAAAAAAAEAIAAAACQBAABkcnMvZTJvRG9jLnhtbFBLBQYAAAAABgAGAFkB&#10;AADyBQAAAAA=&#10;">
                            <v:fill on="t" focussize="0,0"/>
                            <v:stroke on="f" weight="2pt"/>
                            <v:imagedata o:title=""/>
                            <o:lock v:ext="edit" aspectratio="f"/>
                          </v:rect>
                        </w:pict>
                      </mc:Fallback>
                    </mc:AlternateContent>
                  </w: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72576" behindDoc="0" locked="0" layoutInCell="1" allowOverlap="1">
                            <wp:simplePos x="0" y="0"/>
                            <wp:positionH relativeFrom="column">
                              <wp:posOffset>1137920</wp:posOffset>
                            </wp:positionH>
                            <wp:positionV relativeFrom="paragraph">
                              <wp:posOffset>1524635</wp:posOffset>
                            </wp:positionV>
                            <wp:extent cx="476250" cy="219075"/>
                            <wp:effectExtent l="0" t="0" r="0" b="9525"/>
                            <wp:wrapNone/>
                            <wp:docPr id="83" name="矩形 83"/>
                            <wp:cNvGraphicFramePr/>
                            <a:graphic xmlns:a="http://schemas.openxmlformats.org/drawingml/2006/main">
                              <a:graphicData uri="http://schemas.microsoft.com/office/word/2010/wordprocessingShape">
                                <wps:wsp>
                                  <wps:cNvSpPr/>
                                  <wps:spPr>
                                    <a:xfrm>
                                      <a:off x="2651760" y="2623820"/>
                                      <a:ext cx="476250" cy="2190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6pt;margin-top:120.05pt;height:17.25pt;width:37.5pt;z-index:251672576;v-text-anchor:middle;mso-width-relative:page;mso-height-relative:page;" fillcolor="#FFFFFF [3212]" filled="t" stroked="f" coordsize="21600,21600" o:gfxdata="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VVWHrWAAAACwEAAA8AAAAAAAAAAQAgAAAAIgAAAGRycy9kb3ducmV2LnhtbFBLAQIU&#10;ABQAAAAIAIdO4kBB0XY4ZwIAAMEEAAAOAAAAAAAAAAEAIAAAACUBAABkcnMvZTJvRG9jLnhtbFBL&#10;BQYAAAAABgAGAFkBAAD+BQAAAAA=&#10;">
                            <v:fill on="t" focussize="0,0"/>
                            <v:stroke on="f" weight="2pt"/>
                            <v:imagedata o:title=""/>
                            <o:lock v:ext="edit" aspectratio="f"/>
                          </v:rect>
                        </w:pict>
                      </mc:Fallback>
                    </mc:AlternateContent>
                  </w:r>
                  <w:r>
                    <w:rPr>
                      <w:rFonts w:hint="default" w:ascii="Times New Roman" w:hAnsi="Times New Roman" w:eastAsia="宋体" w:cs="Times New Roman"/>
                      <w:color w:val="auto"/>
                      <w:sz w:val="24"/>
                      <w:szCs w:val="32"/>
                      <w:highlight w:val="none"/>
                      <w:u w:val="none" w:color="auto"/>
                      <w:vertAlign w:val="baseline"/>
                      <w:lang w:val="en-US" w:eastAsia="zh-CN"/>
                    </w:rPr>
                    <w:drawing>
                      <wp:inline distT="0" distB="0" distL="114300" distR="114300">
                        <wp:extent cx="5002530" cy="3759835"/>
                        <wp:effectExtent l="0" t="0" r="7620" b="12065"/>
                        <wp:docPr id="82" name="图片 82" descr="ad8a063dd8d3157945c4dae1335c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ad8a063dd8d3157945c4dae1335c961"/>
                                <pic:cNvPicPr>
                                  <a:picLocks noChangeAspect="1"/>
                                </pic:cNvPicPr>
                              </pic:nvPicPr>
                              <pic:blipFill>
                                <a:blip r:embed="rId17"/>
                                <a:stretch>
                                  <a:fillRect/>
                                </a:stretch>
                              </pic:blipFill>
                              <pic:spPr>
                                <a:xfrm>
                                  <a:off x="0" y="0"/>
                                  <a:ext cx="5002530" cy="3759835"/>
                                </a:xfrm>
                                <a:prstGeom prst="rect">
                                  <a:avLst/>
                                </a:prstGeom>
                              </pic:spPr>
                            </pic:pic>
                          </a:graphicData>
                        </a:graphic>
                      </wp:inline>
                    </w:drawing>
                  </w:r>
                </w:p>
              </w:tc>
            </w:tr>
            <w:tr w14:paraId="5F31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4" w:type="dxa"/>
                </w:tcPr>
                <w:p w14:paraId="1A191357">
                  <w:pPr>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360" w:lineRule="auto"/>
                    <w:ind w:left="0" w:right="0" w:rightChars="0"/>
                    <w:textAlignment w:val="auto"/>
                    <w:rPr>
                      <w:rFonts w:hint="default" w:ascii="Times New Roman" w:hAnsi="Times New Roman" w:eastAsia="宋体" w:cs="Times New Roman"/>
                      <w:color w:val="auto"/>
                      <w:sz w:val="24"/>
                      <w:szCs w:val="32"/>
                      <w:highlight w:val="none"/>
                      <w:u w:val="none" w:color="auto"/>
                      <w:vertAlign w:val="baseline"/>
                      <w:lang w:val="en-US" w:eastAsia="zh-CN"/>
                    </w:rPr>
                  </w:pPr>
                  <w:r>
                    <w:rPr>
                      <w:rFonts w:hint="default" w:ascii="Times New Roman" w:hAnsi="Times New Roman" w:eastAsia="宋体" w:cs="Times New Roman"/>
                      <w:color w:val="auto"/>
                      <w:sz w:val="24"/>
                      <w:u w:val="none" w:color="auto"/>
                    </w:rPr>
                    <mc:AlternateContent>
                      <mc:Choice Requires="wps">
                        <w:drawing>
                          <wp:anchor distT="0" distB="0" distL="114300" distR="114300" simplePos="0" relativeHeight="251674624" behindDoc="0" locked="0" layoutInCell="1" allowOverlap="1">
                            <wp:simplePos x="0" y="0"/>
                            <wp:positionH relativeFrom="column">
                              <wp:posOffset>194945</wp:posOffset>
                            </wp:positionH>
                            <wp:positionV relativeFrom="paragraph">
                              <wp:posOffset>1920875</wp:posOffset>
                            </wp:positionV>
                            <wp:extent cx="638175" cy="266700"/>
                            <wp:effectExtent l="0" t="0" r="9525" b="0"/>
                            <wp:wrapNone/>
                            <wp:docPr id="86" name="矩形 86"/>
                            <wp:cNvGraphicFramePr/>
                            <a:graphic xmlns:a="http://schemas.openxmlformats.org/drawingml/2006/main">
                              <a:graphicData uri="http://schemas.microsoft.com/office/word/2010/wordprocessingShape">
                                <wps:wsp>
                                  <wps:cNvSpPr/>
                                  <wps:spPr>
                                    <a:xfrm>
                                      <a:off x="1708785" y="6885305"/>
                                      <a:ext cx="638175" cy="2667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5pt;margin-top:151.25pt;height:21pt;width:50.25pt;z-index:251674624;v-text-anchor:middle;mso-width-relative:page;mso-height-relative:page;" fillcolor="#FFFFFF [3212]" filled="t" stroked="f" coordsize="21600,21600" o:gfxdata="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FoZp9UAAAAKAQAADwAAAAAAAAABACAAAAAiAAAAZHJzL2Rvd25yZXYueG1sUEsB&#10;AhQAFAAAAAgAh07iQBZdOEFqAgAAwQQAAA4AAAAAAAAAAQAgAAAAJAEAAGRycy9lMm9Eb2MueG1s&#10;UEsFBgAAAAAGAAYAWQEAAAAGAAAAAA==&#10;">
                            <v:fill on="t" focussize="0,0"/>
                            <v:stroke on="f" weight="2pt"/>
                            <v:imagedata o:title=""/>
                            <o:lock v:ext="edit" aspectratio="f"/>
                          </v:rect>
                        </w:pict>
                      </mc:Fallback>
                    </mc:AlternateContent>
                  </w:r>
                  <w:r>
                    <w:rPr>
                      <w:rFonts w:hint="default" w:ascii="Times New Roman" w:hAnsi="Times New Roman" w:eastAsia="宋体" w:cs="Times New Roman"/>
                      <w:color w:val="auto"/>
                      <w:sz w:val="24"/>
                      <w:szCs w:val="32"/>
                      <w:highlight w:val="none"/>
                      <w:u w:val="none" w:color="auto"/>
                      <w:vertAlign w:val="baseline"/>
                      <w:lang w:val="en-US" w:eastAsia="zh-CN"/>
                    </w:rPr>
                    <w:drawing>
                      <wp:inline distT="0" distB="0" distL="114300" distR="114300">
                        <wp:extent cx="5045075" cy="2167890"/>
                        <wp:effectExtent l="0" t="0" r="3175" b="3810"/>
                        <wp:docPr id="85" name="图片 85" descr="bae94ec133599b16c650c13c2fe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bae94ec133599b16c650c13c2fe2197"/>
                                <pic:cNvPicPr>
                                  <a:picLocks noChangeAspect="1"/>
                                </pic:cNvPicPr>
                              </pic:nvPicPr>
                              <pic:blipFill>
                                <a:blip r:embed="rId18"/>
                                <a:srcRect l="4844" t="8832" r="4996" b="4131"/>
                                <a:stretch>
                                  <a:fillRect/>
                                </a:stretch>
                              </pic:blipFill>
                              <pic:spPr>
                                <a:xfrm>
                                  <a:off x="0" y="0"/>
                                  <a:ext cx="5045075" cy="2167890"/>
                                </a:xfrm>
                                <a:prstGeom prst="rect">
                                  <a:avLst/>
                                </a:prstGeom>
                              </pic:spPr>
                            </pic:pic>
                          </a:graphicData>
                        </a:graphic>
                      </wp:inline>
                    </w:drawing>
                  </w:r>
                </w:p>
              </w:tc>
            </w:tr>
          </w:tbl>
          <w:p w14:paraId="07BD1ED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2" w:firstLineChars="200"/>
              <w:jc w:val="center"/>
              <w:textAlignment w:val="auto"/>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图2-1部分混堆货物图</w:t>
            </w:r>
          </w:p>
          <w:p w14:paraId="266E99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left"/>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6、混堆</w:t>
            </w:r>
            <w:r>
              <w:rPr>
                <w:rFonts w:hint="eastAsia" w:cs="Times New Roman"/>
                <w:b/>
                <w:bCs/>
                <w:color w:val="auto"/>
                <w:sz w:val="24"/>
                <w:szCs w:val="24"/>
                <w:highlight w:val="none"/>
                <w:u w:val="none" w:color="auto"/>
                <w:lang w:val="en-US" w:eastAsia="zh-CN"/>
              </w:rPr>
              <w:t>要求</w:t>
            </w:r>
          </w:p>
          <w:p w14:paraId="215E6D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根据《港口作业安全要求 第3部分</w:t>
            </w:r>
            <w:r>
              <w:rPr>
                <w:rFonts w:hint="eastAsia" w:cs="Times New Roman"/>
                <w:b w:val="0"/>
                <w:bCs w:val="0"/>
                <w:color w:val="auto"/>
                <w:sz w:val="24"/>
                <w:szCs w:val="24"/>
                <w:highlight w:val="none"/>
                <w:u w:val="none" w:color="auto"/>
                <w:lang w:val="en-US" w:eastAsia="zh-CN"/>
              </w:rPr>
              <w:t>：</w:t>
            </w:r>
            <w:r>
              <w:rPr>
                <w:rFonts w:hint="eastAsia" w:ascii="Times New Roman" w:hAnsi="Times New Roman" w:eastAsia="宋体" w:cs="Times New Roman"/>
                <w:b w:val="0"/>
                <w:bCs w:val="0"/>
                <w:color w:val="auto"/>
                <w:sz w:val="24"/>
                <w:szCs w:val="24"/>
                <w:highlight w:val="none"/>
                <w:u w:val="none" w:color="auto"/>
                <w:lang w:val="en-US" w:eastAsia="zh-CN"/>
              </w:rPr>
              <w:t>危险货物集装箱》（GB 16994.3-2021）对于装载GB6944-2012中8类、9类固态危险货物的集装箱，当所载货物无副危险性，包装类非Ⅰ、Ⅱ类且不属于危险化学品时，可与普通货物集装箱混堆。混堆时应满足下列要求：</w:t>
            </w:r>
          </w:p>
          <w:p w14:paraId="090A925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（1）堆存场所设置明显的标志标识，列明货物品名和应急处置措施；</w:t>
            </w:r>
          </w:p>
          <w:p w14:paraId="5E93ED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（2）堆存场所配备相应的设施设备，并加强安全巡查；</w:t>
            </w:r>
          </w:p>
          <w:p w14:paraId="77FC3AB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（3）在具有从业资格的装卸管理人员指挥或监控下作业；</w:t>
            </w:r>
          </w:p>
          <w:p w14:paraId="21B6619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（4）堆存在普通货物集装箱的外侧；</w:t>
            </w:r>
          </w:p>
          <w:p w14:paraId="77C05AA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（5）叠放时，放置在普通货物集装箱的上层。</w:t>
            </w:r>
          </w:p>
          <w:p w14:paraId="0C9369B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项目3G、3F、4G、4F</w:t>
            </w:r>
            <w:r>
              <w:rPr>
                <w:rFonts w:hint="eastAsia" w:cs="Times New Roman"/>
                <w:b w:val="0"/>
                <w:bCs w:val="0"/>
                <w:color w:val="auto"/>
                <w:sz w:val="24"/>
                <w:szCs w:val="24"/>
                <w:highlight w:val="none"/>
                <w:u w:val="none" w:color="auto"/>
                <w:lang w:val="en-US" w:eastAsia="zh-CN"/>
              </w:rPr>
              <w:t>堆场已根据要求</w:t>
            </w:r>
            <w:r>
              <w:rPr>
                <w:rFonts w:hint="eastAsia" w:ascii="Times New Roman" w:hAnsi="Times New Roman" w:eastAsia="宋体" w:cs="Times New Roman"/>
                <w:b w:val="0"/>
                <w:bCs w:val="0"/>
                <w:color w:val="auto"/>
                <w:sz w:val="24"/>
                <w:szCs w:val="24"/>
                <w:highlight w:val="none"/>
                <w:u w:val="none" w:color="auto"/>
                <w:lang w:val="en-US" w:eastAsia="zh-CN"/>
              </w:rPr>
              <w:t>堆场</w:t>
            </w:r>
            <w:r>
              <w:rPr>
                <w:rFonts w:hint="eastAsia" w:cs="Times New Roman"/>
                <w:b w:val="0"/>
                <w:bCs w:val="0"/>
                <w:color w:val="auto"/>
                <w:sz w:val="24"/>
                <w:szCs w:val="24"/>
                <w:highlight w:val="none"/>
                <w:u w:val="none" w:color="auto"/>
                <w:lang w:val="en-US" w:eastAsia="zh-CN"/>
              </w:rPr>
              <w:t>将根据要求</w:t>
            </w:r>
            <w:r>
              <w:rPr>
                <w:rFonts w:hint="eastAsia" w:ascii="Times New Roman" w:hAnsi="Times New Roman" w:eastAsia="宋体" w:cs="Times New Roman"/>
                <w:b w:val="0"/>
                <w:bCs w:val="0"/>
                <w:color w:val="auto"/>
                <w:sz w:val="24"/>
                <w:szCs w:val="24"/>
                <w:highlight w:val="none"/>
                <w:u w:val="none" w:color="auto"/>
                <w:lang w:val="en-US" w:eastAsia="zh-CN"/>
              </w:rPr>
              <w:t>设置明显的标志标识</w:t>
            </w:r>
            <w:r>
              <w:rPr>
                <w:rFonts w:hint="eastAsia" w:cs="Times New Roman"/>
                <w:b w:val="0"/>
                <w:bCs w:val="0"/>
                <w:color w:val="auto"/>
                <w:sz w:val="24"/>
                <w:szCs w:val="24"/>
                <w:highlight w:val="none"/>
                <w:u w:val="none" w:color="auto"/>
                <w:lang w:val="en-US" w:eastAsia="zh-CN"/>
              </w:rPr>
              <w:t>，列明货物品名和应急处置措施</w:t>
            </w:r>
            <w:r>
              <w:rPr>
                <w:rFonts w:hint="eastAsia" w:ascii="Times New Roman" w:hAnsi="Times New Roman" w:eastAsia="宋体" w:cs="Times New Roman"/>
                <w:b w:val="0"/>
                <w:bCs w:val="0"/>
                <w:color w:val="auto"/>
                <w:sz w:val="24"/>
                <w:szCs w:val="24"/>
                <w:highlight w:val="none"/>
                <w:u w:val="none" w:color="auto"/>
                <w:lang w:val="en-US" w:eastAsia="zh-CN"/>
              </w:rPr>
              <w:t>，同时配备有消防栓和灭火器等相应设施，并安排有专业资格的人员进行管理和指挥，危险货物堆存在外侧和普通货物集装箱的上层</w:t>
            </w:r>
            <w:r>
              <w:rPr>
                <w:rFonts w:hint="eastAsia" w:cs="Times New Roman"/>
                <w:b w:val="0"/>
                <w:bCs w:val="0"/>
                <w:color w:val="auto"/>
                <w:sz w:val="24"/>
                <w:szCs w:val="24"/>
                <w:highlight w:val="none"/>
                <w:u w:val="none" w:color="auto"/>
                <w:lang w:val="en-US" w:eastAsia="zh-CN"/>
              </w:rPr>
              <w:t>，已改建完成，5G、5F堆场也将按相关要求进行改建完成后再混堆</w:t>
            </w:r>
            <w:r>
              <w:rPr>
                <w:rFonts w:hint="eastAsia" w:ascii="Times New Roman" w:hAnsi="Times New Roman" w:eastAsia="宋体" w:cs="Times New Roman"/>
                <w:b w:val="0"/>
                <w:bCs w:val="0"/>
                <w:color w:val="auto"/>
                <w:sz w:val="24"/>
                <w:szCs w:val="24"/>
                <w:highlight w:val="none"/>
                <w:u w:val="none" w:color="auto"/>
                <w:lang w:val="en-US" w:eastAsia="zh-CN"/>
              </w:rPr>
              <w:t>。</w:t>
            </w:r>
          </w:p>
          <w:tbl>
            <w:tblPr>
              <w:tblStyle w:val="47"/>
              <w:tblW w:w="8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4052"/>
            </w:tblGrid>
            <w:tr w14:paraId="64BE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2" w:type="dxa"/>
                </w:tcPr>
                <w:p w14:paraId="4FC1F42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Times New Roman" w:hAnsi="Times New Roman" w:eastAsia="宋体" w:cs="Times New Roman"/>
                      <w:color w:val="auto"/>
                      <w:u w:val="none" w:color="auto"/>
                      <w:vertAlign w:val="baseline"/>
                      <w:lang w:val="en-US" w:eastAsia="zh-CN"/>
                    </w:rPr>
                  </w:pPr>
                  <w:r>
                    <w:rPr>
                      <w:rFonts w:hint="default" w:ascii="Times New Roman" w:hAnsi="Times New Roman" w:eastAsia="宋体" w:cs="Times New Roman"/>
                      <w:color w:val="auto"/>
                      <w:u w:val="none" w:color="auto"/>
                      <w:vertAlign w:val="baseline"/>
                      <w:lang w:val="en-US" w:eastAsia="zh-CN"/>
                    </w:rPr>
                    <w:drawing>
                      <wp:inline distT="0" distB="0" distL="114300" distR="114300">
                        <wp:extent cx="2409825" cy="15608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t="14504" r="940"/>
                                <a:stretch>
                                  <a:fillRect/>
                                </a:stretch>
                              </pic:blipFill>
                              <pic:spPr>
                                <a:xfrm>
                                  <a:off x="0" y="0"/>
                                  <a:ext cx="2409825" cy="1560830"/>
                                </a:xfrm>
                                <a:prstGeom prst="rect">
                                  <a:avLst/>
                                </a:prstGeom>
                                <a:noFill/>
                                <a:ln>
                                  <a:noFill/>
                                </a:ln>
                              </pic:spPr>
                            </pic:pic>
                          </a:graphicData>
                        </a:graphic>
                      </wp:inline>
                    </w:drawing>
                  </w:r>
                </w:p>
              </w:tc>
              <w:tc>
                <w:tcPr>
                  <w:tcW w:w="4052" w:type="dxa"/>
                </w:tcPr>
                <w:p w14:paraId="572F56D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Times New Roman" w:hAnsi="Times New Roman" w:eastAsia="宋体" w:cs="Times New Roman"/>
                      <w:color w:val="auto"/>
                      <w:u w:val="none" w:color="auto"/>
                      <w:vertAlign w:val="baseline"/>
                      <w:lang w:val="en-US" w:eastAsia="zh-CN"/>
                    </w:rPr>
                  </w:pPr>
                  <w:r>
                    <w:rPr>
                      <w:rFonts w:hint="default" w:ascii="Times New Roman" w:hAnsi="Times New Roman" w:eastAsia="宋体" w:cs="Times New Roman"/>
                      <w:color w:val="auto"/>
                      <w:u w:val="none" w:color="auto"/>
                      <w:vertAlign w:val="baseline"/>
                      <w:lang w:val="en-US" w:eastAsia="zh-CN"/>
                    </w:rPr>
                    <w:drawing>
                      <wp:inline distT="0" distB="0" distL="114300" distR="114300">
                        <wp:extent cx="2387600" cy="1541145"/>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rcRect t="15170" r="1853"/>
                                <a:stretch>
                                  <a:fillRect/>
                                </a:stretch>
                              </pic:blipFill>
                              <pic:spPr>
                                <a:xfrm>
                                  <a:off x="0" y="0"/>
                                  <a:ext cx="2387600" cy="1541145"/>
                                </a:xfrm>
                                <a:prstGeom prst="rect">
                                  <a:avLst/>
                                </a:prstGeom>
                                <a:noFill/>
                                <a:ln>
                                  <a:noFill/>
                                </a:ln>
                              </pic:spPr>
                            </pic:pic>
                          </a:graphicData>
                        </a:graphic>
                      </wp:inline>
                    </w:drawing>
                  </w:r>
                </w:p>
              </w:tc>
            </w:tr>
            <w:tr w14:paraId="75C1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2" w:type="dxa"/>
                </w:tcPr>
                <w:p w14:paraId="24FB03C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Times New Roman" w:hAnsi="Times New Roman" w:eastAsia="宋体" w:cs="Times New Roman"/>
                      <w:color w:val="auto"/>
                      <w:u w:val="none" w:color="auto"/>
                      <w:vertAlign w:val="baseline"/>
                      <w:lang w:val="en-US" w:eastAsia="zh-CN"/>
                    </w:rPr>
                  </w:pPr>
                  <w:r>
                    <w:rPr>
                      <w:rFonts w:hint="default" w:ascii="Times New Roman" w:hAnsi="Times New Roman" w:eastAsia="宋体" w:cs="Times New Roman"/>
                      <w:color w:val="auto"/>
                      <w:u w:val="none" w:color="auto"/>
                      <w:vertAlign w:val="baseline"/>
                      <w:lang w:val="en-US" w:eastAsia="zh-CN"/>
                    </w:rPr>
                    <w:drawing>
                      <wp:inline distT="0" distB="0" distL="114300" distR="114300">
                        <wp:extent cx="2435860" cy="1833245"/>
                        <wp:effectExtent l="0" t="0" r="2540" b="146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2435860" cy="1833245"/>
                                </a:xfrm>
                                <a:prstGeom prst="rect">
                                  <a:avLst/>
                                </a:prstGeom>
                                <a:noFill/>
                                <a:ln>
                                  <a:noFill/>
                                </a:ln>
                              </pic:spPr>
                            </pic:pic>
                          </a:graphicData>
                        </a:graphic>
                      </wp:inline>
                    </w:drawing>
                  </w:r>
                </w:p>
              </w:tc>
              <w:tc>
                <w:tcPr>
                  <w:tcW w:w="4052" w:type="dxa"/>
                </w:tcPr>
                <w:p w14:paraId="3ADC321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left"/>
                    <w:textAlignment w:val="auto"/>
                    <w:rPr>
                      <w:rFonts w:hint="default" w:ascii="Times New Roman" w:hAnsi="Times New Roman" w:eastAsia="宋体" w:cs="Times New Roman"/>
                      <w:color w:val="auto"/>
                      <w:u w:val="none" w:color="auto"/>
                      <w:vertAlign w:val="baseline"/>
                      <w:lang w:val="en-US" w:eastAsia="zh-CN"/>
                    </w:rPr>
                  </w:pPr>
                  <w:r>
                    <w:rPr>
                      <w:rFonts w:hint="default" w:ascii="Times New Roman" w:hAnsi="Times New Roman" w:eastAsia="宋体" w:cs="Times New Roman"/>
                      <w:color w:val="auto"/>
                      <w:u w:val="none" w:color="auto"/>
                      <w:vertAlign w:val="baseline"/>
                      <w:lang w:val="en-US" w:eastAsia="zh-CN"/>
                    </w:rPr>
                    <w:drawing>
                      <wp:inline distT="0" distB="0" distL="114300" distR="114300">
                        <wp:extent cx="2431415" cy="1808480"/>
                        <wp:effectExtent l="0" t="0" r="6985"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2431415" cy="1808480"/>
                                </a:xfrm>
                                <a:prstGeom prst="rect">
                                  <a:avLst/>
                                </a:prstGeom>
                                <a:noFill/>
                                <a:ln>
                                  <a:noFill/>
                                </a:ln>
                              </pic:spPr>
                            </pic:pic>
                          </a:graphicData>
                        </a:graphic>
                      </wp:inline>
                    </w:drawing>
                  </w:r>
                </w:p>
              </w:tc>
            </w:tr>
          </w:tbl>
          <w:p w14:paraId="0FE8BF1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22" w:firstLineChars="200"/>
              <w:jc w:val="center"/>
              <w:textAlignment w:val="auto"/>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图2-2标识及应急设施</w:t>
            </w:r>
            <w:r>
              <w:rPr>
                <w:rFonts w:hint="eastAsia" w:cs="Times New Roman"/>
                <w:b/>
                <w:bCs/>
                <w:color w:val="auto"/>
                <w:kern w:val="2"/>
                <w:sz w:val="21"/>
                <w:szCs w:val="21"/>
                <w:u w:val="none" w:color="auto"/>
                <w:lang w:val="en-US" w:eastAsia="zh-CN" w:bidi="ar-SA"/>
              </w:rPr>
              <w:t>图示</w:t>
            </w:r>
          </w:p>
          <w:p w14:paraId="6F0D5EB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2" w:firstLineChars="200"/>
              <w:jc w:val="left"/>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kern w:val="2"/>
                <w:sz w:val="24"/>
                <w:szCs w:val="24"/>
                <w:u w:val="none" w:color="auto"/>
                <w:lang w:val="en-US" w:eastAsia="zh-CN" w:bidi="ar-SA"/>
              </w:rPr>
              <w:t>7</w:t>
            </w:r>
            <w:r>
              <w:rPr>
                <w:rFonts w:hint="default" w:ascii="Times New Roman" w:hAnsi="Times New Roman" w:eastAsia="宋体"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sz w:val="24"/>
                <w:szCs w:val="24"/>
                <w:highlight w:val="none"/>
                <w:u w:val="none" w:color="auto"/>
                <w:lang w:val="en-US" w:eastAsia="zh-CN"/>
              </w:rPr>
              <w:t>劳动定员及工作制度</w:t>
            </w:r>
          </w:p>
          <w:p w14:paraId="62E0142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项目年工作</w:t>
            </w:r>
            <w:r>
              <w:rPr>
                <w:rFonts w:hint="eastAsia" w:ascii="Times New Roman" w:hAnsi="Times New Roman" w:eastAsia="宋体" w:cs="Times New Roman"/>
                <w:b w:val="0"/>
                <w:bCs w:val="0"/>
                <w:color w:val="auto"/>
                <w:sz w:val="24"/>
                <w:szCs w:val="24"/>
                <w:highlight w:val="none"/>
                <w:u w:val="none" w:color="auto"/>
                <w:lang w:val="en-US" w:eastAsia="zh-CN"/>
              </w:rPr>
              <w:t>365</w:t>
            </w:r>
            <w:r>
              <w:rPr>
                <w:rFonts w:hint="default" w:ascii="Times New Roman" w:hAnsi="Times New Roman" w:eastAsia="宋体" w:cs="Times New Roman"/>
                <w:b w:val="0"/>
                <w:bCs w:val="0"/>
                <w:color w:val="auto"/>
                <w:sz w:val="24"/>
                <w:szCs w:val="24"/>
                <w:highlight w:val="none"/>
                <w:u w:val="none" w:color="auto"/>
                <w:lang w:val="en-US" w:eastAsia="zh-CN"/>
              </w:rPr>
              <w:t>天，每天作业24小时，项目</w:t>
            </w:r>
            <w:r>
              <w:rPr>
                <w:rFonts w:hint="eastAsia" w:ascii="Times New Roman" w:hAnsi="Times New Roman" w:eastAsia="宋体" w:cs="Times New Roman"/>
                <w:b w:val="0"/>
                <w:bCs w:val="0"/>
                <w:color w:val="auto"/>
                <w:sz w:val="24"/>
                <w:szCs w:val="24"/>
                <w:highlight w:val="none"/>
                <w:u w:val="none" w:color="auto"/>
                <w:lang w:val="en-US" w:eastAsia="zh-CN"/>
              </w:rPr>
              <w:t>依托现有工作人员，不</w:t>
            </w:r>
            <w:r>
              <w:rPr>
                <w:rFonts w:hint="default" w:ascii="Times New Roman" w:hAnsi="Times New Roman" w:eastAsia="宋体" w:cs="Times New Roman"/>
                <w:b w:val="0"/>
                <w:bCs w:val="0"/>
                <w:color w:val="auto"/>
                <w:sz w:val="24"/>
                <w:szCs w:val="24"/>
                <w:highlight w:val="none"/>
                <w:u w:val="none" w:color="auto"/>
                <w:lang w:val="en-US" w:eastAsia="zh-CN"/>
              </w:rPr>
              <w:t>新增工作人员。</w:t>
            </w:r>
          </w:p>
          <w:p w14:paraId="24CBF9A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kern w:val="2"/>
                <w:sz w:val="24"/>
                <w:szCs w:val="24"/>
                <w:u w:val="none" w:color="auto"/>
                <w:lang w:val="en-US" w:eastAsia="zh-CN" w:bidi="ar-SA"/>
              </w:rPr>
              <w:t>8</w:t>
            </w:r>
            <w:r>
              <w:rPr>
                <w:rFonts w:hint="default" w:ascii="Times New Roman" w:hAnsi="Times New Roman" w:eastAsia="宋体"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sz w:val="24"/>
                <w:szCs w:val="24"/>
                <w:highlight w:val="none"/>
                <w:u w:val="none" w:color="auto"/>
                <w:lang w:val="en-US" w:eastAsia="zh-CN"/>
              </w:rPr>
              <w:t>公用工程</w:t>
            </w:r>
          </w:p>
          <w:p w14:paraId="4486631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（1）给水</w:t>
            </w:r>
          </w:p>
          <w:p w14:paraId="7BF7F860">
            <w:pPr>
              <w:pStyle w:val="24"/>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项目用水主要是职工生活用水。项目用水由</w:t>
            </w:r>
            <w:r>
              <w:rPr>
                <w:rFonts w:hint="default" w:ascii="Times New Roman" w:hAnsi="Times New Roman" w:eastAsia="宋体" w:cs="Times New Roman"/>
                <w:color w:val="auto"/>
                <w:sz w:val="24"/>
                <w:highlight w:val="none"/>
                <w:u w:val="none" w:color="auto"/>
              </w:rPr>
              <w:t>市政供水管网</w:t>
            </w:r>
            <w:r>
              <w:rPr>
                <w:rFonts w:hint="default" w:ascii="Times New Roman" w:hAnsi="Times New Roman" w:eastAsia="宋体" w:cs="Times New Roman"/>
                <w:bCs/>
                <w:color w:val="auto"/>
                <w:sz w:val="24"/>
                <w:highlight w:val="none"/>
                <w:u w:val="none" w:color="auto"/>
              </w:rPr>
              <w:t>提供。</w:t>
            </w:r>
          </w:p>
          <w:p w14:paraId="5266EEA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（2）排水</w:t>
            </w:r>
          </w:p>
          <w:p w14:paraId="60A0DF3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项目无生产废水产生，依托现有工作人员，不新增工作人员</w:t>
            </w:r>
            <w:r>
              <w:rPr>
                <w:rFonts w:hint="eastAsia" w:ascii="Times New Roman" w:hAnsi="Times New Roman" w:eastAsia="宋体" w:cs="Times New Roman"/>
                <w:b w:val="0"/>
                <w:bCs w:val="0"/>
                <w:color w:val="auto"/>
                <w:sz w:val="24"/>
                <w:szCs w:val="24"/>
                <w:highlight w:val="none"/>
                <w:u w:val="none" w:color="auto"/>
                <w:lang w:val="en-US" w:eastAsia="zh-CN"/>
              </w:rPr>
              <w:t>，不新增生活污水。现有的</w:t>
            </w:r>
            <w:r>
              <w:rPr>
                <w:rFonts w:hint="default" w:ascii="Times New Roman" w:hAnsi="Times New Roman" w:eastAsia="宋体" w:cs="Times New Roman"/>
                <w:b w:val="0"/>
                <w:bCs w:val="0"/>
                <w:color w:val="auto"/>
                <w:sz w:val="24"/>
                <w:szCs w:val="24"/>
                <w:highlight w:val="none"/>
                <w:u w:val="none" w:color="auto"/>
                <w:lang w:val="en-US" w:eastAsia="zh-CN"/>
              </w:rPr>
              <w:t>生活废水</w:t>
            </w:r>
            <w:r>
              <w:rPr>
                <w:rFonts w:hint="default" w:ascii="Times New Roman" w:hAnsi="Times New Roman" w:eastAsia="宋体" w:cs="Times New Roman"/>
                <w:color w:val="auto"/>
                <w:sz w:val="24"/>
                <w:szCs w:val="24"/>
                <w:highlight w:val="none"/>
                <w:u w:val="none" w:color="auto"/>
              </w:rPr>
              <w:t>经化粪池预处理后排入市政污水管网，最</w:t>
            </w:r>
            <w:r>
              <w:rPr>
                <w:rFonts w:hint="default" w:ascii="Times New Roman" w:hAnsi="Times New Roman" w:eastAsia="宋体" w:cs="Times New Roman"/>
                <w:color w:val="auto"/>
                <w:spacing w:val="-1"/>
                <w:sz w:val="24"/>
                <w:szCs w:val="24"/>
                <w:highlight w:val="none"/>
                <w:u w:val="none" w:color="auto"/>
              </w:rPr>
              <w:t>终</w:t>
            </w:r>
            <w:r>
              <w:rPr>
                <w:rFonts w:hint="default" w:ascii="Times New Roman" w:hAnsi="Times New Roman" w:eastAsia="宋体" w:cs="Times New Roman"/>
                <w:caps w:val="0"/>
                <w:color w:val="auto"/>
                <w:kern w:val="2"/>
                <w:sz w:val="24"/>
                <w:szCs w:val="24"/>
                <w:highlight w:val="none"/>
                <w:u w:val="none" w:color="auto"/>
                <w:lang w:val="en-US" w:eastAsia="zh-CN"/>
              </w:rPr>
              <w:t>排入大榄坪污水处理厂</w:t>
            </w:r>
            <w:r>
              <w:rPr>
                <w:rFonts w:hint="default" w:ascii="Times New Roman" w:hAnsi="Times New Roman" w:eastAsia="宋体" w:cs="Times New Roman"/>
                <w:b w:val="0"/>
                <w:bCs w:val="0"/>
                <w:color w:val="auto"/>
                <w:sz w:val="24"/>
                <w:szCs w:val="24"/>
                <w:highlight w:val="none"/>
                <w:u w:val="none" w:color="auto"/>
                <w:lang w:val="en-US" w:eastAsia="zh-CN"/>
              </w:rPr>
              <w:t>。</w:t>
            </w:r>
          </w:p>
          <w:p w14:paraId="5C680A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（3）供电</w:t>
            </w:r>
          </w:p>
          <w:p w14:paraId="4F6616F2">
            <w:pPr>
              <w:pStyle w:val="5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2"/>
              <w:jc w:val="left"/>
              <w:textAlignment w:val="auto"/>
              <w:rPr>
                <w:rFonts w:hint="default" w:ascii="Times New Roman" w:hAnsi="Times New Roman" w:eastAsia="宋体" w:cs="Times New Roman"/>
                <w:b w:val="0"/>
                <w:bCs w:val="0"/>
                <w:color w:val="auto"/>
                <w:sz w:val="24"/>
                <w:szCs w:val="24"/>
                <w:highlight w:val="none"/>
                <w:u w:val="none" w:color="auto"/>
                <w:lang w:val="en-US" w:eastAsia="zh-CN"/>
              </w:rPr>
            </w:pPr>
            <w:r>
              <w:rPr>
                <w:rFonts w:hint="default" w:ascii="Times New Roman" w:hAnsi="Times New Roman" w:eastAsia="宋体" w:cs="Times New Roman"/>
                <w:b w:val="0"/>
                <w:bCs w:val="0"/>
                <w:color w:val="auto"/>
                <w:sz w:val="24"/>
                <w:szCs w:val="24"/>
                <w:highlight w:val="none"/>
                <w:u w:val="none" w:color="auto"/>
                <w:lang w:val="en-US" w:eastAsia="zh-CN"/>
              </w:rPr>
              <w:t>项目供电由区域供电系统供应。</w:t>
            </w:r>
          </w:p>
          <w:p w14:paraId="224B5B40">
            <w:pPr>
              <w:pStyle w:val="5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kern w:val="2"/>
                <w:sz w:val="24"/>
                <w:szCs w:val="24"/>
                <w:u w:val="none" w:color="auto"/>
                <w:lang w:val="en-US" w:eastAsia="zh-CN" w:bidi="ar-SA"/>
              </w:rPr>
              <w:t>9</w:t>
            </w:r>
            <w:r>
              <w:rPr>
                <w:rFonts w:hint="default" w:ascii="Times New Roman" w:hAnsi="Times New Roman" w:eastAsia="宋体"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sz w:val="24"/>
                <w:szCs w:val="24"/>
                <w:highlight w:val="none"/>
                <w:u w:val="none" w:color="auto"/>
                <w:lang w:val="en-US" w:eastAsia="zh-CN"/>
              </w:rPr>
              <w:t>项目平面布置</w:t>
            </w:r>
          </w:p>
          <w:p w14:paraId="4812E82B">
            <w:pPr>
              <w:pStyle w:val="58"/>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0" w:right="0"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kern w:val="0"/>
                <w:sz w:val="24"/>
                <w:highlight w:val="none"/>
                <w:u w:val="none" w:color="auto"/>
                <w:lang w:val="en-US" w:eastAsia="zh-CN"/>
              </w:rPr>
              <w:t>本项目</w:t>
            </w:r>
            <w:r>
              <w:rPr>
                <w:rFonts w:hint="eastAsia" w:ascii="Times New Roman" w:hAnsi="Times New Roman" w:eastAsia="宋体" w:cs="Times New Roman"/>
                <w:color w:val="auto"/>
                <w:kern w:val="0"/>
                <w:sz w:val="24"/>
                <w:highlight w:val="none"/>
                <w:u w:val="none" w:color="auto"/>
                <w:lang w:val="en-US" w:eastAsia="zh-CN"/>
              </w:rPr>
              <w:t>位于</w:t>
            </w:r>
            <w:r>
              <w:rPr>
                <w:rFonts w:hint="default" w:ascii="Times New Roman" w:hAnsi="Times New Roman" w:eastAsia="宋体" w:cs="Times New Roman"/>
                <w:color w:val="auto"/>
                <w:kern w:val="0"/>
                <w:sz w:val="24"/>
                <w:highlight w:val="none"/>
                <w:u w:val="none" w:color="auto"/>
                <w:lang w:val="en-US" w:eastAsia="zh-CN"/>
              </w:rPr>
              <w:t>钦州港大榄坪港区大榄坪南作业区</w:t>
            </w:r>
            <w:r>
              <w:rPr>
                <w:rFonts w:hint="eastAsia" w:ascii="Times New Roman" w:hAnsi="Times New Roman" w:eastAsia="宋体" w:cs="Times New Roman"/>
                <w:color w:val="auto"/>
                <w:kern w:val="0"/>
                <w:sz w:val="24"/>
                <w:highlight w:val="none"/>
                <w:u w:val="none" w:color="auto"/>
                <w:lang w:val="en-US" w:eastAsia="zh-CN"/>
              </w:rPr>
              <w:t>3#、4#、5#号泊位后方的堆场内，占地30800平方米，堆场依次为3G、3F、4G、4F、5G、5F。</w:t>
            </w:r>
            <w:r>
              <w:rPr>
                <w:rFonts w:hint="default" w:ascii="Times New Roman" w:hAnsi="Times New Roman" w:eastAsia="宋体" w:cs="Times New Roman"/>
                <w:color w:val="auto"/>
                <w:kern w:val="0"/>
                <w:sz w:val="24"/>
                <w:highlight w:val="none"/>
                <w:u w:val="none" w:color="auto"/>
                <w:lang w:val="en-US" w:eastAsia="zh-CN"/>
              </w:rPr>
              <w:t>平面布置情况见附图</w:t>
            </w:r>
            <w:r>
              <w:rPr>
                <w:rFonts w:hint="eastAsia" w:ascii="Times New Roman" w:hAnsi="Times New Roman" w:eastAsia="宋体" w:cs="Times New Roman"/>
                <w:color w:val="auto"/>
                <w:kern w:val="0"/>
                <w:sz w:val="24"/>
                <w:highlight w:val="none"/>
                <w:u w:val="none" w:color="auto"/>
                <w:lang w:val="en-US" w:eastAsia="zh-CN"/>
              </w:rPr>
              <w:t>2</w:t>
            </w:r>
            <w:r>
              <w:rPr>
                <w:rFonts w:hint="default" w:ascii="Times New Roman" w:hAnsi="Times New Roman" w:eastAsia="宋体" w:cs="Times New Roman"/>
                <w:color w:val="auto"/>
                <w:kern w:val="0"/>
                <w:sz w:val="24"/>
                <w:highlight w:val="none"/>
                <w:u w:val="none" w:color="auto"/>
              </w:rPr>
              <w:t>。</w:t>
            </w:r>
          </w:p>
        </w:tc>
      </w:tr>
      <w:tr w14:paraId="78171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3" w:hRule="atLeast"/>
          <w:jc w:val="center"/>
        </w:trPr>
        <w:tc>
          <w:tcPr>
            <w:tcW w:w="740" w:type="dxa"/>
            <w:noWrap w:val="0"/>
            <w:vAlign w:val="center"/>
          </w:tcPr>
          <w:p w14:paraId="769E5AC9">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工艺流程和产排污环节</w:t>
            </w:r>
          </w:p>
        </w:tc>
        <w:tc>
          <w:tcPr>
            <w:tcW w:w="8320" w:type="dxa"/>
            <w:noWrap w:val="0"/>
            <w:vAlign w:val="top"/>
          </w:tcPr>
          <w:p w14:paraId="597EF5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color w:val="auto"/>
                <w:sz w:val="24"/>
                <w:szCs w:val="24"/>
                <w:highlight w:val="none"/>
                <w:u w:val="none" w:color="auto"/>
                <w:lang w:val="en-US" w:eastAsia="zh-CN"/>
              </w:rPr>
              <w:t>1、</w:t>
            </w:r>
            <w:r>
              <w:rPr>
                <w:rFonts w:hint="default" w:ascii="Times New Roman" w:hAnsi="Times New Roman" w:eastAsia="宋体" w:cs="Times New Roman"/>
                <w:b/>
                <w:color w:val="auto"/>
                <w:sz w:val="24"/>
                <w:szCs w:val="24"/>
                <w:highlight w:val="none"/>
                <w:u w:val="none" w:color="auto"/>
              </w:rPr>
              <w:t>施工期</w:t>
            </w:r>
          </w:p>
          <w:p w14:paraId="267C394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项目为</w:t>
            </w:r>
            <w:r>
              <w:rPr>
                <w:rFonts w:hint="eastAsia" w:ascii="Times New Roman" w:hAnsi="Times New Roman" w:eastAsia="宋体" w:cs="Times New Roman"/>
                <w:color w:val="auto"/>
                <w:sz w:val="24"/>
                <w:szCs w:val="24"/>
                <w:highlight w:val="none"/>
                <w:u w:val="none" w:color="auto"/>
                <w:lang w:val="en-US" w:eastAsia="zh-CN"/>
              </w:rPr>
              <w:t>改</w:t>
            </w:r>
            <w:r>
              <w:rPr>
                <w:rFonts w:hint="default" w:ascii="Times New Roman" w:hAnsi="Times New Roman" w:eastAsia="宋体" w:cs="Times New Roman"/>
                <w:color w:val="auto"/>
                <w:sz w:val="24"/>
                <w:szCs w:val="24"/>
                <w:highlight w:val="none"/>
                <w:u w:val="none" w:color="auto"/>
                <w:lang w:eastAsia="zh-CN"/>
              </w:rPr>
              <w:t>建</w:t>
            </w:r>
            <w:r>
              <w:rPr>
                <w:rFonts w:hint="default" w:ascii="Times New Roman" w:hAnsi="Times New Roman" w:eastAsia="宋体" w:cs="Times New Roman"/>
                <w:color w:val="auto"/>
                <w:sz w:val="24"/>
                <w:szCs w:val="24"/>
                <w:highlight w:val="none"/>
                <w:u w:val="none" w:color="auto"/>
              </w:rPr>
              <w:t>项目，</w:t>
            </w:r>
            <w:r>
              <w:rPr>
                <w:rFonts w:hint="eastAsia" w:ascii="Times New Roman" w:hAnsi="Times New Roman" w:eastAsia="宋体" w:cs="Times New Roman"/>
                <w:color w:val="auto"/>
                <w:sz w:val="24"/>
                <w:szCs w:val="24"/>
                <w:highlight w:val="none"/>
                <w:u w:val="none" w:color="auto"/>
                <w:lang w:val="en-US" w:eastAsia="zh-CN"/>
              </w:rPr>
              <w:t>利用现有的普通货物集装箱堆场改为混堆危险货物集装箱的混堆场，现有堆场已建设完成，项目无新增基建建设内容，无施工期建设内容</w:t>
            </w:r>
            <w:r>
              <w:rPr>
                <w:rFonts w:hint="default" w:ascii="Times New Roman" w:hAnsi="Times New Roman" w:eastAsia="宋体" w:cs="Times New Roman"/>
                <w:color w:val="auto"/>
                <w:sz w:val="24"/>
                <w:szCs w:val="24"/>
                <w:highlight w:val="none"/>
                <w:u w:val="none" w:color="auto"/>
              </w:rPr>
              <w:t>。</w:t>
            </w:r>
          </w:p>
          <w:p w14:paraId="41D316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color w:val="auto"/>
                <w:sz w:val="24"/>
                <w:szCs w:val="24"/>
                <w:highlight w:val="none"/>
                <w:u w:val="none" w:color="auto"/>
                <w:lang w:val="en-US" w:eastAsia="zh-CN"/>
              </w:rPr>
              <w:t>2、</w:t>
            </w:r>
            <w:r>
              <w:rPr>
                <w:rFonts w:hint="default" w:ascii="Times New Roman" w:hAnsi="Times New Roman" w:eastAsia="宋体" w:cs="Times New Roman"/>
                <w:b/>
                <w:color w:val="auto"/>
                <w:sz w:val="24"/>
                <w:szCs w:val="24"/>
                <w:highlight w:val="none"/>
                <w:u w:val="none" w:color="auto"/>
              </w:rPr>
              <w:t>营运期</w:t>
            </w:r>
          </w:p>
          <w:p w14:paraId="32D66933">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496" w:firstLineChars="200"/>
              <w:jc w:val="both"/>
              <w:textAlignment w:val="auto"/>
              <w:rPr>
                <w:rFonts w:hint="eastAsia" w:ascii="Times New Roman" w:hAnsi="Times New Roman" w:eastAsia="宋体" w:cs="Times New Roman"/>
                <w:color w:val="auto"/>
                <w:spacing w:val="4"/>
                <w:sz w:val="24"/>
                <w:szCs w:val="24"/>
                <w:highlight w:val="none"/>
                <w:u w:val="none" w:color="auto"/>
                <w:lang w:val="en-US" w:eastAsia="zh-CN"/>
              </w:rPr>
            </w:pPr>
            <w:r>
              <w:rPr>
                <w:rFonts w:hint="default" w:ascii="Times New Roman" w:hAnsi="Times New Roman" w:eastAsia="宋体" w:cs="Times New Roman"/>
                <w:color w:val="auto"/>
                <w:spacing w:val="4"/>
                <w:sz w:val="24"/>
                <w:szCs w:val="24"/>
                <w:highlight w:val="none"/>
                <w:u w:val="none" w:color="auto"/>
              </w:rPr>
              <w:t>项目为</w:t>
            </w:r>
            <w:r>
              <w:rPr>
                <w:rFonts w:hint="default" w:ascii="Times New Roman" w:hAnsi="Times New Roman" w:eastAsia="宋体" w:cs="Times New Roman"/>
                <w:color w:val="auto"/>
                <w:spacing w:val="4"/>
                <w:sz w:val="24"/>
                <w:szCs w:val="24"/>
                <w:highlight w:val="none"/>
                <w:u w:val="none" w:color="auto"/>
                <w:lang w:val="en-US" w:eastAsia="zh-CN"/>
              </w:rPr>
              <w:t>改</w:t>
            </w:r>
            <w:r>
              <w:rPr>
                <w:rFonts w:hint="default" w:ascii="Times New Roman" w:hAnsi="Times New Roman" w:eastAsia="宋体" w:cs="Times New Roman"/>
                <w:color w:val="auto"/>
                <w:spacing w:val="4"/>
                <w:sz w:val="24"/>
                <w:szCs w:val="24"/>
                <w:highlight w:val="none"/>
                <w:u w:val="none" w:color="auto"/>
                <w:lang w:eastAsia="zh-CN"/>
              </w:rPr>
              <w:t>建</w:t>
            </w:r>
            <w:r>
              <w:rPr>
                <w:rFonts w:hint="default" w:ascii="Times New Roman" w:hAnsi="Times New Roman" w:eastAsia="宋体" w:cs="Times New Roman"/>
                <w:color w:val="auto"/>
                <w:spacing w:val="4"/>
                <w:sz w:val="24"/>
                <w:szCs w:val="24"/>
                <w:highlight w:val="none"/>
                <w:u w:val="none" w:color="auto"/>
              </w:rPr>
              <w:t>项目，</w:t>
            </w:r>
            <w:r>
              <w:rPr>
                <w:rFonts w:hint="default" w:ascii="Times New Roman" w:hAnsi="Times New Roman" w:eastAsia="宋体" w:cs="Times New Roman"/>
                <w:color w:val="auto"/>
                <w:spacing w:val="4"/>
                <w:sz w:val="24"/>
                <w:szCs w:val="24"/>
                <w:highlight w:val="none"/>
                <w:u w:val="none" w:color="auto"/>
                <w:lang w:val="en-US" w:eastAsia="zh-CN"/>
              </w:rPr>
              <w:t>利用现有的普通货物集装箱堆场改为混堆危险货物集装箱的混堆场</w:t>
            </w:r>
            <w:r>
              <w:rPr>
                <w:rFonts w:hint="eastAsia" w:ascii="Times New Roman" w:hAnsi="Times New Roman" w:eastAsia="宋体" w:cs="Times New Roman"/>
                <w:color w:val="auto"/>
                <w:spacing w:val="4"/>
                <w:sz w:val="24"/>
                <w:szCs w:val="24"/>
                <w:highlight w:val="none"/>
                <w:u w:val="none" w:color="auto"/>
                <w:lang w:val="en-US" w:eastAsia="zh-CN"/>
              </w:rPr>
              <w:t>。项目堆存工艺如下所示：</w:t>
            </w:r>
          </w:p>
          <w:p w14:paraId="58D92B87">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u w:val="none" w:color="auto"/>
              </w:rPr>
              <mc:AlternateContent>
                <mc:Choice Requires="wpc">
                  <w:drawing>
                    <wp:inline distT="0" distB="0" distL="114300" distR="114300">
                      <wp:extent cx="5146040" cy="1377950"/>
                      <wp:effectExtent l="0" t="0" r="0" b="0"/>
                      <wp:docPr id="2" name="画布 2"/>
                      <wp:cNvGraphicFramePr/>
                      <a:graphic xmlns:a="http://schemas.openxmlformats.org/drawingml/2006/main">
                        <a:graphicData uri="http://schemas.microsoft.com/office/word/2010/wordprocessingCanvas">
                          <wpc:wpc>
                            <wpc:bg/>
                            <wpc:whole/>
                            <wps:wsp>
                              <wps:cNvPr id="3" name="文本框 3"/>
                              <wps:cNvSpPr txBox="1"/>
                              <wps:spPr>
                                <a:xfrm>
                                  <a:off x="53340" y="264160"/>
                                  <a:ext cx="46672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127287">
                                    <w:pPr>
                                      <w:rPr>
                                        <w:rFonts w:hint="eastAsia" w:eastAsia="宋体"/>
                                        <w:lang w:val="en-US" w:eastAsia="zh-CN"/>
                                      </w:rPr>
                                    </w:pPr>
                                    <w:r>
                                      <w:rPr>
                                        <w:rFonts w:hint="eastAsia"/>
                                        <w:lang w:val="en-US" w:eastAsia="zh-CN"/>
                                      </w:rPr>
                                      <w:t>货主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直接箭头连接符 4"/>
                              <wps:cNvCnPr/>
                              <wps:spPr>
                                <a:xfrm>
                                  <a:off x="415290" y="393065"/>
                                  <a:ext cx="276225" cy="0"/>
                                </a:xfrm>
                                <a:prstGeom prst="straightConnector1">
                                  <a:avLst/>
                                </a:prstGeom>
                                <a:ln w="12700">
                                  <a:tailEnd type="arrow"/>
                                </a:ln>
                              </wps:spPr>
                              <wps:style>
                                <a:lnRef idx="2">
                                  <a:schemeClr val="accent1"/>
                                </a:lnRef>
                                <a:fillRef idx="0">
                                  <a:srgbClr val="FFFFFF"/>
                                </a:fillRef>
                                <a:effectRef idx="0">
                                  <a:srgbClr val="FFFFFF"/>
                                </a:effectRef>
                                <a:fontRef idx="minor">
                                  <a:schemeClr val="tx1"/>
                                </a:fontRef>
                              </wps:style>
                              <wps:bodyPr/>
                            </wps:wsp>
                            <wps:wsp>
                              <wps:cNvPr id="5" name="文本框 5"/>
                              <wps:cNvSpPr txBox="1"/>
                              <wps:spPr>
                                <a:xfrm>
                                  <a:off x="624840" y="264160"/>
                                  <a:ext cx="4667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D2574">
                                    <w:pPr>
                                      <w:rPr>
                                        <w:rFonts w:hint="default" w:eastAsia="宋体"/>
                                        <w:lang w:val="en-US" w:eastAsia="zh-CN"/>
                                      </w:rPr>
                                    </w:pPr>
                                    <w:r>
                                      <w:rPr>
                                        <w:rFonts w:hint="eastAsia"/>
                                        <w:lang w:val="en-US" w:eastAsia="zh-CN"/>
                                      </w:rPr>
                                      <w:t>集卡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直接箭头连接符 6"/>
                              <wps:cNvCnPr/>
                              <wps:spPr>
                                <a:xfrm>
                                  <a:off x="1015365" y="393065"/>
                                  <a:ext cx="276225" cy="0"/>
                                </a:xfrm>
                                <a:prstGeom prst="straightConnector1">
                                  <a:avLst/>
                                </a:prstGeom>
                                <a:ln w="12700">
                                  <a:tailEnd type="arrow"/>
                                </a:ln>
                              </wps:spPr>
                              <wps:style>
                                <a:lnRef idx="2">
                                  <a:schemeClr val="accent1"/>
                                </a:lnRef>
                                <a:fillRef idx="0">
                                  <a:srgbClr val="FFFFFF"/>
                                </a:fillRef>
                                <a:effectRef idx="0">
                                  <a:srgbClr val="FFFFFF"/>
                                </a:effectRef>
                                <a:fontRef idx="minor">
                                  <a:schemeClr val="tx1"/>
                                </a:fontRef>
                              </wps:style>
                              <wps:bodyPr/>
                            </wps:wsp>
                            <wps:wsp>
                              <wps:cNvPr id="7" name="文本框 7"/>
                              <wps:cNvSpPr txBox="1"/>
                              <wps:spPr>
                                <a:xfrm>
                                  <a:off x="1320165" y="188595"/>
                                  <a:ext cx="98996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9540A">
                                    <w:pPr>
                                      <w:rPr>
                                        <w:rFonts w:hint="default" w:eastAsia="宋体"/>
                                        <w:lang w:val="en-US" w:eastAsia="zh-CN"/>
                                      </w:rPr>
                                    </w:pPr>
                                    <w:r>
                                      <w:rPr>
                                        <w:rFonts w:hint="eastAsia"/>
                                        <w:lang w:val="en-US" w:eastAsia="zh-CN"/>
                                      </w:rPr>
                                      <w:t>正面吊、轮胎式龙门起重机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直接箭头连接符 8"/>
                              <wps:cNvCnPr/>
                              <wps:spPr>
                                <a:xfrm>
                                  <a:off x="2253615" y="412115"/>
                                  <a:ext cx="276225" cy="0"/>
                                </a:xfrm>
                                <a:prstGeom prst="straightConnector1">
                                  <a:avLst/>
                                </a:prstGeom>
                                <a:ln w="12700">
                                  <a:tailEnd type="arrow"/>
                                </a:ln>
                              </wps:spPr>
                              <wps:style>
                                <a:lnRef idx="2">
                                  <a:schemeClr val="accent1"/>
                                </a:lnRef>
                                <a:fillRef idx="0">
                                  <a:srgbClr val="FFFFFF"/>
                                </a:fillRef>
                                <a:effectRef idx="0">
                                  <a:srgbClr val="FFFFFF"/>
                                </a:effectRef>
                                <a:fontRef idx="minor">
                                  <a:schemeClr val="tx1"/>
                                </a:fontRef>
                              </wps:style>
                              <wps:bodyPr/>
                            </wps:wsp>
                            <wps:wsp>
                              <wps:cNvPr id="10" name="文本框 10"/>
                              <wps:cNvSpPr txBox="1"/>
                              <wps:spPr>
                                <a:xfrm>
                                  <a:off x="2520315" y="283210"/>
                                  <a:ext cx="7715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20F19">
                                    <w:pPr>
                                      <w:rPr>
                                        <w:rFonts w:hint="default" w:eastAsia="宋体"/>
                                        <w:lang w:val="en-US" w:eastAsia="zh-CN"/>
                                      </w:rPr>
                                    </w:pPr>
                                    <w:r>
                                      <w:rPr>
                                        <w:rFonts w:hint="eastAsia" w:eastAsia="宋体"/>
                                        <w:lang w:val="en-US" w:eastAsia="zh-CN"/>
                                      </w:rPr>
                                      <w:t>混堆堆场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直接箭头连接符 14"/>
                              <wps:cNvCnPr/>
                              <wps:spPr>
                                <a:xfrm>
                                  <a:off x="3177540" y="412115"/>
                                  <a:ext cx="276225" cy="0"/>
                                </a:xfrm>
                                <a:prstGeom prst="straightConnector1">
                                  <a:avLst/>
                                </a:prstGeom>
                                <a:ln w="12700">
                                  <a:tailEnd type="arrow"/>
                                </a:ln>
                              </wps:spPr>
                              <wps:style>
                                <a:lnRef idx="2">
                                  <a:schemeClr val="accent1"/>
                                </a:lnRef>
                                <a:fillRef idx="0">
                                  <a:srgbClr val="FFFFFF"/>
                                </a:fillRef>
                                <a:effectRef idx="0">
                                  <a:srgbClr val="FFFFFF"/>
                                </a:effectRef>
                                <a:fontRef idx="minor">
                                  <a:schemeClr val="tx1"/>
                                </a:fontRef>
                              </wps:style>
                              <wps:bodyPr/>
                            </wps:wsp>
                            <wps:wsp>
                              <wps:cNvPr id="18" name="直接箭头连接符 18"/>
                              <wps:cNvCnPr/>
                              <wps:spPr>
                                <a:xfrm>
                                  <a:off x="4291965" y="412115"/>
                                  <a:ext cx="276225" cy="0"/>
                                </a:xfrm>
                                <a:prstGeom prst="straightConnector1">
                                  <a:avLst/>
                                </a:prstGeom>
                                <a:ln w="12700">
                                  <a:tailEnd type="arrow"/>
                                </a:ln>
                              </wps:spPr>
                              <wps:style>
                                <a:lnRef idx="2">
                                  <a:schemeClr val="accent1"/>
                                </a:lnRef>
                                <a:fillRef idx="0">
                                  <a:srgbClr val="FFFFFF"/>
                                </a:fillRef>
                                <a:effectRef idx="0">
                                  <a:srgbClr val="FFFFFF"/>
                                </a:effectRef>
                                <a:fontRef idx="minor">
                                  <a:schemeClr val="tx1"/>
                                </a:fontRef>
                              </wps:style>
                              <wps:bodyPr/>
                            </wps:wsp>
                            <wps:wsp>
                              <wps:cNvPr id="19" name="文本框 19"/>
                              <wps:cNvSpPr txBox="1"/>
                              <wps:spPr>
                                <a:xfrm>
                                  <a:off x="4568190" y="264160"/>
                                  <a:ext cx="4667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1CB74">
                                    <w:pPr>
                                      <w:rPr>
                                        <w:rFonts w:hint="default" w:eastAsia="宋体"/>
                                        <w:lang w:val="en-US" w:eastAsia="zh-CN"/>
                                      </w:rPr>
                                    </w:pPr>
                                    <w:r>
                                      <w:rPr>
                                        <w:rFonts w:hint="eastAsia"/>
                                        <w:lang w:val="en-US" w:eastAsia="zh-CN"/>
                                      </w:rPr>
                                      <w:t>集卡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20"/>
                              <wps:cNvCnPr>
                                <a:stCxn id="19" idx="2"/>
                              </wps:cNvCnPr>
                              <wps:spPr>
                                <a:xfrm>
                                  <a:off x="4801870" y="540385"/>
                                  <a:ext cx="0" cy="523875"/>
                                </a:xfrm>
                                <a:prstGeom prst="straightConnector1">
                                  <a:avLst/>
                                </a:prstGeom>
                                <a:ln w="12700">
                                  <a:tailEnd type="arrow"/>
                                </a:ln>
                              </wps:spPr>
                              <wps:style>
                                <a:lnRef idx="2">
                                  <a:schemeClr val="accent1"/>
                                </a:lnRef>
                                <a:fillRef idx="0">
                                  <a:srgbClr val="FFFFFF"/>
                                </a:fillRef>
                                <a:effectRef idx="0">
                                  <a:srgbClr val="FFFFFF"/>
                                </a:effectRef>
                                <a:fontRef idx="minor">
                                  <a:schemeClr val="tx1"/>
                                </a:fontRef>
                              </wps:style>
                              <wps:bodyPr/>
                            </wps:wsp>
                            <wps:wsp>
                              <wps:cNvPr id="21" name="文本框 21"/>
                              <wps:cNvSpPr txBox="1"/>
                              <wps:spPr>
                                <a:xfrm>
                                  <a:off x="4568190" y="1035685"/>
                                  <a:ext cx="4667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D053B">
                                    <w:pPr>
                                      <w:rPr>
                                        <w:rFonts w:hint="default" w:eastAsia="宋体"/>
                                        <w:lang w:val="en-US" w:eastAsia="zh-CN"/>
                                      </w:rPr>
                                    </w:pPr>
                                    <w:r>
                                      <w:rPr>
                                        <w:rFonts w:hint="eastAsia" w:eastAsia="宋体"/>
                                        <w:lang w:val="en-US" w:eastAsia="zh-CN"/>
                                      </w:rPr>
                                      <w:t>岸桥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直接箭头连接符 22"/>
                              <wps:cNvCnPr>
                                <a:stCxn id="21" idx="1"/>
                              </wps:cNvCnPr>
                              <wps:spPr>
                                <a:xfrm flipH="1">
                                  <a:off x="4158615" y="1174115"/>
                                  <a:ext cx="409575" cy="0"/>
                                </a:xfrm>
                                <a:prstGeom prst="straightConnector1">
                                  <a:avLst/>
                                </a:prstGeom>
                                <a:ln w="12700">
                                  <a:tailEnd type="arrow"/>
                                </a:ln>
                              </wps:spPr>
                              <wps:style>
                                <a:lnRef idx="2">
                                  <a:schemeClr val="accent1"/>
                                </a:lnRef>
                                <a:fillRef idx="0">
                                  <a:srgbClr val="FFFFFF"/>
                                </a:fillRef>
                                <a:effectRef idx="0">
                                  <a:srgbClr val="FFFFFF"/>
                                </a:effectRef>
                                <a:fontRef idx="minor">
                                  <a:schemeClr val="tx1"/>
                                </a:fontRef>
                              </wps:style>
                              <wps:bodyPr/>
                            </wps:wsp>
                            <wps:wsp>
                              <wps:cNvPr id="23" name="文本框 23"/>
                              <wps:cNvSpPr txBox="1"/>
                              <wps:spPr>
                                <a:xfrm>
                                  <a:off x="3863340" y="1016635"/>
                                  <a:ext cx="39116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D8B10">
                                    <w:pPr>
                                      <w:rPr>
                                        <w:rFonts w:hint="default" w:eastAsia="宋体"/>
                                        <w:lang w:val="en-US" w:eastAsia="zh-CN"/>
                                      </w:rPr>
                                    </w:pPr>
                                    <w:r>
                                      <w:rPr>
                                        <w:rFonts w:hint="eastAsia" w:eastAsia="宋体"/>
                                        <w:lang w:val="en-US" w:eastAsia="zh-CN"/>
                                      </w:rPr>
                                      <w:t>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矩形 33"/>
                              <wps:cNvSpPr/>
                              <wps:spPr>
                                <a:xfrm>
                                  <a:off x="567690" y="45085"/>
                                  <a:ext cx="4391025" cy="942975"/>
                                </a:xfrm>
                                <a:prstGeom prst="rect">
                                  <a:avLst/>
                                </a:prstGeom>
                                <a:noFill/>
                                <a:ln w="12700">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文本框 35"/>
                              <wps:cNvSpPr txBox="1"/>
                              <wps:spPr>
                                <a:xfrm>
                                  <a:off x="2484755" y="741680"/>
                                  <a:ext cx="77089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34800">
                                    <w:pPr>
                                      <w:rPr>
                                        <w:rFonts w:hint="default" w:eastAsia="宋体"/>
                                        <w:lang w:val="en-US" w:eastAsia="zh-CN"/>
                                      </w:rPr>
                                    </w:pPr>
                                    <w:r>
                                      <w:rPr>
                                        <w:rFonts w:hint="eastAsia" w:eastAsia="宋体"/>
                                        <w:lang w:val="en-US" w:eastAsia="zh-CN"/>
                                      </w:rPr>
                                      <w:t>项目内容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3380105" y="198755"/>
                                  <a:ext cx="98996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53678">
                                    <w:pPr>
                                      <w:rPr>
                                        <w:rFonts w:hint="default" w:eastAsia="宋体"/>
                                        <w:lang w:val="en-US" w:eastAsia="zh-CN"/>
                                      </w:rPr>
                                    </w:pPr>
                                    <w:r>
                                      <w:rPr>
                                        <w:rFonts w:hint="eastAsia"/>
                                        <w:lang w:val="en-US" w:eastAsia="zh-CN"/>
                                      </w:rPr>
                                      <w:t>正面吊、轮胎式龙门起重机</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8.5pt;width:405.2pt;" coordsize="5146040,1377950" editas="canvas" o:gfxdata="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DkZ5UE1wAAAAUBAAAPAAAA&#10;AAAAAAEAIAAAACIAAABkcnMvZG93bnJldi54bWxQSwECFAAUAAAACACHTuJAymI4hN8FAABTKwAA&#10;DgAAAAAAAAABACAAAAAmAQAAZHJzL2Uyb0RvYy54bWxQSwUGAAAAAAYABgBZAQAAdwkAAAAA&#10;">
                      <o:lock v:ext="edit" aspectratio="f"/>
                      <v:shape id="_x0000_s1026" o:spid="_x0000_s1026" style="position:absolute;left:0;top:0;height:1377950;width:5146040;" filled="f" stroked="f" coordsize="21600,21600" o:gfxdata="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DkZ5UE1wAAAAUBAAAPAAAAAAAAAAEAIAAAACIAAABkcnMvZG93bnJl&#10;di54bWxQSwECFAAUAAAACACHTuJAY2sxvY4FAACaKgAADgAAAAAAAAABACAAAAAmAQAAZHJzL2Uy&#10;b0RvYy54bWxQSwUGAAAAAAYABgBZAQAAJgkAAAAA&#10;">
                        <v:fill on="f" focussize="0,0"/>
                        <v:stroke on="f"/>
                        <v:imagedata o:title=""/>
                        <o:lock v:ext="edit" aspectratio="f"/>
                      </v:shape>
                      <v:shape id="_x0000_s1026" o:spid="_x0000_s1026" o:spt="202" type="#_x0000_t202" style="position:absolute;left:53340;top:264160;height:276225;width:466725;" fillcolor="#FFFFFF [3201]" filled="t" stroked="f" coordsize="21600,21600" o:gfxdata="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q//NP0QAAAAUBAAAPAAAA&#10;AAAAAAEAIAAAACIAAABkcnMvZG93bnJldi54bWxQSwECFAAUAAAACACHTuJA182XNlUCAACXBAAA&#10;DgAAAAAAAAABACAAAAAgAQAAZHJzL2Uyb0RvYy54bWxQSwUGAAAAAAYABgBZAQAA5wUAAAAA&#10;">
                        <v:fill on="t" focussize="0,0"/>
                        <v:stroke on="f" weight="0.5pt"/>
                        <v:imagedata o:title=""/>
                        <o:lock v:ext="edit" aspectratio="f"/>
                        <v:textbox>
                          <w:txbxContent>
                            <w:p w14:paraId="54127287">
                              <w:pPr>
                                <w:rPr>
                                  <w:rFonts w:hint="eastAsia" w:eastAsia="宋体"/>
                                  <w:lang w:val="en-US" w:eastAsia="zh-CN"/>
                                </w:rPr>
                              </w:pPr>
                              <w:r>
                                <w:rPr>
                                  <w:rFonts w:hint="eastAsia"/>
                                  <w:lang w:val="en-US" w:eastAsia="zh-CN"/>
                                </w:rPr>
                                <w:t>货主</w:t>
                              </w:r>
                            </w:p>
                          </w:txbxContent>
                        </v:textbox>
                      </v:shape>
                      <v:shape id="_x0000_s1026" o:spid="_x0000_s1026" o:spt="32" type="#_x0000_t32" style="position:absolute;left:415290;top:393065;height:0;width:276225;" filled="f" stroked="t" coordsize="21600,21600" o:gfxdata="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SbAq3XAAAABQEAAA8AAAAAAAAAAQAgAAAAIgAA&#10;AGRycy9kb3ducmV2LnhtbFBLAQIUABQAAAAIAIdO4kBoRtnGCQIAANEDAAAOAAAAAAAAAAEAIAAA&#10;ACYBAABkcnMvZTJvRG9jLnhtbFBLBQYAAAAABgAGAFkBAAChBQAAAAA=&#10;">
                        <v:fill on="f" focussize="0,0"/>
                        <v:stroke weight="1pt" color="#4F81BD [3204]" joinstyle="round" endarrow="open"/>
                        <v:imagedata o:title=""/>
                        <o:lock v:ext="edit" aspectratio="f"/>
                      </v:shape>
                      <v:shape id="_x0000_s1026" o:spid="_x0000_s1026" o:spt="202" type="#_x0000_t202" style="position:absolute;left:624840;top:264160;height:276225;width:466725;"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&#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8lQitYAAAAFAQAADwAAAAAAAAABACAAAAAiAAAA&#10;ZHJzL2Rvd25yZXYueG1sUEsBAhQAFAAAAAgAh07iQKnBZiNCAgAAbwQAAA4AAAAAAAAAAQAgAAAA&#10;JQEAAGRycy9lMm9Eb2MueG1sUEsFBgAAAAAGAAYAWQEAANkFAAAAAA==&#10;">
                        <v:fill on="f" focussize="0,0"/>
                        <v:stroke on="f" weight="0.5pt"/>
                        <v:imagedata o:title=""/>
                        <o:lock v:ext="edit" aspectratio="f"/>
                        <v:textbox>
                          <w:txbxContent>
                            <w:p w14:paraId="161D2574">
                              <w:pPr>
                                <w:rPr>
                                  <w:rFonts w:hint="default" w:eastAsia="宋体"/>
                                  <w:lang w:val="en-US" w:eastAsia="zh-CN"/>
                                </w:rPr>
                              </w:pPr>
                              <w:r>
                                <w:rPr>
                                  <w:rFonts w:hint="eastAsia"/>
                                  <w:lang w:val="en-US" w:eastAsia="zh-CN"/>
                                </w:rPr>
                                <w:t>集卡</w:t>
                              </w:r>
                            </w:p>
                          </w:txbxContent>
                        </v:textbox>
                      </v:shape>
                      <v:shape id="_x0000_s1026" o:spid="_x0000_s1026" o:spt="32" type="#_x0000_t32" style="position:absolute;left:1015365;top:393065;height:0;width:276225;" filled="f" stroked="t" coordsize="21600,21600" o:gfxdata="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JsCrdcAAAAFAQAADwAAAAAAAAABACAAAAAiAAAA&#10;ZHJzL2Rvd25yZXYueG1sUEsBAhQAFAAAAAgAh07iQO1AUUEIAgAA0gMAAA4AAAAAAAAAAQAgAAAA&#10;JgEAAGRycy9lMm9Eb2MueG1sUEsFBgAAAAAGAAYAWQEAAKAFAAAAAA==&#10;">
                        <v:fill on="f" focussize="0,0"/>
                        <v:stroke weight="1pt" color="#4F81BD [3204]" joinstyle="round" endarrow="open"/>
                        <v:imagedata o:title=""/>
                        <o:lock v:ext="edit" aspectratio="f"/>
                      </v:shape>
                      <v:shape id="_x0000_s1026" o:spid="_x0000_s1026" o:spt="202" type="#_x0000_t202" style="position:absolute;left:1320165;top:188595;height:560705;width:989965;"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yVCK1gAAAAUBAAAPAAAAAAAAAAEAIAAAACIA&#10;AABkcnMvZG93bnJldi54bWxQSwECFAAUAAAACACHTuJAHMkcEkQCAABwBAAADgAAAAAAAAABACAA&#10;AAAlAQAAZHJzL2Uyb0RvYy54bWxQSwUGAAAAAAYABgBZAQAA2wUAAAAA&#10;">
                        <v:fill on="f" focussize="0,0"/>
                        <v:stroke on="f" weight="0.5pt"/>
                        <v:imagedata o:title=""/>
                        <o:lock v:ext="edit" aspectratio="f"/>
                        <v:textbox>
                          <w:txbxContent>
                            <w:p w14:paraId="51B9540A">
                              <w:pPr>
                                <w:rPr>
                                  <w:rFonts w:hint="default" w:eastAsia="宋体"/>
                                  <w:lang w:val="en-US" w:eastAsia="zh-CN"/>
                                </w:rPr>
                              </w:pPr>
                              <w:r>
                                <w:rPr>
                                  <w:rFonts w:hint="eastAsia"/>
                                  <w:lang w:val="en-US" w:eastAsia="zh-CN"/>
                                </w:rPr>
                                <w:t>正面吊、轮胎式龙门起重机</w:t>
                              </w:r>
                            </w:p>
                          </w:txbxContent>
                        </v:textbox>
                      </v:shape>
                      <v:shape id="_x0000_s1026" o:spid="_x0000_s1026" o:spt="32" type="#_x0000_t32" style="position:absolute;left:2253615;top:412115;height:0;width:276225;" filled="f" stroked="t" coordsize="21600,21600" o:gfxdata="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mwKt1wAAAAUBAAAPAAAAAAAAAAEAIAAAACIAAABk&#10;cnMvZG93bnJldi54bWxQSwECFAAUAAAACACHTuJAXVN1FwcCAADSAwAADgAAAAAAAAABACAAAAAm&#10;AQAAZHJzL2Uyb0RvYy54bWxQSwUGAAAAAAYABgBZAQAAnwUAAAAA&#10;">
                        <v:fill on="f" focussize="0,0"/>
                        <v:stroke weight="1pt" color="#4F81BD [3204]" joinstyle="round" endarrow="open"/>
                        <v:imagedata o:title=""/>
                        <o:lock v:ext="edit" aspectratio="f"/>
                      </v:shape>
                      <v:shape id="_x0000_s1026" o:spid="_x0000_s1026" o:spt="202" type="#_x0000_t202" style="position:absolute;left:2520315;top:283210;height:276225;width:771525;"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yVCK1gAAAAUBAAAPAAAAAAAAAAEAIAAAACIA&#10;AABkcnMvZG93bnJldi54bWxQSwECFAAUAAAACACHTuJA9KOG+0QCAAByBAAADgAAAAAAAAABACAA&#10;AAAlAQAAZHJzL2Uyb0RvYy54bWxQSwUGAAAAAAYABgBZAQAA2wUAAAAA&#10;">
                        <v:fill on="f" focussize="0,0"/>
                        <v:stroke on="f" weight="0.5pt"/>
                        <v:imagedata o:title=""/>
                        <o:lock v:ext="edit" aspectratio="f"/>
                        <v:textbox>
                          <w:txbxContent>
                            <w:p w14:paraId="1FD20F19">
                              <w:pPr>
                                <w:rPr>
                                  <w:rFonts w:hint="default" w:eastAsia="宋体"/>
                                  <w:lang w:val="en-US" w:eastAsia="zh-CN"/>
                                </w:rPr>
                              </w:pPr>
                              <w:r>
                                <w:rPr>
                                  <w:rFonts w:hint="eastAsia" w:eastAsia="宋体"/>
                                  <w:lang w:val="en-US" w:eastAsia="zh-CN"/>
                                </w:rPr>
                                <w:t>混堆堆场</w:t>
                              </w:r>
                            </w:p>
                          </w:txbxContent>
                        </v:textbox>
                      </v:shape>
                      <v:shape id="_x0000_s1026" o:spid="_x0000_s1026" o:spt="32" type="#_x0000_t32" style="position:absolute;left:3177540;top:412115;height:0;width:276225;" filled="f" stroked="t" coordsize="21600,21600" o:gfxdata="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mwKt1wAAAAUBAAAPAAAAAAAAAAEAIAAAACIA&#10;AABkcnMvZG93bnJldi54bWxQSwECFAAUAAAACACHTuJADMMa8AoCAADUAwAADgAAAAAAAAABACAA&#10;AAAmAQAAZHJzL2Uyb0RvYy54bWxQSwUGAAAAAAYABgBZAQAAogUAAAAA&#10;">
                        <v:fill on="f" focussize="0,0"/>
                        <v:stroke weight="1pt" color="#4F81BD [3204]" joinstyle="round" endarrow="open"/>
                        <v:imagedata o:title=""/>
                        <o:lock v:ext="edit" aspectratio="f"/>
                      </v:shape>
                      <v:shape id="_x0000_s1026" o:spid="_x0000_s1026" o:spt="32" type="#_x0000_t32" style="position:absolute;left:4291965;top:412115;height:0;width:276225;" filled="f" stroked="t" coordsize="21600,21600" o:gfxdata="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JsCrdcAAAAFAQAADwAAAAAAAAABACAAAAAiAAAA&#10;ZHJzL2Rvd25yZXYueG1sUEsBAhQAFAAAAAgAh07iQExsK9IIAgAA1AMAAA4AAAAAAAAAAQAgAAAA&#10;JgEAAGRycy9lMm9Eb2MueG1sUEsFBgAAAAAGAAYAWQEAAKAFAAAAAA==&#10;">
                        <v:fill on="f" focussize="0,0"/>
                        <v:stroke weight="1pt" color="#4F81BD [3204]" joinstyle="round" endarrow="open"/>
                        <v:imagedata o:title=""/>
                        <o:lock v:ext="edit" aspectratio="f"/>
                      </v:shape>
                      <v:shape id="_x0000_s1026" o:spid="_x0000_s1026" o:spt="202" type="#_x0000_t202" style="position:absolute;left:4568190;top:264160;height:276225;width:466725;"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8lQitYAAAAFAQAADwAAAAAAAAABACAAAAAi&#10;AAAAZHJzL2Rvd25yZXYueG1sUEsBAhQAFAAAAAgAh07iQOfSrttFAgAAcgQAAA4AAAAAAAAAAQAg&#10;AAAAJQEAAGRycy9lMm9Eb2MueG1sUEsFBgAAAAAGAAYAWQEAANwFAAAAAA==&#10;">
                        <v:fill on="f" focussize="0,0"/>
                        <v:stroke on="f" weight="0.5pt"/>
                        <v:imagedata o:title=""/>
                        <o:lock v:ext="edit" aspectratio="f"/>
                        <v:textbox>
                          <w:txbxContent>
                            <w:p w14:paraId="16E1CB74">
                              <w:pPr>
                                <w:rPr>
                                  <w:rFonts w:hint="default" w:eastAsia="宋体"/>
                                  <w:lang w:val="en-US" w:eastAsia="zh-CN"/>
                                </w:rPr>
                              </w:pPr>
                              <w:r>
                                <w:rPr>
                                  <w:rFonts w:hint="eastAsia"/>
                                  <w:lang w:val="en-US" w:eastAsia="zh-CN"/>
                                </w:rPr>
                                <w:t>集卡</w:t>
                              </w:r>
                            </w:p>
                          </w:txbxContent>
                        </v:textbox>
                      </v:shape>
                      <v:shape id="_x0000_s1026" o:spid="_x0000_s1026" o:spt="32" type="#_x0000_t32" style="position:absolute;left:4801870;top:540385;height:523875;width:0;" filled="f" stroked="t" coordsize="21600,21600" o:gfxdata="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mwKt1wAAAAUBAAAP&#10;AAAAAAAAAAEAIAAAACIAAABkcnMvZG93bnJldi54bWxQSwECFAAUAAAACACHTuJA3BYAPhkCAAD7&#10;AwAADgAAAAAAAAABACAAAAAmAQAAZHJzL2Uyb0RvYy54bWxQSwUGAAAAAAYABgBZAQAAsQUAAAAA&#10;">
                        <v:fill on="f" focussize="0,0"/>
                        <v:stroke weight="1pt" color="#4F81BD [3204]" joinstyle="round" endarrow="open"/>
                        <v:imagedata o:title=""/>
                        <o:lock v:ext="edit" aspectratio="f"/>
                      </v:shape>
                      <v:shape id="_x0000_s1026" o:spid="_x0000_s1026" o:spt="202" type="#_x0000_t202" style="position:absolute;left:4568190;top:1035685;height:276225;width:466725;"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PJUIrWAAAABQEAAA8AAAAAAAAAAQAgAAAA&#10;IgAAAGRycy9kb3ducmV2LnhtbFBLAQIUABQAAAAIAIdO4kD2O74gRgIAAHMEAAAOAAAAAAAAAAEA&#10;IAAAACUBAABkcnMvZTJvRG9jLnhtbFBLBQYAAAAABgAGAFkBAADdBQAAAAA=&#10;">
                        <v:fill on="f" focussize="0,0"/>
                        <v:stroke on="f" weight="0.5pt"/>
                        <v:imagedata o:title=""/>
                        <o:lock v:ext="edit" aspectratio="f"/>
                        <v:textbox>
                          <w:txbxContent>
                            <w:p w14:paraId="1CAD053B">
                              <w:pPr>
                                <w:rPr>
                                  <w:rFonts w:hint="default" w:eastAsia="宋体"/>
                                  <w:lang w:val="en-US" w:eastAsia="zh-CN"/>
                                </w:rPr>
                              </w:pPr>
                              <w:r>
                                <w:rPr>
                                  <w:rFonts w:hint="eastAsia" w:eastAsia="宋体"/>
                                  <w:lang w:val="en-US" w:eastAsia="zh-CN"/>
                                </w:rPr>
                                <w:t>岸桥</w:t>
                              </w:r>
                            </w:p>
                          </w:txbxContent>
                        </v:textbox>
                      </v:shape>
                      <v:shape id="_x0000_s1026" o:spid="_x0000_s1026" o:spt="32" type="#_x0000_t32" style="position:absolute;left:4158615;top:1174115;flip:x;height:0;width:409575;" filled="f" stroked="t" coordsize="21600,21600" o:gfxdata="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WUftNgA&#10;AAAFAQAADwAAAAAAAAABACAAAAAiAAAAZHJzL2Rvd25yZXYueG1sUEsBAhQAFAAAAAgAh07iQAfR&#10;GNsfAgAABgQAAA4AAAAAAAAAAQAgAAAAJwEAAGRycy9lMm9Eb2MueG1sUEsFBgAAAAAGAAYAWQEA&#10;ALgFAAAAAA==&#10;">
                        <v:fill on="f" focussize="0,0"/>
                        <v:stroke weight="1pt" color="#4F81BD [3204]" joinstyle="round" endarrow="open"/>
                        <v:imagedata o:title=""/>
                        <o:lock v:ext="edit" aspectratio="f"/>
                      </v:shape>
                      <v:shape id="_x0000_s1026" o:spid="_x0000_s1026" o:spt="202" type="#_x0000_t202" style="position:absolute;left:3863340;top:1016635;height:276225;width:391160;"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yVCK1gAAAAUBAAAPAAAAAAAAAAEAIAAA&#10;ACIAAABkcnMvZG93bnJldi54bWxQSwECFAAUAAAACACHTuJAoNpyz0cCAABzBAAADgAAAAAAAAAB&#10;ACAAAAAlAQAAZHJzL2Uyb0RvYy54bWxQSwUGAAAAAAYABgBZAQAA3gUAAAAA&#10;">
                        <v:fill on="f" focussize="0,0"/>
                        <v:stroke on="f" weight="0.5pt"/>
                        <v:imagedata o:title=""/>
                        <o:lock v:ext="edit" aspectratio="f"/>
                        <v:textbox>
                          <w:txbxContent>
                            <w:p w14:paraId="49AD8B10">
                              <w:pPr>
                                <w:rPr>
                                  <w:rFonts w:hint="default" w:eastAsia="宋体"/>
                                  <w:lang w:val="en-US" w:eastAsia="zh-CN"/>
                                </w:rPr>
                              </w:pPr>
                              <w:r>
                                <w:rPr>
                                  <w:rFonts w:hint="eastAsia" w:eastAsia="宋体"/>
                                  <w:lang w:val="en-US" w:eastAsia="zh-CN"/>
                                </w:rPr>
                                <w:t>船</w:t>
                              </w:r>
                            </w:p>
                          </w:txbxContent>
                        </v:textbox>
                      </v:shape>
                      <v:rect id="_x0000_s1026" o:spid="_x0000_s1026" o:spt="1" style="position:absolute;left:567690;top:45085;height:942975;width:4391025;v-text-anchor:middle;" filled="f" stroked="t" coordsize="21600,21600" o:gfxdata="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7hTAHUAAAABQEAAA8AAAAAAAAAAQAgAAAAIgAAAGRy&#10;cy9kb3ducmV2LnhtbFBLAQIUABQAAAAIAIdO4kBH3OFeewIAAOIEAAAOAAAAAAAAAAEAIAAAACMB&#10;AABkcnMvZTJvRG9jLnhtbFBLBQYAAAAABgAGAFkBAAAQBgAAAAA=&#10;">
                        <v:fill on="f" focussize="0,0"/>
                        <v:stroke weight="1pt" color="#376092 [2404]" joinstyle="round" dashstyle="longDash"/>
                        <v:imagedata o:title=""/>
                        <o:lock v:ext="edit" aspectratio="f"/>
                      </v:rect>
                      <v:shape id="_x0000_s1026" o:spid="_x0000_s1026" o:spt="202" type="#_x0000_t202" style="position:absolute;left:2484755;top:741680;height:276225;width:770890;"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8lQitYAAAAFAQAADwAAAAAAAAABACAA&#10;AAAiAAAAZHJzL2Rvd25yZXYueG1sUEsBAhQAFAAAAAgAh07iQNNxLf9IAgAAcgQAAA4AAAAAAAAA&#10;AQAgAAAAJQEAAGRycy9lMm9Eb2MueG1sUEsFBgAAAAAGAAYAWQEAAN8FAAAAAA==&#10;">
                        <v:fill on="f" focussize="0,0"/>
                        <v:stroke on="f" weight="0.5pt"/>
                        <v:imagedata o:title=""/>
                        <o:lock v:ext="edit" aspectratio="f"/>
                        <v:textbox>
                          <w:txbxContent>
                            <w:p w14:paraId="1C634800">
                              <w:pPr>
                                <w:rPr>
                                  <w:rFonts w:hint="default" w:eastAsia="宋体"/>
                                  <w:lang w:val="en-US" w:eastAsia="zh-CN"/>
                                </w:rPr>
                              </w:pPr>
                              <w:r>
                                <w:rPr>
                                  <w:rFonts w:hint="eastAsia" w:eastAsia="宋体"/>
                                  <w:lang w:val="en-US" w:eastAsia="zh-CN"/>
                                </w:rPr>
                                <w:t>项目内容</w:t>
                              </w:r>
                            </w:p>
                          </w:txbxContent>
                        </v:textbox>
                      </v:shape>
                      <v:shape id="_x0000_s1026" o:spid="_x0000_s1026" o:spt="202" type="#_x0000_t202" style="position:absolute;left:3380105;top:198755;height:560705;width:989965;" filled="f" stroked="f" coordsize="21600,21600" o:gfxdata="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PJUIrWAAAABQEAAA8AAAAAAAAAAQAgAAAA&#10;IgAAAGRycy9kb3ducmV2LnhtbFBLAQIUABQAAAAIAIdO4kBp6wcdRgIAAHIEAAAOAAAAAAAAAAEA&#10;IAAAACUBAABkcnMvZTJvRG9jLnhtbFBLBQYAAAAABgAGAFkBAADdBQAAAAA=&#10;">
                        <v:fill on="f" focussize="0,0"/>
                        <v:stroke on="f" weight="0.5pt"/>
                        <v:imagedata o:title=""/>
                        <o:lock v:ext="edit" aspectratio="f"/>
                        <v:textbox>
                          <w:txbxContent>
                            <w:p w14:paraId="5F353678">
                              <w:pPr>
                                <w:rPr>
                                  <w:rFonts w:hint="default" w:eastAsia="宋体"/>
                                  <w:lang w:val="en-US" w:eastAsia="zh-CN"/>
                                </w:rPr>
                              </w:pPr>
                              <w:r>
                                <w:rPr>
                                  <w:rFonts w:hint="eastAsia"/>
                                  <w:lang w:val="en-US" w:eastAsia="zh-CN"/>
                                </w:rPr>
                                <w:t>正面吊、轮胎式龙门起重机</w:t>
                              </w:r>
                            </w:p>
                          </w:txbxContent>
                        </v:textbox>
                      </v:shape>
                      <w10:wrap type="none"/>
                      <w10:anchorlock/>
                    </v:group>
                  </w:pict>
                </mc:Fallback>
              </mc:AlternateContent>
            </w:r>
          </w:p>
          <w:p w14:paraId="7AE919E9">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157" w:afterLines="5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图</w:t>
            </w:r>
            <w:r>
              <w:rPr>
                <w:rFonts w:hint="default" w:ascii="Times New Roman" w:hAnsi="Times New Roman" w:eastAsia="宋体" w:cs="Times New Roman"/>
                <w:b/>
                <w:bCs/>
                <w:color w:val="auto"/>
                <w:sz w:val="21"/>
                <w:szCs w:val="21"/>
                <w:highlight w:val="none"/>
                <w:u w:val="none" w:color="auto"/>
                <w:lang w:val="en-US" w:eastAsia="zh-CN"/>
              </w:rPr>
              <w:t>2-</w:t>
            </w:r>
            <w:r>
              <w:rPr>
                <w:rFonts w:hint="eastAsia" w:cs="Times New Roman"/>
                <w:b/>
                <w:bCs/>
                <w:color w:val="auto"/>
                <w:sz w:val="21"/>
                <w:szCs w:val="21"/>
                <w:highlight w:val="none"/>
                <w:u w:val="none" w:color="auto"/>
                <w:lang w:val="en-US" w:eastAsia="zh-CN"/>
              </w:rPr>
              <w:t>3</w:t>
            </w:r>
            <w:r>
              <w:rPr>
                <w:rFonts w:hint="default" w:ascii="Times New Roman" w:hAnsi="Times New Roman" w:eastAsia="宋体" w:cs="Times New Roman"/>
                <w:b/>
                <w:bCs/>
                <w:color w:val="auto"/>
                <w:sz w:val="21"/>
                <w:szCs w:val="21"/>
                <w:highlight w:val="none"/>
                <w:u w:val="none" w:color="auto"/>
                <w:lang w:eastAsia="zh-CN"/>
              </w:rPr>
              <w:t>项目运营期</w:t>
            </w:r>
            <w:r>
              <w:rPr>
                <w:rFonts w:hint="default" w:ascii="Times New Roman" w:hAnsi="Times New Roman" w:eastAsia="宋体" w:cs="Times New Roman"/>
                <w:b/>
                <w:bCs/>
                <w:color w:val="auto"/>
                <w:sz w:val="21"/>
                <w:szCs w:val="21"/>
                <w:highlight w:val="none"/>
                <w:u w:val="none" w:color="auto"/>
              </w:rPr>
              <w:t>工艺流程及产污环节图</w:t>
            </w:r>
          </w:p>
          <w:p w14:paraId="2417F9E9">
            <w:pPr>
              <w:keepNext w:val="0"/>
              <w:keepLines w:val="0"/>
              <w:pageBreakBefore w:val="0"/>
              <w:widowControl w:val="0"/>
              <w:suppressLineNumbers w:val="0"/>
              <w:tabs>
                <w:tab w:val="left" w:pos="3225"/>
              </w:tabs>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工艺流程简述：</w:t>
            </w:r>
          </w:p>
          <w:p w14:paraId="5E3E2F09">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4"/>
              <w:textAlignment w:val="auto"/>
              <w:rPr>
                <w:rFonts w:hint="default" w:ascii="Times New Roman" w:hAnsi="Times New Roman" w:eastAsia="宋体" w:cs="Times New Roman"/>
                <w:b/>
                <w:bCs/>
                <w:color w:val="auto"/>
                <w:kern w:val="2"/>
                <w:sz w:val="24"/>
                <w:szCs w:val="24"/>
                <w:u w:val="none" w:color="auto"/>
                <w:lang w:val="en-US" w:eastAsia="zh-CN" w:bidi="ar-SA"/>
              </w:rPr>
            </w:pPr>
            <w:r>
              <w:rPr>
                <w:rFonts w:hint="eastAsia" w:ascii="Times New Roman" w:hAnsi="Times New Roman" w:eastAsia="宋体" w:cs="Times New Roman"/>
                <w:color w:val="auto"/>
                <w:spacing w:val="4"/>
                <w:sz w:val="24"/>
                <w:szCs w:val="24"/>
                <w:highlight w:val="none"/>
                <w:u w:val="single" w:color="auto"/>
                <w:lang w:val="en-US" w:eastAsia="zh-CN"/>
              </w:rPr>
              <w:t>装船时</w:t>
            </w:r>
            <w:r>
              <w:rPr>
                <w:rFonts w:hint="default" w:ascii="Times New Roman" w:hAnsi="Times New Roman" w:eastAsia="宋体" w:cs="Times New Roman"/>
                <w:color w:val="auto"/>
                <w:spacing w:val="4"/>
                <w:sz w:val="24"/>
                <w:szCs w:val="24"/>
                <w:highlight w:val="none"/>
                <w:u w:val="single" w:color="auto"/>
                <w:lang w:val="en-US" w:eastAsia="zh-CN"/>
              </w:rPr>
              <w:t>集装箱</w:t>
            </w:r>
            <w:r>
              <w:rPr>
                <w:rFonts w:hint="default" w:ascii="Times New Roman" w:hAnsi="Times New Roman" w:eastAsia="宋体" w:cs="Times New Roman"/>
                <w:color w:val="auto"/>
                <w:spacing w:val="4"/>
                <w:sz w:val="24"/>
                <w:szCs w:val="24"/>
                <w:highlight w:val="none"/>
                <w:u w:val="single" w:color="auto"/>
                <w:lang w:eastAsia="zh-CN"/>
              </w:rPr>
              <w:t>由</w:t>
            </w:r>
            <w:r>
              <w:rPr>
                <w:rFonts w:hint="default" w:ascii="Times New Roman" w:hAnsi="Times New Roman" w:eastAsia="宋体" w:cs="Times New Roman"/>
                <w:color w:val="auto"/>
                <w:spacing w:val="4"/>
                <w:sz w:val="24"/>
                <w:szCs w:val="24"/>
                <w:highlight w:val="none"/>
                <w:u w:val="single" w:color="auto"/>
                <w:lang w:val="en-US" w:eastAsia="zh-CN"/>
              </w:rPr>
              <w:t>集卡车</w:t>
            </w:r>
            <w:r>
              <w:rPr>
                <w:rFonts w:hint="default" w:ascii="Times New Roman" w:hAnsi="Times New Roman" w:eastAsia="宋体" w:cs="Times New Roman"/>
                <w:color w:val="auto"/>
                <w:spacing w:val="4"/>
                <w:sz w:val="24"/>
                <w:szCs w:val="24"/>
                <w:highlight w:val="none"/>
                <w:u w:val="single" w:color="auto"/>
                <w:lang w:eastAsia="zh-CN"/>
              </w:rPr>
              <w:t>运输至码头堆场，</w:t>
            </w:r>
            <w:r>
              <w:rPr>
                <w:rFonts w:hint="default" w:ascii="Times New Roman" w:hAnsi="Times New Roman" w:eastAsia="宋体" w:cs="Times New Roman"/>
                <w:color w:val="auto"/>
                <w:spacing w:val="4"/>
                <w:sz w:val="24"/>
                <w:szCs w:val="24"/>
                <w:highlight w:val="none"/>
                <w:u w:val="single" w:color="auto"/>
                <w:lang w:val="en-US" w:eastAsia="zh-CN"/>
              </w:rPr>
              <w:t>再经集装箱正面吊或</w:t>
            </w:r>
            <w:r>
              <w:rPr>
                <w:rFonts w:hint="default" w:ascii="Times New Roman" w:hAnsi="Times New Roman" w:eastAsia="宋体" w:cs="Times New Roman"/>
                <w:color w:val="auto"/>
                <w:spacing w:val="4"/>
                <w:sz w:val="24"/>
                <w:szCs w:val="24"/>
                <w:highlight w:val="none"/>
                <w:u w:val="single" w:color="auto"/>
                <w:lang w:eastAsia="zh-CN"/>
              </w:rPr>
              <w:t>轨道式场桥</w:t>
            </w:r>
            <w:r>
              <w:rPr>
                <w:rFonts w:hint="default" w:ascii="Times New Roman" w:hAnsi="Times New Roman" w:eastAsia="宋体" w:cs="Times New Roman"/>
                <w:color w:val="auto"/>
                <w:spacing w:val="4"/>
                <w:sz w:val="24"/>
                <w:szCs w:val="24"/>
                <w:highlight w:val="none"/>
                <w:u w:val="single" w:color="auto"/>
                <w:lang w:val="en-US" w:eastAsia="zh-CN"/>
              </w:rPr>
              <w:t>将集卡</w:t>
            </w:r>
            <w:r>
              <w:rPr>
                <w:rFonts w:hint="default" w:ascii="Times New Roman" w:hAnsi="Times New Roman" w:eastAsia="宋体" w:cs="Times New Roman"/>
                <w:color w:val="auto"/>
                <w:spacing w:val="4"/>
                <w:sz w:val="24"/>
                <w:szCs w:val="24"/>
                <w:highlight w:val="none"/>
                <w:u w:val="single" w:color="auto"/>
                <w:lang w:eastAsia="zh-CN"/>
              </w:rPr>
              <w:t>车</w:t>
            </w:r>
            <w:r>
              <w:rPr>
                <w:rFonts w:hint="default" w:ascii="Times New Roman" w:hAnsi="Times New Roman" w:eastAsia="宋体" w:cs="Times New Roman"/>
                <w:color w:val="auto"/>
                <w:spacing w:val="4"/>
                <w:sz w:val="24"/>
                <w:szCs w:val="24"/>
                <w:highlight w:val="none"/>
                <w:u w:val="single" w:color="auto"/>
                <w:lang w:val="en-US" w:eastAsia="zh-CN"/>
              </w:rPr>
              <w:t>上的集装箱转移至集装箱堆场暂时堆放，再</w:t>
            </w:r>
            <w:r>
              <w:rPr>
                <w:rFonts w:hint="default" w:ascii="Times New Roman" w:hAnsi="Times New Roman" w:eastAsia="宋体" w:cs="Times New Roman"/>
                <w:color w:val="auto"/>
                <w:spacing w:val="4"/>
                <w:sz w:val="24"/>
                <w:szCs w:val="24"/>
                <w:highlight w:val="none"/>
                <w:u w:val="single" w:color="auto"/>
                <w:lang w:eastAsia="zh-CN"/>
              </w:rPr>
              <w:t>由</w:t>
            </w:r>
            <w:r>
              <w:rPr>
                <w:rFonts w:hint="default" w:ascii="Times New Roman" w:hAnsi="Times New Roman" w:eastAsia="宋体" w:cs="Times New Roman"/>
                <w:color w:val="auto"/>
                <w:spacing w:val="4"/>
                <w:sz w:val="24"/>
                <w:szCs w:val="24"/>
                <w:highlight w:val="none"/>
                <w:u w:val="single" w:color="auto"/>
                <w:lang w:val="en-US" w:eastAsia="zh-CN"/>
              </w:rPr>
              <w:t>集卡车</w:t>
            </w:r>
            <w:r>
              <w:rPr>
                <w:rFonts w:hint="eastAsia" w:ascii="Times New Roman" w:hAnsi="Times New Roman" w:cs="Times New Roman"/>
                <w:color w:val="auto"/>
                <w:spacing w:val="4"/>
                <w:sz w:val="24"/>
                <w:szCs w:val="24"/>
                <w:highlight w:val="none"/>
                <w:u w:val="single" w:color="auto"/>
                <w:lang w:val="en-US" w:eastAsia="zh-CN"/>
              </w:rPr>
              <w:t>运至</w:t>
            </w:r>
            <w:r>
              <w:rPr>
                <w:rFonts w:hint="default" w:ascii="Times New Roman" w:hAnsi="Times New Roman" w:eastAsia="宋体" w:cs="Times New Roman"/>
                <w:color w:val="auto"/>
                <w:spacing w:val="4"/>
                <w:sz w:val="24"/>
                <w:szCs w:val="24"/>
                <w:highlight w:val="none"/>
                <w:u w:val="single" w:color="auto"/>
                <w:lang w:eastAsia="zh-CN"/>
              </w:rPr>
              <w:t>码头区，</w:t>
            </w:r>
            <w:r>
              <w:rPr>
                <w:rFonts w:hint="default" w:ascii="Times New Roman" w:hAnsi="Times New Roman" w:eastAsia="宋体" w:cs="Times New Roman"/>
                <w:color w:val="auto"/>
                <w:spacing w:val="4"/>
                <w:sz w:val="24"/>
                <w:szCs w:val="24"/>
                <w:highlight w:val="none"/>
                <w:u w:val="single" w:color="auto"/>
                <w:lang w:val="en-US" w:eastAsia="zh-CN"/>
              </w:rPr>
              <w:t>经</w:t>
            </w:r>
            <w:r>
              <w:rPr>
                <w:rFonts w:hint="default" w:ascii="Times New Roman" w:hAnsi="Times New Roman" w:eastAsia="宋体" w:cs="Times New Roman"/>
                <w:color w:val="auto"/>
                <w:spacing w:val="4"/>
                <w:sz w:val="24"/>
                <w:szCs w:val="24"/>
                <w:highlight w:val="none"/>
                <w:u w:val="single" w:color="auto"/>
                <w:lang w:eastAsia="zh-CN"/>
              </w:rPr>
              <w:t>岸桥将</w:t>
            </w:r>
            <w:r>
              <w:rPr>
                <w:rFonts w:hint="default" w:ascii="Times New Roman" w:hAnsi="Times New Roman" w:eastAsia="宋体" w:cs="Times New Roman"/>
                <w:color w:val="auto"/>
                <w:spacing w:val="4"/>
                <w:sz w:val="24"/>
                <w:szCs w:val="24"/>
                <w:highlight w:val="none"/>
                <w:u w:val="single" w:color="auto"/>
                <w:lang w:val="en-US" w:eastAsia="zh-CN"/>
              </w:rPr>
              <w:t>危险品集装箱</w:t>
            </w:r>
            <w:r>
              <w:rPr>
                <w:rFonts w:hint="default" w:ascii="Times New Roman" w:hAnsi="Times New Roman" w:eastAsia="宋体" w:cs="Times New Roman"/>
                <w:color w:val="auto"/>
                <w:spacing w:val="4"/>
                <w:sz w:val="24"/>
                <w:szCs w:val="24"/>
                <w:highlight w:val="none"/>
                <w:u w:val="single" w:color="auto"/>
                <w:lang w:eastAsia="zh-CN"/>
              </w:rPr>
              <w:t>装船</w:t>
            </w:r>
            <w:r>
              <w:rPr>
                <w:rFonts w:hint="eastAsia" w:ascii="Times New Roman" w:hAnsi="Times New Roman" w:cs="Times New Roman"/>
                <w:color w:val="auto"/>
                <w:spacing w:val="4"/>
                <w:sz w:val="24"/>
                <w:szCs w:val="24"/>
                <w:highlight w:val="none"/>
                <w:u w:val="single" w:color="auto"/>
                <w:lang w:eastAsia="zh-CN"/>
              </w:rPr>
              <w:t>。</w:t>
            </w:r>
            <w:r>
              <w:rPr>
                <w:rFonts w:hint="default" w:ascii="Times New Roman" w:hAnsi="Times New Roman" w:eastAsia="宋体" w:cs="Times New Roman"/>
                <w:color w:val="auto"/>
                <w:spacing w:val="4"/>
                <w:sz w:val="24"/>
                <w:szCs w:val="24"/>
                <w:highlight w:val="none"/>
                <w:u w:val="single" w:color="auto"/>
                <w:lang w:eastAsia="zh-CN"/>
              </w:rPr>
              <w:t>卸船</w:t>
            </w:r>
            <w:r>
              <w:rPr>
                <w:rFonts w:hint="eastAsia" w:ascii="Times New Roman" w:hAnsi="Times New Roman" w:cs="Times New Roman"/>
                <w:color w:val="auto"/>
                <w:spacing w:val="4"/>
                <w:sz w:val="24"/>
                <w:szCs w:val="24"/>
                <w:highlight w:val="none"/>
                <w:u w:val="single" w:color="auto"/>
                <w:lang w:val="en-US" w:eastAsia="zh-CN"/>
              </w:rPr>
              <w:t>则</w:t>
            </w:r>
            <w:r>
              <w:rPr>
                <w:rFonts w:hint="default" w:ascii="Times New Roman" w:hAnsi="Times New Roman" w:eastAsia="宋体" w:cs="Times New Roman"/>
                <w:color w:val="auto"/>
                <w:spacing w:val="4"/>
                <w:sz w:val="24"/>
                <w:szCs w:val="24"/>
                <w:highlight w:val="none"/>
                <w:u w:val="single" w:color="auto"/>
                <w:lang w:eastAsia="zh-CN"/>
              </w:rPr>
              <w:t>相反</w:t>
            </w:r>
            <w:r>
              <w:rPr>
                <w:rFonts w:hint="eastAsia" w:ascii="Times New Roman" w:hAnsi="Times New Roman" w:cs="Times New Roman"/>
                <w:color w:val="auto"/>
                <w:spacing w:val="4"/>
                <w:sz w:val="24"/>
                <w:szCs w:val="24"/>
                <w:highlight w:val="none"/>
                <w:u w:val="single" w:color="auto"/>
                <w:lang w:eastAsia="zh-CN"/>
              </w:rPr>
              <w:t>，</w:t>
            </w:r>
            <w:r>
              <w:rPr>
                <w:rFonts w:hint="eastAsia" w:ascii="Times New Roman" w:hAnsi="Times New Roman" w:cs="Times New Roman"/>
                <w:color w:val="auto"/>
                <w:spacing w:val="4"/>
                <w:sz w:val="24"/>
                <w:szCs w:val="24"/>
                <w:highlight w:val="none"/>
                <w:u w:val="single" w:color="auto"/>
                <w:lang w:val="en-US" w:eastAsia="zh-CN"/>
              </w:rPr>
              <w:t>经岸桥将危险货物卸船，再由集卡车运输至堆场区，经过集装箱正面吊或轨道式场桥将集卡车上的集装箱转移至集装箱堆场暂时堆放，然后经过集装箱正面吊或轨道式场桥将堆场上的集装箱转移至集卡车上，运输至货主</w:t>
            </w:r>
            <w:r>
              <w:rPr>
                <w:rFonts w:hint="default" w:ascii="Times New Roman" w:hAnsi="Times New Roman" w:eastAsia="宋体" w:cs="Times New Roman"/>
                <w:color w:val="auto"/>
                <w:spacing w:val="4"/>
                <w:sz w:val="24"/>
                <w:szCs w:val="24"/>
                <w:highlight w:val="none"/>
                <w:u w:val="single" w:color="auto"/>
              </w:rPr>
              <w:t>。</w:t>
            </w:r>
          </w:p>
          <w:p w14:paraId="5F6D5BFA">
            <w:pPr>
              <w:keepNext w:val="0"/>
              <w:keepLines w:val="0"/>
              <w:pageBreakBefore w:val="0"/>
              <w:widowControl w:val="0"/>
              <w:numPr>
                <w:ilvl w:val="0"/>
                <w:numId w:val="0"/>
              </w:numPr>
              <w:suppressLineNumbers w:val="0"/>
              <w:tabs>
                <w:tab w:val="left" w:pos="720"/>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0"/>
              <w:textAlignment w:val="auto"/>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b/>
                <w:bCs/>
                <w:color w:val="auto"/>
                <w:kern w:val="2"/>
                <w:sz w:val="24"/>
                <w:szCs w:val="24"/>
                <w:u w:val="none" w:color="auto"/>
                <w:lang w:val="en-US" w:eastAsia="zh-CN" w:bidi="ar-SA"/>
              </w:rPr>
              <w:t>3、</w:t>
            </w:r>
            <w:r>
              <w:rPr>
                <w:rFonts w:hint="default" w:ascii="Times New Roman" w:hAnsi="Times New Roman" w:eastAsia="宋体" w:cs="Times New Roman"/>
                <w:b/>
                <w:bCs/>
                <w:caps w:val="0"/>
                <w:color w:val="auto"/>
                <w:kern w:val="28"/>
                <w:sz w:val="24"/>
                <w:highlight w:val="none"/>
                <w:u w:val="none" w:color="auto"/>
                <w:lang w:eastAsia="zh-CN"/>
              </w:rPr>
              <w:t>运营期主要污染工序</w:t>
            </w:r>
            <w:r>
              <w:rPr>
                <w:rFonts w:hint="default" w:ascii="Times New Roman" w:hAnsi="Times New Roman" w:eastAsia="宋体" w:cs="Times New Roman"/>
                <w:b/>
                <w:bCs/>
                <w:color w:val="auto"/>
                <w:sz w:val="24"/>
                <w:szCs w:val="24"/>
                <w:highlight w:val="none"/>
                <w:u w:val="none" w:color="auto"/>
                <w:lang w:eastAsia="zh-CN"/>
              </w:rPr>
              <w:t>产排污节点：</w:t>
            </w:r>
          </w:p>
          <w:p w14:paraId="15B61B7F">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4"/>
              <w:textAlignment w:val="auto"/>
              <w:rPr>
                <w:rFonts w:hint="eastAsia" w:ascii="Times New Roman" w:hAnsi="Times New Roman" w:eastAsia="宋体" w:cs="Times New Roman"/>
                <w:color w:val="auto"/>
                <w:spacing w:val="4"/>
                <w:sz w:val="24"/>
                <w:szCs w:val="24"/>
                <w:highlight w:val="none"/>
                <w:u w:val="none" w:color="auto"/>
                <w:lang w:val="en-US" w:eastAsia="zh-CN"/>
              </w:rPr>
            </w:pPr>
            <w:r>
              <w:rPr>
                <w:rFonts w:hint="eastAsia" w:ascii="Times New Roman" w:hAnsi="Times New Roman" w:eastAsia="宋体" w:cs="Times New Roman"/>
                <w:color w:val="auto"/>
                <w:spacing w:val="4"/>
                <w:sz w:val="24"/>
                <w:szCs w:val="24"/>
                <w:highlight w:val="none"/>
                <w:u w:val="single" w:color="auto"/>
                <w:lang w:val="en-US" w:eastAsia="zh-CN"/>
              </w:rPr>
              <w:t>项目建设不改变总吞吐量和危险货物吞吐量，项目为普通集装箱堆场改为混堆危险货物集装箱堆场，项目不对堆场大小进行改建，项目不改变堆场堆存量，项目依托现有的机械设备和运输车辆、工作人员，不新增机械设备、车辆和工作人员，</w:t>
            </w:r>
            <w:r>
              <w:rPr>
                <w:rFonts w:hint="eastAsia" w:ascii="Times New Roman" w:hAnsi="Times New Roman" w:cs="Times New Roman"/>
                <w:color w:val="auto"/>
                <w:spacing w:val="4"/>
                <w:sz w:val="24"/>
                <w:szCs w:val="24"/>
                <w:highlight w:val="none"/>
                <w:u w:val="single" w:color="auto"/>
                <w:lang w:val="en-US" w:eastAsia="zh-CN"/>
              </w:rPr>
              <w:t>项目不增加堆场作业班次，</w:t>
            </w:r>
            <w:r>
              <w:rPr>
                <w:rFonts w:hint="eastAsia" w:ascii="Times New Roman" w:hAnsi="Times New Roman" w:eastAsia="宋体" w:cs="Times New Roman"/>
                <w:color w:val="auto"/>
                <w:spacing w:val="4"/>
                <w:sz w:val="24"/>
                <w:szCs w:val="24"/>
                <w:highlight w:val="none"/>
                <w:u w:val="single" w:color="auto"/>
                <w:lang w:val="en-US" w:eastAsia="zh-CN"/>
              </w:rPr>
              <w:t>不新增污染物</w:t>
            </w:r>
            <w:r>
              <w:rPr>
                <w:rFonts w:hint="eastAsia" w:ascii="Times New Roman" w:hAnsi="Times New Roman" w:cs="Times New Roman"/>
                <w:color w:val="auto"/>
                <w:spacing w:val="4"/>
                <w:sz w:val="24"/>
                <w:szCs w:val="24"/>
                <w:highlight w:val="none"/>
                <w:u w:val="single" w:color="auto"/>
                <w:lang w:val="en-US" w:eastAsia="zh-CN"/>
              </w:rPr>
              <w:t>，未造成大气及噪声影响增大。</w:t>
            </w:r>
            <w:r>
              <w:rPr>
                <w:rFonts w:hint="eastAsia" w:ascii="Times New Roman" w:hAnsi="Times New Roman" w:eastAsia="宋体" w:cs="Times New Roman"/>
                <w:color w:val="auto"/>
                <w:spacing w:val="4"/>
                <w:sz w:val="24"/>
                <w:szCs w:val="24"/>
                <w:highlight w:val="none"/>
                <w:u w:val="none" w:color="auto"/>
                <w:lang w:val="en-US" w:eastAsia="zh-CN"/>
              </w:rPr>
              <w:t>项目运营期产生的污染物主要为车辆运行产生的噪声和废气，</w:t>
            </w:r>
            <w:r>
              <w:rPr>
                <w:rFonts w:hint="eastAsia" w:ascii="Times New Roman" w:hAnsi="Times New Roman" w:cs="Times New Roman"/>
                <w:color w:val="auto"/>
                <w:spacing w:val="4"/>
                <w:sz w:val="24"/>
                <w:szCs w:val="24"/>
                <w:highlight w:val="none"/>
                <w:u w:val="none" w:color="auto"/>
                <w:lang w:val="en-US" w:eastAsia="zh-CN"/>
              </w:rPr>
              <w:t>机械设备运行噪声，</w:t>
            </w:r>
            <w:r>
              <w:rPr>
                <w:rFonts w:hint="eastAsia" w:ascii="Times New Roman" w:hAnsi="Times New Roman" w:eastAsia="宋体" w:cs="Times New Roman"/>
                <w:color w:val="auto"/>
                <w:spacing w:val="4"/>
                <w:sz w:val="24"/>
                <w:szCs w:val="24"/>
                <w:highlight w:val="none"/>
                <w:u w:val="none" w:color="auto"/>
                <w:lang w:val="en-US" w:eastAsia="zh-CN"/>
              </w:rPr>
              <w:t>设备维修产生的废润滑油和含油抹布以及工作人员产生的生活污水和生活垃圾。</w:t>
            </w:r>
          </w:p>
          <w:p w14:paraId="07050454">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4"/>
              <w:textAlignment w:val="auto"/>
              <w:rPr>
                <w:rFonts w:hint="eastAsia" w:ascii="Times New Roman" w:hAnsi="Times New Roman" w:eastAsia="宋体" w:cs="Times New Roman"/>
                <w:color w:val="auto"/>
                <w:spacing w:val="4"/>
                <w:sz w:val="24"/>
                <w:szCs w:val="24"/>
                <w:highlight w:val="none"/>
                <w:u w:val="none" w:color="auto"/>
                <w:lang w:val="en-US" w:eastAsia="zh-CN"/>
              </w:rPr>
            </w:pPr>
          </w:p>
          <w:p w14:paraId="3A1FD7C3">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3B541C97">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6F028363">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6F619D7E">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59036365">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3565D849">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4F6620D4">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46E5E4BC">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7B981CD7">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48519F7A">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23AA55FE">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2DFB444E">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737ECDE9">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681EEF3A">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76F7E3E2">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5F47B97C">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7C0B3962">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p w14:paraId="0F0AA650">
            <w:pPr>
              <w:pStyle w:val="14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4"/>
                <w:sz w:val="24"/>
                <w:szCs w:val="24"/>
                <w:highlight w:val="none"/>
                <w:u w:val="none" w:color="auto"/>
                <w:lang w:val="en-US" w:eastAsia="zh-CN"/>
              </w:rPr>
            </w:pPr>
          </w:p>
        </w:tc>
      </w:tr>
    </w:tbl>
    <w:p w14:paraId="740D735E">
      <w:pPr>
        <w:pStyle w:val="42"/>
        <w:adjustRightInd w:val="0"/>
        <w:snapToGrid w:val="0"/>
        <w:spacing w:before="0" w:beforeAutospacing="0" w:after="0" w:afterAutospacing="0"/>
        <w:jc w:val="center"/>
        <w:rPr>
          <w:rFonts w:hint="default" w:ascii="Times New Roman" w:hAnsi="Times New Roman" w:eastAsia="宋体" w:cs="Times New Roman"/>
          <w:color w:val="auto"/>
          <w:sz w:val="24"/>
          <w:szCs w:val="24"/>
          <w:highlight w:val="none"/>
          <w:u w:val="none" w:color="auto"/>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3142"/>
      </w:tblGrid>
      <w:tr w14:paraId="0569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9" w:hRule="atLeast"/>
        </w:trPr>
        <w:tc>
          <w:tcPr>
            <w:tcW w:w="1065" w:type="dxa"/>
            <w:vAlign w:val="center"/>
          </w:tcPr>
          <w:p w14:paraId="3AB07763">
            <w:pPr>
              <w:pStyle w:val="25"/>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highlight w:val="none"/>
                <w:u w:val="none" w:color="auto"/>
                <w:vertAlign w:val="baseline"/>
                <w:lang w:val="en-US" w:eastAsia="zh-CN"/>
              </w:rPr>
            </w:pPr>
            <w:r>
              <w:rPr>
                <w:rFonts w:hint="default" w:ascii="Times New Roman" w:hAnsi="Times New Roman" w:eastAsia="宋体" w:cs="Times New Roman"/>
                <w:bCs/>
                <w:color w:val="auto"/>
                <w:kern w:val="2"/>
                <w:sz w:val="24"/>
                <w:szCs w:val="24"/>
                <w:highlight w:val="none"/>
                <w:u w:val="none" w:color="auto"/>
              </w:rPr>
              <w:t>与项目有关的原有环境污染问题</w:t>
            </w:r>
          </w:p>
        </w:tc>
        <w:tc>
          <w:tcPr>
            <w:tcW w:w="12475" w:type="dxa"/>
          </w:tcPr>
          <w:p w14:paraId="6A4AF0FB">
            <w:pPr>
              <w:pStyle w:val="45"/>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22" w:firstLineChars="200"/>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u w:color="auto"/>
                <w:lang w:val="en-US" w:eastAsia="zh-CN" w:bidi="ar-SA"/>
              </w:rPr>
              <w:t>1、</w:t>
            </w:r>
            <w:r>
              <w:rPr>
                <w:rFonts w:hint="default" w:ascii="Times New Roman" w:hAnsi="Times New Roman" w:eastAsia="宋体" w:cs="Times New Roman"/>
                <w:b/>
                <w:bCs/>
                <w:color w:val="auto"/>
                <w:kern w:val="2"/>
                <w:sz w:val="24"/>
                <w:szCs w:val="24"/>
                <w:highlight w:val="none"/>
                <w:u w:val="none" w:color="auto"/>
                <w:lang w:val="en-US" w:eastAsia="zh-CN" w:bidi="ar-SA"/>
              </w:rPr>
              <w:t>现有工程概况</w:t>
            </w:r>
          </w:p>
          <w:p w14:paraId="6D8EEFE3">
            <w:pPr>
              <w:pStyle w:val="22"/>
              <w:keepNext w:val="0"/>
              <w:keepLines w:val="0"/>
              <w:numPr>
                <w:ilvl w:val="0"/>
                <w:numId w:val="0"/>
              </w:numPr>
              <w:suppressLineNumbers w:val="0"/>
              <w:spacing w:before="0" w:beforeAutospacing="0" w:afterAutospacing="0"/>
              <w:ind w:leftChars="400" w:right="0"/>
              <w:jc w:val="center"/>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 2-</w:t>
            </w:r>
            <w:r>
              <w:rPr>
                <w:rFonts w:hint="eastAsia" w:ascii="Times New Roman" w:hAnsi="Times New Roman" w:eastAsia="宋体" w:cs="Times New Roman"/>
                <w:b/>
                <w:bCs/>
                <w:color w:val="auto"/>
                <w:sz w:val="21"/>
                <w:szCs w:val="21"/>
                <w:highlight w:val="none"/>
                <w:u w:val="none" w:color="auto"/>
                <w:lang w:val="en-US" w:eastAsia="zh-CN"/>
              </w:rPr>
              <w:t>4</w:t>
            </w:r>
            <w:r>
              <w:rPr>
                <w:rFonts w:hint="default" w:ascii="Times New Roman" w:hAnsi="Times New Roman" w:eastAsia="宋体" w:cs="Times New Roman"/>
                <w:b/>
                <w:bCs/>
                <w:color w:val="auto"/>
                <w:sz w:val="21"/>
                <w:szCs w:val="21"/>
                <w:highlight w:val="none"/>
                <w:u w:val="none" w:color="auto"/>
                <w:lang w:val="en-US" w:eastAsia="zh-CN"/>
              </w:rPr>
              <w:t xml:space="preserve"> 大榄坪南作业区 1#~6#泊位建设及环保手续履行情况表</w:t>
            </w:r>
          </w:p>
          <w:tbl>
            <w:tblPr>
              <w:tblStyle w:val="143"/>
              <w:tblW w:w="1291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3"/>
              <w:gridCol w:w="858"/>
              <w:gridCol w:w="2118"/>
              <w:gridCol w:w="1489"/>
              <w:gridCol w:w="828"/>
              <w:gridCol w:w="1428"/>
              <w:gridCol w:w="828"/>
              <w:gridCol w:w="4484"/>
            </w:tblGrid>
            <w:tr w14:paraId="0FF5F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83" w:type="dxa"/>
                  <w:vMerge w:val="restart"/>
                  <w:tcBorders>
                    <w:bottom w:val="nil"/>
                  </w:tcBorders>
                  <w:vAlign w:val="center"/>
                </w:tcPr>
                <w:p w14:paraId="54121F14">
                  <w:pPr>
                    <w:spacing w:before="220" w:line="228" w:lineRule="auto"/>
                    <w:ind w:left="63"/>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5"/>
                      <w:sz w:val="20"/>
                      <w:szCs w:val="20"/>
                      <w:highlight w:val="none"/>
                      <w:u w:val="none" w:color="auto"/>
                    </w:rPr>
                    <w:t>项目阶段</w:t>
                  </w:r>
                </w:p>
              </w:tc>
              <w:tc>
                <w:tcPr>
                  <w:tcW w:w="858" w:type="dxa"/>
                  <w:vMerge w:val="restart"/>
                  <w:tcBorders>
                    <w:bottom w:val="nil"/>
                  </w:tcBorders>
                  <w:vAlign w:val="center"/>
                </w:tcPr>
                <w:p w14:paraId="694091E7">
                  <w:pPr>
                    <w:spacing w:before="220" w:line="228" w:lineRule="auto"/>
                    <w:ind w:left="43"/>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6"/>
                      <w:sz w:val="20"/>
                      <w:szCs w:val="20"/>
                      <w:highlight w:val="none"/>
                      <w:u w:val="none" w:color="auto"/>
                    </w:rPr>
                    <w:t>环保手续</w:t>
                  </w:r>
                </w:p>
              </w:tc>
              <w:tc>
                <w:tcPr>
                  <w:tcW w:w="2118" w:type="dxa"/>
                  <w:vMerge w:val="restart"/>
                  <w:tcBorders>
                    <w:bottom w:val="nil"/>
                  </w:tcBorders>
                  <w:vAlign w:val="center"/>
                </w:tcPr>
                <w:p w14:paraId="7C640291">
                  <w:pPr>
                    <w:spacing w:before="219" w:line="230" w:lineRule="auto"/>
                    <w:ind w:left="940"/>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2"/>
                      <w:sz w:val="20"/>
                      <w:szCs w:val="20"/>
                      <w:highlight w:val="none"/>
                      <w:u w:val="none" w:color="auto"/>
                    </w:rPr>
                    <w:t>名称</w:t>
                  </w:r>
                </w:p>
              </w:tc>
              <w:tc>
                <w:tcPr>
                  <w:tcW w:w="3745" w:type="dxa"/>
                  <w:gridSpan w:val="3"/>
                  <w:vAlign w:val="center"/>
                </w:tcPr>
                <w:p w14:paraId="7A3A1280">
                  <w:pPr>
                    <w:spacing w:before="54" w:line="228" w:lineRule="auto"/>
                    <w:ind w:left="1624"/>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3"/>
                      <w:sz w:val="20"/>
                      <w:szCs w:val="20"/>
                      <w:highlight w:val="none"/>
                      <w:u w:val="none" w:color="auto"/>
                    </w:rPr>
                    <w:t>审批情况</w:t>
                  </w:r>
                </w:p>
              </w:tc>
              <w:tc>
                <w:tcPr>
                  <w:tcW w:w="828" w:type="dxa"/>
                  <w:vMerge w:val="restart"/>
                  <w:tcBorders>
                    <w:bottom w:val="nil"/>
                  </w:tcBorders>
                  <w:vAlign w:val="center"/>
                </w:tcPr>
                <w:p w14:paraId="39174AE0">
                  <w:pPr>
                    <w:spacing w:before="219" w:line="228" w:lineRule="auto"/>
                    <w:ind w:left="34"/>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5"/>
                      <w:sz w:val="20"/>
                      <w:szCs w:val="20"/>
                      <w:highlight w:val="none"/>
                      <w:u w:val="none" w:color="auto"/>
                    </w:rPr>
                    <w:t>投产时间</w:t>
                  </w:r>
                </w:p>
              </w:tc>
              <w:tc>
                <w:tcPr>
                  <w:tcW w:w="4484" w:type="dxa"/>
                  <w:vMerge w:val="restart"/>
                  <w:tcBorders>
                    <w:bottom w:val="nil"/>
                  </w:tcBorders>
                  <w:vAlign w:val="center"/>
                </w:tcPr>
                <w:p w14:paraId="25337896">
                  <w:pPr>
                    <w:spacing w:before="219" w:line="228" w:lineRule="auto"/>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7"/>
                      <w:sz w:val="20"/>
                      <w:szCs w:val="20"/>
                      <w:highlight w:val="none"/>
                      <w:u w:val="none" w:color="auto"/>
                    </w:rPr>
                    <w:t>主要建设规模内容</w:t>
                  </w:r>
                </w:p>
              </w:tc>
            </w:tr>
            <w:tr w14:paraId="5A5B9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83" w:type="dxa"/>
                  <w:vMerge w:val="continue"/>
                  <w:tcBorders>
                    <w:top w:val="nil"/>
                  </w:tcBorders>
                  <w:vAlign w:val="center"/>
                </w:tcPr>
                <w:p w14:paraId="42E68E1C">
                  <w:pPr>
                    <w:jc w:val="center"/>
                    <w:rPr>
                      <w:rFonts w:ascii="Times New Roman" w:hAnsi="Times New Roman" w:eastAsia="宋体" w:cs="Times New Roman"/>
                      <w:color w:val="auto"/>
                      <w:sz w:val="21"/>
                      <w:highlight w:val="none"/>
                      <w:u w:val="none" w:color="auto"/>
                    </w:rPr>
                  </w:pPr>
                </w:p>
              </w:tc>
              <w:tc>
                <w:tcPr>
                  <w:tcW w:w="858" w:type="dxa"/>
                  <w:vMerge w:val="continue"/>
                  <w:tcBorders>
                    <w:top w:val="nil"/>
                  </w:tcBorders>
                  <w:vAlign w:val="center"/>
                </w:tcPr>
                <w:p w14:paraId="2F5EFA69">
                  <w:pPr>
                    <w:jc w:val="center"/>
                    <w:rPr>
                      <w:rFonts w:ascii="Times New Roman" w:hAnsi="Times New Roman" w:eastAsia="宋体" w:cs="Times New Roman"/>
                      <w:color w:val="auto"/>
                      <w:sz w:val="21"/>
                      <w:highlight w:val="none"/>
                      <w:u w:val="none" w:color="auto"/>
                    </w:rPr>
                  </w:pPr>
                </w:p>
              </w:tc>
              <w:tc>
                <w:tcPr>
                  <w:tcW w:w="2118" w:type="dxa"/>
                  <w:vMerge w:val="continue"/>
                  <w:tcBorders>
                    <w:top w:val="nil"/>
                  </w:tcBorders>
                  <w:vAlign w:val="center"/>
                </w:tcPr>
                <w:p w14:paraId="5DD227DC">
                  <w:pPr>
                    <w:jc w:val="center"/>
                    <w:rPr>
                      <w:rFonts w:ascii="Times New Roman" w:hAnsi="Times New Roman" w:eastAsia="宋体" w:cs="Times New Roman"/>
                      <w:color w:val="auto"/>
                      <w:sz w:val="21"/>
                      <w:highlight w:val="none"/>
                      <w:u w:val="none" w:color="auto"/>
                    </w:rPr>
                  </w:pPr>
                </w:p>
              </w:tc>
              <w:tc>
                <w:tcPr>
                  <w:tcW w:w="1489" w:type="dxa"/>
                  <w:vAlign w:val="center"/>
                </w:tcPr>
                <w:p w14:paraId="38FD2222">
                  <w:pPr>
                    <w:spacing w:before="47" w:line="228" w:lineRule="auto"/>
                    <w:ind w:left="398"/>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3"/>
                      <w:sz w:val="20"/>
                      <w:szCs w:val="20"/>
                      <w:highlight w:val="none"/>
                      <w:u w:val="none" w:color="auto"/>
                    </w:rPr>
                    <w:t>审批部门</w:t>
                  </w:r>
                </w:p>
              </w:tc>
              <w:tc>
                <w:tcPr>
                  <w:tcW w:w="828" w:type="dxa"/>
                  <w:vAlign w:val="center"/>
                </w:tcPr>
                <w:p w14:paraId="2366D37D">
                  <w:pPr>
                    <w:spacing w:before="48" w:line="228" w:lineRule="auto"/>
                    <w:ind w:left="39"/>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3"/>
                      <w:sz w:val="20"/>
                      <w:szCs w:val="20"/>
                      <w:highlight w:val="none"/>
                      <w:u w:val="none" w:color="auto"/>
                    </w:rPr>
                    <w:t>审批时间</w:t>
                  </w:r>
                </w:p>
              </w:tc>
              <w:tc>
                <w:tcPr>
                  <w:tcW w:w="1428" w:type="dxa"/>
                  <w:vAlign w:val="center"/>
                </w:tcPr>
                <w:p w14:paraId="12D6DACD">
                  <w:pPr>
                    <w:spacing w:before="48" w:line="228" w:lineRule="auto"/>
                    <w:ind w:left="367"/>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b/>
                      <w:bCs/>
                      <w:color w:val="auto"/>
                      <w:spacing w:val="3"/>
                      <w:sz w:val="20"/>
                      <w:szCs w:val="20"/>
                      <w:highlight w:val="none"/>
                      <w:u w:val="none" w:color="auto"/>
                    </w:rPr>
                    <w:t>审批文号</w:t>
                  </w:r>
                </w:p>
              </w:tc>
              <w:tc>
                <w:tcPr>
                  <w:tcW w:w="828" w:type="dxa"/>
                  <w:vMerge w:val="continue"/>
                  <w:tcBorders>
                    <w:top w:val="nil"/>
                  </w:tcBorders>
                  <w:vAlign w:val="center"/>
                </w:tcPr>
                <w:p w14:paraId="0CAA28A0">
                  <w:pPr>
                    <w:jc w:val="center"/>
                    <w:rPr>
                      <w:rFonts w:ascii="Times New Roman" w:hAnsi="Times New Roman" w:eastAsia="宋体" w:cs="Times New Roman"/>
                      <w:color w:val="auto"/>
                      <w:sz w:val="21"/>
                      <w:highlight w:val="none"/>
                      <w:u w:val="none" w:color="auto"/>
                    </w:rPr>
                  </w:pPr>
                </w:p>
              </w:tc>
              <w:tc>
                <w:tcPr>
                  <w:tcW w:w="4484" w:type="dxa"/>
                  <w:vMerge w:val="continue"/>
                  <w:tcBorders>
                    <w:top w:val="nil"/>
                  </w:tcBorders>
                  <w:vAlign w:val="center"/>
                </w:tcPr>
                <w:p w14:paraId="72636DD9">
                  <w:pPr>
                    <w:jc w:val="center"/>
                    <w:rPr>
                      <w:rFonts w:ascii="Times New Roman" w:hAnsi="Times New Roman" w:eastAsia="宋体" w:cs="Times New Roman"/>
                      <w:color w:val="auto"/>
                      <w:sz w:val="21"/>
                      <w:highlight w:val="none"/>
                      <w:u w:val="none" w:color="auto"/>
                    </w:rPr>
                  </w:pPr>
                </w:p>
              </w:tc>
            </w:tr>
            <w:tr w14:paraId="7AAD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883" w:type="dxa"/>
                  <w:vMerge w:val="restart"/>
                  <w:tcBorders>
                    <w:bottom w:val="nil"/>
                  </w:tcBorders>
                  <w:vAlign w:val="center"/>
                </w:tcPr>
                <w:p w14:paraId="06DFB37D">
                  <w:pPr>
                    <w:spacing w:before="65" w:line="239" w:lineRule="auto"/>
                    <w:ind w:left="132" w:leftChars="0" w:right="57" w:hanging="68" w:firstLineChars="0"/>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6"/>
                      <w:sz w:val="20"/>
                      <w:szCs w:val="20"/>
                      <w:highlight w:val="none"/>
                      <w:u w:val="none" w:color="auto"/>
                    </w:rPr>
                    <w:t>危废暂存</w:t>
                  </w:r>
                  <w:r>
                    <w:rPr>
                      <w:rFonts w:ascii="Times New Roman" w:hAnsi="Times New Roman" w:eastAsia="宋体" w:cs="Times New Roman"/>
                      <w:color w:val="auto"/>
                      <w:sz w:val="20"/>
                      <w:szCs w:val="20"/>
                      <w:highlight w:val="none"/>
                      <w:u w:val="none" w:color="auto"/>
                    </w:rPr>
                    <w:t>库</w:t>
                  </w:r>
                </w:p>
              </w:tc>
              <w:tc>
                <w:tcPr>
                  <w:tcW w:w="858" w:type="dxa"/>
                  <w:vAlign w:val="center"/>
                </w:tcPr>
                <w:p w14:paraId="519D90B5">
                  <w:pPr>
                    <w:spacing w:before="305" w:line="228" w:lineRule="auto"/>
                    <w:ind w:left="255"/>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4"/>
                      <w:sz w:val="20"/>
                      <w:szCs w:val="20"/>
                      <w:highlight w:val="none"/>
                      <w:u w:val="none" w:color="auto"/>
                    </w:rPr>
                    <w:t>环评</w:t>
                  </w:r>
                </w:p>
              </w:tc>
              <w:tc>
                <w:tcPr>
                  <w:tcW w:w="2118" w:type="dxa"/>
                  <w:vAlign w:val="center"/>
                </w:tcPr>
                <w:p w14:paraId="77E5E7B9">
                  <w:pPr>
                    <w:spacing w:before="34" w:line="239" w:lineRule="auto"/>
                    <w:ind w:left="87" w:right="73" w:firstLine="16"/>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8"/>
                      <w:sz w:val="20"/>
                      <w:szCs w:val="20"/>
                      <w:highlight w:val="none"/>
                      <w:u w:val="none" w:color="auto"/>
                    </w:rPr>
                    <w:t>《钦州港大榄坪南作业</w:t>
                  </w:r>
                  <w:r>
                    <w:rPr>
                      <w:rFonts w:ascii="Times New Roman" w:hAnsi="Times New Roman" w:eastAsia="宋体" w:cs="Times New Roman"/>
                      <w:color w:val="auto"/>
                      <w:spacing w:val="6"/>
                      <w:sz w:val="20"/>
                      <w:szCs w:val="20"/>
                      <w:highlight w:val="none"/>
                      <w:u w:val="none" w:color="auto"/>
                    </w:rPr>
                    <w:t>区2#泊位危废库项目环境影响报告表》</w:t>
                  </w:r>
                </w:p>
              </w:tc>
              <w:tc>
                <w:tcPr>
                  <w:tcW w:w="1489" w:type="dxa"/>
                  <w:vAlign w:val="center"/>
                </w:tcPr>
                <w:p w14:paraId="7D9CBEEB">
                  <w:pPr>
                    <w:spacing w:beforeAutospacing="0"/>
                    <w:ind w:left="0" w:leftChars="0" w:right="72" w:firstLine="73" w:firstLineChars="0"/>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8"/>
                      <w:sz w:val="20"/>
                      <w:szCs w:val="20"/>
                      <w:highlight w:val="none"/>
                      <w:u w:val="none" w:color="auto"/>
                    </w:rPr>
                    <w:t>钦州市生态环境</w:t>
                  </w:r>
                  <w:r>
                    <w:rPr>
                      <w:rFonts w:ascii="Times New Roman" w:hAnsi="Times New Roman" w:eastAsia="宋体" w:cs="Times New Roman"/>
                      <w:color w:val="auto"/>
                      <w:sz w:val="20"/>
                      <w:szCs w:val="20"/>
                      <w:highlight w:val="none"/>
                      <w:u w:val="none" w:color="auto"/>
                    </w:rPr>
                    <w:t>局</w:t>
                  </w:r>
                </w:p>
              </w:tc>
              <w:tc>
                <w:tcPr>
                  <w:tcW w:w="828" w:type="dxa"/>
                  <w:vAlign w:val="center"/>
                </w:tcPr>
                <w:p w14:paraId="01583CC9">
                  <w:pPr>
                    <w:spacing w:before="58" w:line="195" w:lineRule="auto"/>
                    <w:ind w:left="159"/>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2"/>
                      <w:sz w:val="20"/>
                      <w:szCs w:val="20"/>
                      <w:highlight w:val="none"/>
                      <w:u w:val="none" w:color="auto"/>
                    </w:rPr>
                    <w:t>2022.1</w:t>
                  </w:r>
                </w:p>
              </w:tc>
              <w:tc>
                <w:tcPr>
                  <w:tcW w:w="1428" w:type="dxa"/>
                  <w:vAlign w:val="center"/>
                </w:tcPr>
                <w:p w14:paraId="3D83E2B4">
                  <w:pPr>
                    <w:spacing w:before="170"/>
                    <w:ind w:left="76" w:leftChars="36" w:right="36" w:firstLine="0" w:firstLineChars="0"/>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3"/>
                      <w:sz w:val="20"/>
                      <w:szCs w:val="20"/>
                      <w:highlight w:val="none"/>
                      <w:u w:val="none" w:color="auto"/>
                    </w:rPr>
                    <w:t>自贸钦港审批环</w:t>
                  </w:r>
                  <w:r>
                    <w:rPr>
                      <w:rFonts w:ascii="Times New Roman" w:hAnsi="Times New Roman" w:eastAsia="宋体" w:cs="Times New Roman"/>
                      <w:color w:val="auto"/>
                      <w:spacing w:val="1"/>
                      <w:sz w:val="20"/>
                      <w:szCs w:val="20"/>
                      <w:highlight w:val="none"/>
                      <w:u w:val="none" w:color="auto"/>
                    </w:rPr>
                    <w:t>〔2022〕3号</w:t>
                  </w:r>
                </w:p>
              </w:tc>
              <w:tc>
                <w:tcPr>
                  <w:tcW w:w="828" w:type="dxa"/>
                  <w:vMerge w:val="restart"/>
                  <w:tcBorders>
                    <w:bottom w:val="nil"/>
                  </w:tcBorders>
                  <w:vAlign w:val="center"/>
                </w:tcPr>
                <w:p w14:paraId="33525AF6">
                  <w:pPr>
                    <w:spacing w:before="58" w:line="195" w:lineRule="auto"/>
                    <w:ind w:left="162"/>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3"/>
                      <w:sz w:val="20"/>
                      <w:szCs w:val="20"/>
                      <w:highlight w:val="none"/>
                      <w:u w:val="none" w:color="auto"/>
                    </w:rPr>
                    <w:t>2022.2</w:t>
                  </w:r>
                </w:p>
              </w:tc>
              <w:tc>
                <w:tcPr>
                  <w:tcW w:w="4484" w:type="dxa"/>
                  <w:vMerge w:val="restart"/>
                  <w:tcBorders>
                    <w:bottom w:val="nil"/>
                  </w:tcBorders>
                  <w:vAlign w:val="center"/>
                </w:tcPr>
                <w:p w14:paraId="5BF97C23">
                  <w:pPr>
                    <w:spacing w:before="65" w:line="243" w:lineRule="auto"/>
                    <w:ind w:left="32" w:right="26" w:firstLine="1"/>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3"/>
                      <w:sz w:val="20"/>
                      <w:szCs w:val="20"/>
                      <w:highlight w:val="none"/>
                      <w:u w:val="none" w:color="auto"/>
                    </w:rPr>
                    <w:t>主要建设1座154m</w:t>
                  </w:r>
                  <w:r>
                    <w:rPr>
                      <w:rFonts w:ascii="Times New Roman" w:hAnsi="Times New Roman" w:eastAsia="宋体" w:cs="Times New Roman"/>
                      <w:color w:val="auto"/>
                      <w:spacing w:val="3"/>
                      <w:position w:val="6"/>
                      <w:sz w:val="13"/>
                      <w:szCs w:val="13"/>
                      <w:highlight w:val="none"/>
                      <w:u w:val="none" w:color="auto"/>
                    </w:rPr>
                    <w:t>2</w:t>
                  </w:r>
                  <w:r>
                    <w:rPr>
                      <w:rFonts w:ascii="Times New Roman" w:hAnsi="Times New Roman" w:eastAsia="宋体" w:cs="Times New Roman"/>
                      <w:color w:val="auto"/>
                      <w:spacing w:val="3"/>
                      <w:sz w:val="20"/>
                      <w:szCs w:val="20"/>
                      <w:highlight w:val="none"/>
                      <w:u w:val="none" w:color="auto"/>
                    </w:rPr>
                    <w:t>的危废物暂存库（包括危废暂存</w:t>
                  </w:r>
                  <w:r>
                    <w:rPr>
                      <w:rFonts w:ascii="Times New Roman" w:hAnsi="Times New Roman" w:eastAsia="宋体" w:cs="Times New Roman"/>
                      <w:color w:val="auto"/>
                      <w:spacing w:val="8"/>
                      <w:sz w:val="20"/>
                      <w:szCs w:val="20"/>
                      <w:highlight w:val="none"/>
                      <w:u w:val="none" w:color="auto"/>
                    </w:rPr>
                    <w:t>区、值班室、应急物资仓库、沙池导流沟、应急收集池等）。项目主要为收集、贮存钦州港大榄南作业区</w:t>
                  </w:r>
                  <w:r>
                    <w:rPr>
                      <w:rFonts w:ascii="Times New Roman" w:hAnsi="Times New Roman" w:eastAsia="宋体" w:cs="Times New Roman"/>
                      <w:color w:val="auto"/>
                      <w:spacing w:val="5"/>
                      <w:sz w:val="20"/>
                      <w:szCs w:val="20"/>
                      <w:highlight w:val="none"/>
                      <w:u w:val="none" w:color="auto"/>
                    </w:rPr>
                    <w:t>1#-6#泊位产生的危险废物。</w:t>
                  </w:r>
                </w:p>
              </w:tc>
            </w:tr>
            <w:tr w14:paraId="098B8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883" w:type="dxa"/>
                  <w:vMerge w:val="continue"/>
                  <w:tcBorders>
                    <w:top w:val="nil"/>
                    <w:bottom w:val="single" w:color="auto" w:sz="4" w:space="0"/>
                  </w:tcBorders>
                  <w:vAlign w:val="center"/>
                </w:tcPr>
                <w:p w14:paraId="1551B2EA">
                  <w:pPr>
                    <w:jc w:val="center"/>
                    <w:rPr>
                      <w:rFonts w:ascii="Times New Roman" w:hAnsi="Times New Roman" w:eastAsia="宋体" w:cs="Times New Roman"/>
                      <w:color w:val="auto"/>
                      <w:sz w:val="21"/>
                      <w:highlight w:val="none"/>
                      <w:u w:val="none" w:color="auto"/>
                    </w:rPr>
                  </w:pPr>
                </w:p>
              </w:tc>
              <w:tc>
                <w:tcPr>
                  <w:tcW w:w="858" w:type="dxa"/>
                  <w:vAlign w:val="center"/>
                </w:tcPr>
                <w:p w14:paraId="398BCD87">
                  <w:pPr>
                    <w:spacing w:before="65" w:line="228" w:lineRule="auto"/>
                    <w:ind w:left="43"/>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7"/>
                      <w:sz w:val="20"/>
                      <w:szCs w:val="20"/>
                      <w:highlight w:val="none"/>
                      <w:u w:val="none" w:color="auto"/>
                    </w:rPr>
                    <w:t>环保验收</w:t>
                  </w:r>
                </w:p>
              </w:tc>
              <w:tc>
                <w:tcPr>
                  <w:tcW w:w="2118" w:type="dxa"/>
                  <w:vAlign w:val="center"/>
                </w:tcPr>
                <w:p w14:paraId="6A0B4CE8">
                  <w:pPr>
                    <w:spacing w:before="35" w:line="243" w:lineRule="auto"/>
                    <w:ind w:left="87" w:right="73" w:firstLine="16"/>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8"/>
                      <w:sz w:val="20"/>
                      <w:szCs w:val="20"/>
                      <w:highlight w:val="none"/>
                      <w:u w:val="none" w:color="auto"/>
                    </w:rPr>
                    <w:t>《钦州港大榄坪南作业</w:t>
                  </w:r>
                  <w:r>
                    <w:rPr>
                      <w:rFonts w:ascii="Times New Roman" w:hAnsi="Times New Roman" w:eastAsia="宋体" w:cs="Times New Roman"/>
                      <w:color w:val="auto"/>
                      <w:spacing w:val="6"/>
                      <w:sz w:val="20"/>
                      <w:szCs w:val="20"/>
                      <w:highlight w:val="none"/>
                      <w:u w:val="none" w:color="auto"/>
                    </w:rPr>
                    <w:t>区2#泊位危废库项目竣</w:t>
                  </w:r>
                  <w:r>
                    <w:rPr>
                      <w:rFonts w:ascii="Times New Roman" w:hAnsi="Times New Roman" w:eastAsia="宋体" w:cs="Times New Roman"/>
                      <w:color w:val="auto"/>
                      <w:spacing w:val="10"/>
                      <w:sz w:val="20"/>
                      <w:szCs w:val="20"/>
                      <w:highlight w:val="none"/>
                      <w:u w:val="none" w:color="auto"/>
                    </w:rPr>
                    <w:t>工环境保护验收调查报</w:t>
                  </w:r>
                  <w:r>
                    <w:rPr>
                      <w:rFonts w:ascii="Times New Roman" w:hAnsi="Times New Roman" w:eastAsia="宋体" w:cs="Times New Roman"/>
                      <w:color w:val="auto"/>
                      <w:spacing w:val="-3"/>
                      <w:sz w:val="20"/>
                      <w:szCs w:val="20"/>
                      <w:highlight w:val="none"/>
                      <w:u w:val="none" w:color="auto"/>
                    </w:rPr>
                    <w:t>告》</w:t>
                  </w:r>
                </w:p>
              </w:tc>
              <w:tc>
                <w:tcPr>
                  <w:tcW w:w="1489" w:type="dxa"/>
                  <w:vAlign w:val="center"/>
                </w:tcPr>
                <w:p w14:paraId="6BADDCF4">
                  <w:pPr>
                    <w:spacing w:before="65" w:line="228" w:lineRule="auto"/>
                    <w:ind w:left="0" w:leftChars="0" w:firstLine="0" w:firstLineChars="0"/>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2"/>
                      <w:sz w:val="20"/>
                      <w:szCs w:val="20"/>
                      <w:highlight w:val="none"/>
                      <w:u w:val="none" w:color="auto"/>
                    </w:rPr>
                    <w:t>自主验收</w:t>
                  </w:r>
                </w:p>
              </w:tc>
              <w:tc>
                <w:tcPr>
                  <w:tcW w:w="828" w:type="dxa"/>
                  <w:vAlign w:val="center"/>
                </w:tcPr>
                <w:p w14:paraId="5D5EF515">
                  <w:pPr>
                    <w:spacing w:before="58" w:line="195" w:lineRule="auto"/>
                    <w:ind w:left="159"/>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3"/>
                      <w:sz w:val="20"/>
                      <w:szCs w:val="20"/>
                      <w:highlight w:val="none"/>
                      <w:u w:val="none" w:color="auto"/>
                    </w:rPr>
                    <w:t>2022.2</w:t>
                  </w:r>
                </w:p>
              </w:tc>
              <w:tc>
                <w:tcPr>
                  <w:tcW w:w="1428" w:type="dxa"/>
                  <w:vAlign w:val="center"/>
                </w:tcPr>
                <w:p w14:paraId="11259BD0">
                  <w:pPr>
                    <w:spacing w:before="58" w:line="199" w:lineRule="auto"/>
                    <w:ind w:left="742"/>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2"/>
                      <w:sz w:val="20"/>
                      <w:szCs w:val="20"/>
                      <w:highlight w:val="none"/>
                      <w:u w:val="none" w:color="auto"/>
                    </w:rPr>
                    <w:t>/</w:t>
                  </w:r>
                </w:p>
              </w:tc>
              <w:tc>
                <w:tcPr>
                  <w:tcW w:w="828" w:type="dxa"/>
                  <w:vMerge w:val="continue"/>
                  <w:tcBorders>
                    <w:top w:val="nil"/>
                  </w:tcBorders>
                  <w:vAlign w:val="center"/>
                </w:tcPr>
                <w:p w14:paraId="050FF7A6">
                  <w:pPr>
                    <w:jc w:val="center"/>
                    <w:rPr>
                      <w:rFonts w:ascii="Times New Roman" w:hAnsi="Times New Roman" w:eastAsia="宋体" w:cs="Times New Roman"/>
                      <w:color w:val="auto"/>
                      <w:sz w:val="21"/>
                      <w:highlight w:val="none"/>
                      <w:u w:val="none" w:color="auto"/>
                    </w:rPr>
                  </w:pPr>
                </w:p>
              </w:tc>
              <w:tc>
                <w:tcPr>
                  <w:tcW w:w="4484" w:type="dxa"/>
                  <w:vMerge w:val="continue"/>
                  <w:tcBorders>
                    <w:top w:val="nil"/>
                  </w:tcBorders>
                  <w:vAlign w:val="center"/>
                </w:tcPr>
                <w:p w14:paraId="3A535BD7">
                  <w:pPr>
                    <w:jc w:val="center"/>
                    <w:rPr>
                      <w:rFonts w:ascii="Times New Roman" w:hAnsi="Times New Roman" w:eastAsia="宋体" w:cs="Times New Roman"/>
                      <w:color w:val="auto"/>
                      <w:sz w:val="21"/>
                      <w:highlight w:val="none"/>
                      <w:u w:val="none" w:color="auto"/>
                    </w:rPr>
                  </w:pPr>
                </w:p>
              </w:tc>
            </w:tr>
            <w:tr w14:paraId="0DE7B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1" w:hRule="atLeast"/>
              </w:trPr>
              <w:tc>
                <w:tcPr>
                  <w:tcW w:w="883" w:type="dxa"/>
                  <w:vMerge w:val="restart"/>
                  <w:tcBorders>
                    <w:top w:val="single" w:color="auto" w:sz="4" w:space="0"/>
                    <w:left w:val="single" w:color="auto" w:sz="4" w:space="0"/>
                    <w:bottom w:val="single" w:color="auto" w:sz="4" w:space="0"/>
                    <w:right w:val="single" w:color="auto" w:sz="4" w:space="0"/>
                  </w:tcBorders>
                  <w:vAlign w:val="center"/>
                </w:tcPr>
                <w:p w14:paraId="7D7F74BF">
                  <w:pPr>
                    <w:spacing w:before="65" w:line="227" w:lineRule="auto"/>
                    <w:ind w:left="62"/>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7"/>
                      <w:sz w:val="20"/>
                      <w:szCs w:val="20"/>
                      <w:highlight w:val="none"/>
                      <w:u w:val="none" w:color="auto"/>
                    </w:rPr>
                    <w:t>钦州港大榄坪南作</w:t>
                  </w:r>
                  <w:r>
                    <w:rPr>
                      <w:rFonts w:ascii="Times New Roman" w:hAnsi="Times New Roman" w:eastAsia="宋体" w:cs="Times New Roman"/>
                      <w:color w:val="auto"/>
                      <w:spacing w:val="6"/>
                      <w:sz w:val="20"/>
                      <w:szCs w:val="20"/>
                      <w:highlight w:val="none"/>
                      <w:u w:val="none" w:color="auto"/>
                    </w:rPr>
                    <w:t>业区</w:t>
                  </w:r>
                  <w:r>
                    <w:rPr>
                      <w:rFonts w:ascii="Times New Roman" w:hAnsi="Times New Roman" w:eastAsia="宋体" w:cs="Times New Roman"/>
                      <w:color w:val="auto"/>
                      <w:spacing w:val="1"/>
                      <w:sz w:val="20"/>
                      <w:szCs w:val="20"/>
                      <w:highlight w:val="none"/>
                      <w:u w:val="none" w:color="auto"/>
                    </w:rPr>
                    <w:t>1#-6#泊</w:t>
                  </w:r>
                  <w:r>
                    <w:rPr>
                      <w:rFonts w:ascii="Times New Roman" w:hAnsi="Times New Roman" w:eastAsia="宋体" w:cs="Times New Roman"/>
                      <w:color w:val="auto"/>
                      <w:spacing w:val="7"/>
                      <w:sz w:val="20"/>
                      <w:szCs w:val="20"/>
                      <w:highlight w:val="none"/>
                      <w:u w:val="none" w:color="auto"/>
                    </w:rPr>
                    <w:t>位新增危</w:t>
                  </w:r>
                  <w:r>
                    <w:rPr>
                      <w:rFonts w:ascii="Times New Roman" w:hAnsi="Times New Roman" w:eastAsia="宋体" w:cs="Times New Roman"/>
                      <w:color w:val="auto"/>
                      <w:spacing w:val="4"/>
                      <w:sz w:val="20"/>
                      <w:szCs w:val="20"/>
                      <w:highlight w:val="none"/>
                      <w:u w:val="none" w:color="auto"/>
                    </w:rPr>
                    <w:t>险货物集</w:t>
                  </w:r>
                  <w:r>
                    <w:rPr>
                      <w:rFonts w:ascii="Times New Roman" w:hAnsi="Times New Roman" w:eastAsia="宋体" w:cs="Times New Roman"/>
                      <w:color w:val="auto"/>
                      <w:spacing w:val="7"/>
                      <w:sz w:val="20"/>
                      <w:szCs w:val="20"/>
                      <w:highlight w:val="none"/>
                      <w:u w:val="none" w:color="auto"/>
                    </w:rPr>
                    <w:t>装箱项目</w:t>
                  </w:r>
                  <w:r>
                    <w:rPr>
                      <w:rFonts w:ascii="Times New Roman" w:hAnsi="Times New Roman" w:eastAsia="宋体" w:cs="Times New Roman"/>
                      <w:color w:val="auto"/>
                      <w:spacing w:val="4"/>
                      <w:sz w:val="20"/>
                      <w:szCs w:val="20"/>
                      <w:highlight w:val="none"/>
                      <w:u w:val="none" w:color="auto"/>
                    </w:rPr>
                    <w:t>（重大变</w:t>
                  </w:r>
                  <w:r>
                    <w:rPr>
                      <w:rFonts w:ascii="Times New Roman" w:hAnsi="Times New Roman" w:eastAsia="宋体" w:cs="Times New Roman"/>
                      <w:color w:val="auto"/>
                      <w:sz w:val="20"/>
                      <w:szCs w:val="20"/>
                      <w:highlight w:val="none"/>
                      <w:u w:val="none" w:color="auto"/>
                    </w:rPr>
                    <w:t>动）</w:t>
                  </w:r>
                </w:p>
              </w:tc>
              <w:tc>
                <w:tcPr>
                  <w:tcW w:w="858" w:type="dxa"/>
                  <w:tcBorders>
                    <w:left w:val="single" w:color="auto" w:sz="4" w:space="0"/>
                  </w:tcBorders>
                  <w:vAlign w:val="center"/>
                </w:tcPr>
                <w:p w14:paraId="5B4129F4">
                  <w:pPr>
                    <w:spacing w:before="305" w:line="239" w:lineRule="auto"/>
                    <w:ind w:left="44" w:right="48"/>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7"/>
                      <w:sz w:val="20"/>
                      <w:szCs w:val="20"/>
                      <w:highlight w:val="none"/>
                      <w:u w:val="none" w:color="auto"/>
                    </w:rPr>
                    <w:t>重大变动重新环评</w:t>
                  </w:r>
                </w:p>
              </w:tc>
              <w:tc>
                <w:tcPr>
                  <w:tcW w:w="2118" w:type="dxa"/>
                  <w:vAlign w:val="center"/>
                </w:tcPr>
                <w:p w14:paraId="113FE5FD">
                  <w:pPr>
                    <w:spacing w:before="29" w:line="243" w:lineRule="auto"/>
                    <w:ind w:left="53" w:right="37" w:firstLine="49"/>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8"/>
                      <w:sz w:val="20"/>
                      <w:szCs w:val="20"/>
                      <w:highlight w:val="none"/>
                      <w:u w:val="none" w:color="auto"/>
                    </w:rPr>
                    <w:t>《钦州港大榄坪南作业</w:t>
                  </w:r>
                  <w:r>
                    <w:rPr>
                      <w:rFonts w:ascii="Times New Roman" w:hAnsi="Times New Roman" w:eastAsia="宋体" w:cs="Times New Roman"/>
                      <w:color w:val="auto"/>
                      <w:spacing w:val="4"/>
                      <w:sz w:val="20"/>
                      <w:szCs w:val="20"/>
                      <w:highlight w:val="none"/>
                      <w:u w:val="none" w:color="auto"/>
                    </w:rPr>
                    <w:t>区1#-6#泊位新增危险货</w:t>
                  </w:r>
                  <w:r>
                    <w:rPr>
                      <w:rFonts w:ascii="Times New Roman" w:hAnsi="Times New Roman" w:eastAsia="宋体" w:cs="Times New Roman"/>
                      <w:color w:val="auto"/>
                      <w:spacing w:val="13"/>
                      <w:sz w:val="20"/>
                      <w:szCs w:val="20"/>
                      <w:highlight w:val="none"/>
                      <w:u w:val="none" w:color="auto"/>
                    </w:rPr>
                    <w:t>物集装箱项目（重大变</w:t>
                  </w:r>
                  <w:r>
                    <w:rPr>
                      <w:rFonts w:ascii="Times New Roman" w:hAnsi="Times New Roman" w:eastAsia="宋体" w:cs="Times New Roman"/>
                      <w:color w:val="auto"/>
                      <w:spacing w:val="12"/>
                      <w:sz w:val="20"/>
                      <w:szCs w:val="20"/>
                      <w:highlight w:val="none"/>
                      <w:u w:val="none" w:color="auto"/>
                    </w:rPr>
                    <w:t>动）环境影响报告书》</w:t>
                  </w:r>
                </w:p>
              </w:tc>
              <w:tc>
                <w:tcPr>
                  <w:tcW w:w="1489" w:type="dxa"/>
                  <w:vAlign w:val="center"/>
                </w:tcPr>
                <w:p w14:paraId="15402107">
                  <w:pPr>
                    <w:spacing w:before="303"/>
                    <w:ind w:left="0" w:leftChars="0" w:right="72" w:firstLine="73" w:firstLineChars="0"/>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8"/>
                      <w:sz w:val="20"/>
                      <w:szCs w:val="20"/>
                      <w:highlight w:val="none"/>
                      <w:u w:val="none" w:color="auto"/>
                    </w:rPr>
                    <w:t>钦州市生态环境</w:t>
                  </w:r>
                  <w:r>
                    <w:rPr>
                      <w:rFonts w:ascii="Times New Roman" w:hAnsi="Times New Roman" w:eastAsia="宋体" w:cs="Times New Roman"/>
                      <w:color w:val="auto"/>
                      <w:sz w:val="20"/>
                      <w:szCs w:val="20"/>
                      <w:highlight w:val="none"/>
                      <w:u w:val="none" w:color="auto"/>
                    </w:rPr>
                    <w:t>局</w:t>
                  </w:r>
                </w:p>
              </w:tc>
              <w:tc>
                <w:tcPr>
                  <w:tcW w:w="828" w:type="dxa"/>
                  <w:vAlign w:val="center"/>
                </w:tcPr>
                <w:p w14:paraId="11B657D6">
                  <w:pPr>
                    <w:spacing w:before="65" w:line="189" w:lineRule="auto"/>
                    <w:ind w:left="139"/>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3"/>
                      <w:sz w:val="20"/>
                      <w:szCs w:val="20"/>
                      <w:highlight w:val="none"/>
                      <w:u w:val="none" w:color="auto"/>
                    </w:rPr>
                    <w:t>2024.7</w:t>
                  </w:r>
                </w:p>
              </w:tc>
              <w:tc>
                <w:tcPr>
                  <w:tcW w:w="1428" w:type="dxa"/>
                  <w:vAlign w:val="center"/>
                </w:tcPr>
                <w:p w14:paraId="1E3FDE49">
                  <w:pPr>
                    <w:spacing w:before="303"/>
                    <w:ind w:left="149" w:right="115" w:firstLine="32"/>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2"/>
                      <w:sz w:val="20"/>
                      <w:szCs w:val="20"/>
                      <w:highlight w:val="none"/>
                      <w:u w:val="none" w:color="auto"/>
                    </w:rPr>
                    <w:t>自贸钦审批环</w:t>
                  </w:r>
                  <w:r>
                    <w:rPr>
                      <w:rFonts w:ascii="Times New Roman" w:hAnsi="Times New Roman" w:eastAsia="宋体" w:cs="Times New Roman"/>
                      <w:color w:val="auto"/>
                      <w:spacing w:val="1"/>
                      <w:sz w:val="20"/>
                      <w:szCs w:val="20"/>
                      <w:highlight w:val="none"/>
                      <w:u w:val="none" w:color="auto"/>
                    </w:rPr>
                    <w:t>〔2024〕39号</w:t>
                  </w:r>
                </w:p>
              </w:tc>
              <w:tc>
                <w:tcPr>
                  <w:tcW w:w="828" w:type="dxa"/>
                  <w:vAlign w:val="center"/>
                </w:tcPr>
                <w:p w14:paraId="69A0B08A">
                  <w:pPr>
                    <w:spacing w:before="65" w:line="189" w:lineRule="auto"/>
                    <w:ind w:left="142"/>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3"/>
                      <w:sz w:val="20"/>
                      <w:szCs w:val="20"/>
                      <w:highlight w:val="none"/>
                      <w:u w:val="none" w:color="auto"/>
                    </w:rPr>
                    <w:t>2024.8</w:t>
                  </w:r>
                </w:p>
              </w:tc>
              <w:tc>
                <w:tcPr>
                  <w:tcW w:w="4484" w:type="dxa"/>
                  <w:vMerge w:val="restart"/>
                  <w:tcBorders>
                    <w:bottom w:val="nil"/>
                  </w:tcBorders>
                  <w:vAlign w:val="center"/>
                </w:tcPr>
                <w:p w14:paraId="63D13EBA">
                  <w:pPr>
                    <w:spacing w:before="25" w:line="250" w:lineRule="auto"/>
                    <w:ind w:left="30" w:right="25" w:firstLine="12"/>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7"/>
                      <w:sz w:val="20"/>
                      <w:szCs w:val="20"/>
                      <w:highlight w:val="none"/>
                      <w:u w:val="none" w:color="auto"/>
                    </w:rPr>
                    <w:t>钦州港大榄坪南作业区1#~6#泊位在原批复的基础上</w:t>
                  </w:r>
                  <w:r>
                    <w:rPr>
                      <w:rFonts w:ascii="Times New Roman" w:hAnsi="Times New Roman" w:eastAsia="宋体" w:cs="Times New Roman"/>
                      <w:color w:val="auto"/>
                      <w:spacing w:val="-4"/>
                      <w:sz w:val="20"/>
                      <w:szCs w:val="20"/>
                      <w:highlight w:val="none"/>
                      <w:u w:val="none" w:color="auto"/>
                    </w:rPr>
                    <w:t>新增危险货物货种，即1#、2#泊位新增1814种，3#~6#</w:t>
                  </w:r>
                  <w:r>
                    <w:rPr>
                      <w:rFonts w:ascii="Times New Roman" w:hAnsi="Times New Roman" w:eastAsia="宋体" w:cs="Times New Roman"/>
                      <w:color w:val="auto"/>
                      <w:spacing w:val="7"/>
                      <w:sz w:val="20"/>
                      <w:szCs w:val="20"/>
                      <w:highlight w:val="none"/>
                      <w:u w:val="none" w:color="auto"/>
                    </w:rPr>
                    <w:t>泊位新增1844种。本次新增货类后，1#-6#泊位</w:t>
                  </w:r>
                  <w:r>
                    <w:rPr>
                      <w:rFonts w:ascii="Times New Roman" w:hAnsi="Times New Roman" w:eastAsia="宋体" w:cs="Times New Roman"/>
                      <w:color w:val="auto"/>
                      <w:spacing w:val="6"/>
                      <w:sz w:val="20"/>
                      <w:szCs w:val="20"/>
                      <w:highlight w:val="none"/>
                      <w:u w:val="none" w:color="auto"/>
                    </w:rPr>
                    <w:t>可作</w:t>
                  </w:r>
                  <w:r>
                    <w:rPr>
                      <w:rFonts w:ascii="Times New Roman" w:hAnsi="Times New Roman" w:eastAsia="宋体" w:cs="Times New Roman"/>
                      <w:color w:val="auto"/>
                      <w:spacing w:val="8"/>
                      <w:sz w:val="20"/>
                      <w:szCs w:val="20"/>
                      <w:highlight w:val="none"/>
                      <w:u w:val="none" w:color="auto"/>
                    </w:rPr>
                    <w:t>业危险货物集装箱货物共8类1869种。主要建设内</w:t>
                  </w:r>
                  <w:r>
                    <w:rPr>
                      <w:rFonts w:ascii="Times New Roman" w:hAnsi="Times New Roman" w:eastAsia="宋体" w:cs="Times New Roman"/>
                      <w:color w:val="auto"/>
                      <w:spacing w:val="5"/>
                      <w:sz w:val="20"/>
                      <w:szCs w:val="20"/>
                      <w:highlight w:val="none"/>
                      <w:u w:val="none" w:color="auto"/>
                    </w:rPr>
                    <w:t>容：新建一处规模5515</w:t>
                  </w:r>
                  <w:r>
                    <w:rPr>
                      <w:rFonts w:ascii="Times New Roman" w:hAnsi="Times New Roman" w:eastAsia="宋体" w:cs="Times New Roman"/>
                      <w:color w:val="auto"/>
                      <w:sz w:val="20"/>
                      <w:szCs w:val="20"/>
                      <w:highlight w:val="none"/>
                      <w:u w:val="none" w:color="auto"/>
                    </w:rPr>
                    <w:t>TEU</w:t>
                  </w:r>
                  <w:r>
                    <w:rPr>
                      <w:rFonts w:ascii="Times New Roman" w:hAnsi="Times New Roman" w:eastAsia="宋体" w:cs="Times New Roman"/>
                      <w:color w:val="auto"/>
                      <w:spacing w:val="5"/>
                      <w:sz w:val="20"/>
                      <w:szCs w:val="20"/>
                      <w:highlight w:val="none"/>
                      <w:u w:val="none" w:color="auto"/>
                    </w:rPr>
                    <w:t>/a的普货拆装箱场（在原有仓库内改建</w:t>
                  </w:r>
                  <w:r>
                    <w:rPr>
                      <w:rFonts w:ascii="Times New Roman" w:hAnsi="Times New Roman" w:eastAsia="宋体" w:cs="Times New Roman"/>
                      <w:color w:val="auto"/>
                      <w:spacing w:val="-51"/>
                      <w:w w:val="97"/>
                      <w:sz w:val="20"/>
                      <w:szCs w:val="20"/>
                      <w:highlight w:val="none"/>
                      <w:u w:val="none" w:color="auto"/>
                    </w:rPr>
                    <w:t>），</w:t>
                  </w:r>
                  <w:r>
                    <w:rPr>
                      <w:rFonts w:ascii="Times New Roman" w:hAnsi="Times New Roman" w:eastAsia="宋体" w:cs="Times New Roman"/>
                      <w:color w:val="auto"/>
                      <w:spacing w:val="5"/>
                      <w:sz w:val="20"/>
                      <w:szCs w:val="20"/>
                      <w:highlight w:val="none"/>
                      <w:u w:val="none" w:color="auto"/>
                    </w:rPr>
                    <w:t>对现有含油污水处理站进行扩建（主</w:t>
                  </w:r>
                  <w:r>
                    <w:rPr>
                      <w:rFonts w:ascii="Times New Roman" w:hAnsi="Times New Roman" w:eastAsia="宋体" w:cs="Times New Roman"/>
                      <w:color w:val="auto"/>
                      <w:spacing w:val="10"/>
                      <w:sz w:val="20"/>
                      <w:szCs w:val="20"/>
                      <w:highlight w:val="none"/>
                      <w:u w:val="none" w:color="auto"/>
                    </w:rPr>
                    <w:t>要将2#泊位后方现有3m</w:t>
                  </w:r>
                  <w:r>
                    <w:rPr>
                      <w:rFonts w:ascii="Times New Roman" w:hAnsi="Times New Roman" w:eastAsia="宋体" w:cs="Times New Roman"/>
                      <w:color w:val="auto"/>
                      <w:spacing w:val="10"/>
                      <w:position w:val="6"/>
                      <w:sz w:val="13"/>
                      <w:szCs w:val="13"/>
                      <w:highlight w:val="none"/>
                      <w:u w:val="none" w:color="auto"/>
                    </w:rPr>
                    <w:t>3</w:t>
                  </w:r>
                  <w:r>
                    <w:rPr>
                      <w:rFonts w:ascii="Times New Roman" w:hAnsi="Times New Roman" w:eastAsia="宋体" w:cs="Times New Roman"/>
                      <w:color w:val="auto"/>
                      <w:spacing w:val="10"/>
                      <w:sz w:val="20"/>
                      <w:szCs w:val="20"/>
                      <w:highlight w:val="none"/>
                      <w:u w:val="none" w:color="auto"/>
                    </w:rPr>
                    <w:t>/h含油污水处理站扩建至</w:t>
                  </w:r>
                  <w:r>
                    <w:rPr>
                      <w:rFonts w:ascii="Times New Roman" w:hAnsi="Times New Roman" w:eastAsia="宋体" w:cs="Times New Roman"/>
                      <w:color w:val="auto"/>
                      <w:spacing w:val="4"/>
                      <w:sz w:val="20"/>
                      <w:szCs w:val="20"/>
                      <w:highlight w:val="none"/>
                      <w:u w:val="none" w:color="auto"/>
                    </w:rPr>
                    <w:t>10m</w:t>
                  </w:r>
                  <w:r>
                    <w:rPr>
                      <w:rFonts w:ascii="Times New Roman" w:hAnsi="Times New Roman" w:eastAsia="宋体" w:cs="Times New Roman"/>
                      <w:color w:val="auto"/>
                      <w:spacing w:val="4"/>
                      <w:position w:val="6"/>
                      <w:sz w:val="13"/>
                      <w:szCs w:val="13"/>
                      <w:highlight w:val="none"/>
                      <w:u w:val="none" w:color="auto"/>
                    </w:rPr>
                    <w:t>3</w:t>
                  </w:r>
                  <w:r>
                    <w:rPr>
                      <w:rFonts w:ascii="Times New Roman" w:hAnsi="Times New Roman" w:eastAsia="宋体" w:cs="Times New Roman"/>
                      <w:color w:val="auto"/>
                      <w:spacing w:val="4"/>
                      <w:sz w:val="20"/>
                      <w:szCs w:val="20"/>
                      <w:highlight w:val="none"/>
                      <w:u w:val="none" w:color="auto"/>
                    </w:rPr>
                    <w:t>/h，同时在5#泊位新建1套10m</w:t>
                  </w:r>
                  <w:r>
                    <w:rPr>
                      <w:rFonts w:ascii="Times New Roman" w:hAnsi="Times New Roman" w:eastAsia="宋体" w:cs="Times New Roman"/>
                      <w:color w:val="auto"/>
                      <w:spacing w:val="4"/>
                      <w:position w:val="6"/>
                      <w:sz w:val="13"/>
                      <w:szCs w:val="13"/>
                      <w:highlight w:val="none"/>
                      <w:u w:val="none" w:color="auto"/>
                    </w:rPr>
                    <w:t>3</w:t>
                  </w:r>
                  <w:r>
                    <w:rPr>
                      <w:rFonts w:ascii="Times New Roman" w:hAnsi="Times New Roman" w:eastAsia="宋体" w:cs="Times New Roman"/>
                      <w:color w:val="auto"/>
                      <w:spacing w:val="4"/>
                      <w:sz w:val="20"/>
                      <w:szCs w:val="20"/>
                      <w:highlight w:val="none"/>
                      <w:u w:val="none" w:color="auto"/>
                    </w:rPr>
                    <w:t>/含油污水处理</w:t>
                  </w:r>
                  <w:r>
                    <w:rPr>
                      <w:rFonts w:ascii="Times New Roman" w:hAnsi="Times New Roman" w:eastAsia="宋体" w:cs="Times New Roman"/>
                      <w:color w:val="auto"/>
                      <w:spacing w:val="1"/>
                      <w:sz w:val="20"/>
                      <w:szCs w:val="20"/>
                      <w:highlight w:val="none"/>
                      <w:u w:val="none" w:color="auto"/>
                    </w:rPr>
                    <w:t>站）。本次变更后，不改变码头总吞吐能力，仍为320</w:t>
                  </w:r>
                  <w:r>
                    <w:rPr>
                      <w:rFonts w:ascii="Times New Roman" w:hAnsi="Times New Roman" w:eastAsia="宋体" w:cs="Times New Roman"/>
                      <w:color w:val="auto"/>
                      <w:spacing w:val="6"/>
                      <w:sz w:val="20"/>
                      <w:szCs w:val="20"/>
                      <w:highlight w:val="none"/>
                      <w:u w:val="none" w:color="auto"/>
                    </w:rPr>
                    <w:t>万</w:t>
                  </w:r>
                  <w:r>
                    <w:rPr>
                      <w:rFonts w:ascii="Times New Roman" w:hAnsi="Times New Roman" w:eastAsia="宋体" w:cs="Times New Roman"/>
                      <w:color w:val="auto"/>
                      <w:sz w:val="20"/>
                      <w:szCs w:val="20"/>
                      <w:highlight w:val="none"/>
                      <w:u w:val="none" w:color="auto"/>
                    </w:rPr>
                    <w:t>TEU</w:t>
                  </w:r>
                  <w:r>
                    <w:rPr>
                      <w:rFonts w:ascii="Times New Roman" w:hAnsi="Times New Roman" w:eastAsia="宋体" w:cs="Times New Roman"/>
                      <w:color w:val="auto"/>
                      <w:spacing w:val="6"/>
                      <w:sz w:val="20"/>
                      <w:szCs w:val="20"/>
                      <w:highlight w:val="none"/>
                      <w:u w:val="none" w:color="auto"/>
                    </w:rPr>
                    <w:t>/a，本次新增危险品集装箱吞吐作业量1.2万</w:t>
                  </w:r>
                  <w:r>
                    <w:rPr>
                      <w:rFonts w:ascii="Times New Roman" w:hAnsi="Times New Roman" w:eastAsia="宋体" w:cs="Times New Roman"/>
                      <w:color w:val="auto"/>
                      <w:sz w:val="20"/>
                      <w:szCs w:val="20"/>
                      <w:highlight w:val="none"/>
                      <w:u w:val="none" w:color="auto"/>
                    </w:rPr>
                    <w:t>TEU</w:t>
                  </w:r>
                  <w:r>
                    <w:rPr>
                      <w:rFonts w:ascii="Times New Roman" w:hAnsi="Times New Roman" w:eastAsia="宋体" w:cs="Times New Roman"/>
                      <w:color w:val="auto"/>
                      <w:spacing w:val="10"/>
                      <w:sz w:val="20"/>
                      <w:szCs w:val="20"/>
                      <w:highlight w:val="none"/>
                      <w:u w:val="none" w:color="auto"/>
                    </w:rPr>
                    <w:t>/a，变更后码头危险货物集装箱作业量共10万</w:t>
                  </w:r>
                  <w:r>
                    <w:rPr>
                      <w:rFonts w:ascii="Times New Roman" w:hAnsi="Times New Roman" w:eastAsia="宋体" w:cs="Times New Roman"/>
                      <w:color w:val="auto"/>
                      <w:sz w:val="20"/>
                      <w:szCs w:val="20"/>
                      <w:highlight w:val="none"/>
                      <w:u w:val="none" w:color="auto"/>
                    </w:rPr>
                    <w:t>TEU</w:t>
                  </w:r>
                  <w:r>
                    <w:rPr>
                      <w:rFonts w:ascii="Times New Roman" w:hAnsi="Times New Roman" w:eastAsia="宋体" w:cs="Times New Roman"/>
                      <w:color w:val="auto"/>
                      <w:spacing w:val="4"/>
                      <w:sz w:val="20"/>
                      <w:szCs w:val="20"/>
                      <w:highlight w:val="none"/>
                      <w:u w:val="none" w:color="auto"/>
                    </w:rPr>
                    <w:t>/a，占总吞吐量的3.125%。本项目新增危险货物</w:t>
                  </w:r>
                  <w:r>
                    <w:rPr>
                      <w:rFonts w:ascii="Times New Roman" w:hAnsi="Times New Roman" w:eastAsia="宋体" w:cs="Times New Roman"/>
                      <w:color w:val="auto"/>
                      <w:spacing w:val="8"/>
                      <w:sz w:val="20"/>
                      <w:szCs w:val="20"/>
                      <w:highlight w:val="none"/>
                      <w:u w:val="none" w:color="auto"/>
                    </w:rPr>
                    <w:t>集装箱的装卸作业采用直装直取方式，危险货物集装箱堆场的货种仍为现有《港口危险货物作业附证》中</w:t>
                  </w:r>
                  <w:r>
                    <w:rPr>
                      <w:rFonts w:ascii="Times New Roman" w:hAnsi="Times New Roman" w:eastAsia="宋体" w:cs="Times New Roman"/>
                      <w:color w:val="auto"/>
                      <w:sz w:val="20"/>
                      <w:szCs w:val="20"/>
                      <w:highlight w:val="none"/>
                      <w:u w:val="none" w:color="auto"/>
                    </w:rPr>
                    <w:t>的货种。</w:t>
                  </w:r>
                </w:p>
              </w:tc>
            </w:tr>
            <w:tr w14:paraId="1A1B0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9" w:hRule="atLeast"/>
              </w:trPr>
              <w:tc>
                <w:tcPr>
                  <w:tcW w:w="883" w:type="dxa"/>
                  <w:vMerge w:val="continue"/>
                  <w:tcBorders>
                    <w:top w:val="single" w:color="auto" w:sz="4" w:space="0"/>
                    <w:left w:val="single" w:color="auto" w:sz="4" w:space="0"/>
                    <w:bottom w:val="single" w:color="auto" w:sz="4" w:space="0"/>
                    <w:right w:val="single" w:color="auto" w:sz="4" w:space="0"/>
                  </w:tcBorders>
                  <w:vAlign w:val="center"/>
                </w:tcPr>
                <w:p w14:paraId="6EF69415">
                  <w:pPr>
                    <w:jc w:val="center"/>
                    <w:rPr>
                      <w:rFonts w:ascii="Times New Roman" w:hAnsi="Times New Roman" w:eastAsia="宋体" w:cs="Times New Roman"/>
                      <w:color w:val="auto"/>
                      <w:sz w:val="21"/>
                      <w:highlight w:val="none"/>
                      <w:u w:val="none" w:color="auto"/>
                    </w:rPr>
                  </w:pPr>
                </w:p>
              </w:tc>
              <w:tc>
                <w:tcPr>
                  <w:tcW w:w="858" w:type="dxa"/>
                  <w:tcBorders>
                    <w:left w:val="single" w:color="auto" w:sz="4" w:space="0"/>
                  </w:tcBorders>
                  <w:vAlign w:val="center"/>
                </w:tcPr>
                <w:p w14:paraId="3316183C">
                  <w:pPr>
                    <w:spacing w:before="65" w:line="239" w:lineRule="auto"/>
                    <w:ind w:left="43" w:right="48"/>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7"/>
                      <w:sz w:val="20"/>
                      <w:szCs w:val="20"/>
                      <w:highlight w:val="none"/>
                      <w:u w:val="none" w:color="auto"/>
                    </w:rPr>
                    <w:t>重大变动环保验收</w:t>
                  </w:r>
                </w:p>
              </w:tc>
              <w:tc>
                <w:tcPr>
                  <w:tcW w:w="2118" w:type="dxa"/>
                  <w:vAlign w:val="center"/>
                </w:tcPr>
                <w:p w14:paraId="068023E7">
                  <w:pPr>
                    <w:spacing w:before="65" w:line="245" w:lineRule="auto"/>
                    <w:ind w:left="28" w:right="25" w:hanging="1"/>
                    <w:jc w:val="center"/>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2"/>
                      <w:sz w:val="20"/>
                      <w:szCs w:val="20"/>
                      <w:highlight w:val="none"/>
                      <w:u w:val="none" w:color="auto"/>
                    </w:rPr>
                    <w:t>《钦州港大榄坪</w:t>
                  </w:r>
                  <w:r>
                    <w:rPr>
                      <w:rFonts w:ascii="Times New Roman" w:hAnsi="Times New Roman" w:eastAsia="宋体" w:cs="Times New Roman"/>
                      <w:color w:val="auto"/>
                      <w:spacing w:val="5"/>
                      <w:sz w:val="20"/>
                      <w:szCs w:val="20"/>
                      <w:highlight w:val="none"/>
                      <w:u w:val="none" w:color="auto"/>
                    </w:rPr>
                    <w:t>南作业区1#-6#泊位新增</w:t>
                  </w:r>
                  <w:r>
                    <w:rPr>
                      <w:rFonts w:ascii="Times New Roman" w:hAnsi="Times New Roman" w:eastAsia="宋体" w:cs="Times New Roman"/>
                      <w:color w:val="auto"/>
                      <w:spacing w:val="3"/>
                      <w:sz w:val="20"/>
                      <w:szCs w:val="20"/>
                      <w:highlight w:val="none"/>
                      <w:u w:val="none" w:color="auto"/>
                    </w:rPr>
                    <w:t>危险货物集装箱项目（重大变动）竣工环境保护验</w:t>
                  </w:r>
                  <w:r>
                    <w:rPr>
                      <w:rFonts w:ascii="Times New Roman" w:hAnsi="Times New Roman" w:eastAsia="宋体" w:cs="Times New Roman"/>
                      <w:color w:val="auto"/>
                      <w:spacing w:val="5"/>
                      <w:sz w:val="20"/>
                      <w:szCs w:val="20"/>
                      <w:highlight w:val="none"/>
                      <w:u w:val="none" w:color="auto"/>
                    </w:rPr>
                    <w:t>收调查报告》</w:t>
                  </w:r>
                </w:p>
              </w:tc>
              <w:tc>
                <w:tcPr>
                  <w:tcW w:w="1489" w:type="dxa"/>
                  <w:vAlign w:val="center"/>
                </w:tcPr>
                <w:p w14:paraId="1CE2BB33">
                  <w:pPr>
                    <w:spacing w:before="57" w:line="199" w:lineRule="auto"/>
                    <w:ind w:left="773"/>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2"/>
                      <w:sz w:val="20"/>
                      <w:szCs w:val="20"/>
                      <w:highlight w:val="none"/>
                      <w:u w:val="none" w:color="auto"/>
                    </w:rPr>
                    <w:t>/</w:t>
                  </w:r>
                </w:p>
              </w:tc>
              <w:tc>
                <w:tcPr>
                  <w:tcW w:w="828" w:type="dxa"/>
                  <w:vAlign w:val="center"/>
                </w:tcPr>
                <w:p w14:paraId="1AC0BF6D">
                  <w:pPr>
                    <w:spacing w:before="65" w:line="233" w:lineRule="auto"/>
                    <w:ind w:left="397"/>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z w:val="20"/>
                      <w:szCs w:val="20"/>
                      <w:highlight w:val="none"/>
                      <w:u w:val="none" w:color="auto"/>
                    </w:rPr>
                    <w:t>/</w:t>
                  </w:r>
                </w:p>
              </w:tc>
              <w:tc>
                <w:tcPr>
                  <w:tcW w:w="1428" w:type="dxa"/>
                  <w:vAlign w:val="center"/>
                </w:tcPr>
                <w:p w14:paraId="615C433D">
                  <w:pPr>
                    <w:spacing w:before="57" w:line="199" w:lineRule="auto"/>
                    <w:ind w:left="742"/>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pacing w:val="2"/>
                      <w:sz w:val="20"/>
                      <w:szCs w:val="20"/>
                      <w:highlight w:val="none"/>
                      <w:u w:val="none" w:color="auto"/>
                    </w:rPr>
                    <w:t>/</w:t>
                  </w:r>
                </w:p>
              </w:tc>
              <w:tc>
                <w:tcPr>
                  <w:tcW w:w="828" w:type="dxa"/>
                  <w:vAlign w:val="center"/>
                </w:tcPr>
                <w:p w14:paraId="28DEB87B">
                  <w:pPr>
                    <w:spacing w:before="65" w:line="233" w:lineRule="auto"/>
                    <w:ind w:left="400"/>
                    <w:jc w:val="both"/>
                    <w:rPr>
                      <w:rFonts w:ascii="Times New Roman" w:hAnsi="Times New Roman" w:eastAsia="宋体" w:cs="Times New Roman"/>
                      <w:color w:val="auto"/>
                      <w:sz w:val="20"/>
                      <w:szCs w:val="20"/>
                      <w:highlight w:val="none"/>
                      <w:u w:val="none" w:color="auto"/>
                    </w:rPr>
                  </w:pPr>
                  <w:r>
                    <w:rPr>
                      <w:rFonts w:ascii="Times New Roman" w:hAnsi="Times New Roman" w:eastAsia="宋体" w:cs="Times New Roman"/>
                      <w:color w:val="auto"/>
                      <w:sz w:val="20"/>
                      <w:szCs w:val="20"/>
                      <w:highlight w:val="none"/>
                      <w:u w:val="none" w:color="auto"/>
                    </w:rPr>
                    <w:t>/</w:t>
                  </w:r>
                </w:p>
              </w:tc>
              <w:tc>
                <w:tcPr>
                  <w:tcW w:w="4484" w:type="dxa"/>
                  <w:vMerge w:val="continue"/>
                  <w:tcBorders>
                    <w:top w:val="nil"/>
                    <w:bottom w:val="single" w:color="auto" w:sz="4" w:space="0"/>
                  </w:tcBorders>
                  <w:vAlign w:val="center"/>
                </w:tcPr>
                <w:p w14:paraId="35ED8EEF">
                  <w:pPr>
                    <w:jc w:val="center"/>
                    <w:rPr>
                      <w:rFonts w:ascii="Times New Roman" w:hAnsi="Times New Roman" w:eastAsia="宋体" w:cs="Times New Roman"/>
                      <w:color w:val="auto"/>
                      <w:sz w:val="21"/>
                      <w:highlight w:val="none"/>
                      <w:u w:val="none" w:color="auto"/>
                    </w:rPr>
                  </w:pPr>
                </w:p>
              </w:tc>
            </w:tr>
            <w:tr w14:paraId="0737B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9" w:hRule="atLeast"/>
              </w:trPr>
              <w:tc>
                <w:tcPr>
                  <w:tcW w:w="883" w:type="dxa"/>
                  <w:vMerge w:val="restart"/>
                  <w:tcBorders>
                    <w:top w:val="single" w:color="auto" w:sz="4" w:space="0"/>
                    <w:bottom w:val="single" w:color="auto" w:sz="4" w:space="0"/>
                  </w:tcBorders>
                  <w:vAlign w:val="center"/>
                </w:tcPr>
                <w:p w14:paraId="3649E3BD">
                  <w:pPr>
                    <w:jc w:val="center"/>
                    <w:rPr>
                      <w:rFonts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lang w:val="en-US" w:eastAsia="zh-CN"/>
                    </w:rPr>
                    <w:t>集装箱修理项目</w:t>
                  </w:r>
                </w:p>
              </w:tc>
              <w:tc>
                <w:tcPr>
                  <w:tcW w:w="858" w:type="dxa"/>
                  <w:vAlign w:val="center"/>
                </w:tcPr>
                <w:p w14:paraId="371E351C">
                  <w:pPr>
                    <w:spacing w:before="65" w:line="239" w:lineRule="auto"/>
                    <w:ind w:left="43" w:right="48"/>
                    <w:jc w:val="center"/>
                    <w:rPr>
                      <w:rFonts w:hint="eastAsia" w:ascii="Times New Roman" w:hAnsi="Times New Roman" w:eastAsia="宋体" w:cs="Times New Roman"/>
                      <w:color w:val="auto"/>
                      <w:spacing w:val="7"/>
                      <w:sz w:val="20"/>
                      <w:szCs w:val="20"/>
                      <w:highlight w:val="none"/>
                      <w:u w:val="none" w:color="auto"/>
                      <w:lang w:val="en-US" w:eastAsia="zh-CN"/>
                    </w:rPr>
                  </w:pPr>
                  <w:r>
                    <w:rPr>
                      <w:rFonts w:hint="eastAsia" w:ascii="Times New Roman" w:hAnsi="Times New Roman" w:eastAsia="宋体" w:cs="Times New Roman"/>
                      <w:color w:val="auto"/>
                      <w:spacing w:val="7"/>
                      <w:sz w:val="20"/>
                      <w:szCs w:val="20"/>
                      <w:highlight w:val="none"/>
                      <w:u w:val="none" w:color="auto"/>
                      <w:lang w:val="en-US" w:eastAsia="zh-CN"/>
                    </w:rPr>
                    <w:t>环评</w:t>
                  </w:r>
                </w:p>
              </w:tc>
              <w:tc>
                <w:tcPr>
                  <w:tcW w:w="2118" w:type="dxa"/>
                  <w:vAlign w:val="center"/>
                </w:tcPr>
                <w:p w14:paraId="6626DB66">
                  <w:pPr>
                    <w:spacing w:before="65" w:line="245" w:lineRule="auto"/>
                    <w:ind w:left="28" w:right="25" w:hanging="1"/>
                    <w:jc w:val="center"/>
                    <w:rPr>
                      <w:rFonts w:ascii="Times New Roman" w:hAnsi="Times New Roman" w:eastAsia="宋体" w:cs="Times New Roman"/>
                      <w:color w:val="auto"/>
                      <w:spacing w:val="2"/>
                      <w:sz w:val="20"/>
                      <w:szCs w:val="20"/>
                      <w:highlight w:val="none"/>
                      <w:u w:val="none" w:color="auto"/>
                    </w:rPr>
                  </w:pPr>
                  <w:r>
                    <w:rPr>
                      <w:rFonts w:hint="default" w:ascii="Times New Roman" w:hAnsi="Times New Roman" w:eastAsia="宋体" w:cs="Times New Roman"/>
                      <w:color w:val="auto"/>
                      <w:spacing w:val="2"/>
                      <w:sz w:val="20"/>
                      <w:szCs w:val="20"/>
                      <w:highlight w:val="none"/>
                      <w:u w:val="none" w:color="auto"/>
                      <w:lang w:val="en-US" w:eastAsia="zh-CN"/>
                    </w:rPr>
                    <w:t>《广西北部湾国际集装箱码头有限公司集装箱修理项目》</w:t>
                  </w:r>
                </w:p>
              </w:tc>
              <w:tc>
                <w:tcPr>
                  <w:tcW w:w="1489" w:type="dxa"/>
                  <w:vAlign w:val="center"/>
                </w:tcPr>
                <w:p w14:paraId="4475409E">
                  <w:pPr>
                    <w:spacing w:before="57" w:line="199" w:lineRule="auto"/>
                    <w:jc w:val="both"/>
                    <w:rPr>
                      <w:rFonts w:ascii="Times New Roman" w:hAnsi="Times New Roman" w:eastAsia="宋体" w:cs="Times New Roman"/>
                      <w:color w:val="auto"/>
                      <w:spacing w:val="2"/>
                      <w:sz w:val="20"/>
                      <w:szCs w:val="20"/>
                      <w:highlight w:val="none"/>
                      <w:u w:val="none" w:color="auto"/>
                    </w:rPr>
                  </w:pPr>
                  <w:r>
                    <w:rPr>
                      <w:rFonts w:ascii="Times New Roman" w:hAnsi="Times New Roman" w:eastAsia="宋体" w:cs="Times New Roman"/>
                      <w:color w:val="auto"/>
                      <w:spacing w:val="2"/>
                      <w:sz w:val="20"/>
                      <w:szCs w:val="20"/>
                      <w:highlight w:val="none"/>
                      <w:u w:val="none" w:color="auto"/>
                    </w:rPr>
                    <w:t>钦州市生态环境局</w:t>
                  </w:r>
                </w:p>
              </w:tc>
              <w:tc>
                <w:tcPr>
                  <w:tcW w:w="828" w:type="dxa"/>
                  <w:vAlign w:val="center"/>
                </w:tcPr>
                <w:p w14:paraId="48D93B55">
                  <w:pPr>
                    <w:spacing w:before="65" w:line="233" w:lineRule="auto"/>
                    <w:jc w:val="both"/>
                    <w:rPr>
                      <w:rFonts w:hint="default" w:ascii="Times New Roman" w:hAnsi="Times New Roman" w:eastAsia="宋体" w:cs="Times New Roman"/>
                      <w:color w:val="auto"/>
                      <w:sz w:val="20"/>
                      <w:szCs w:val="20"/>
                      <w:highlight w:val="none"/>
                      <w:u w:val="none" w:color="auto"/>
                      <w:lang w:val="en-US" w:eastAsia="zh-CN"/>
                    </w:rPr>
                  </w:pPr>
                  <w:r>
                    <w:rPr>
                      <w:rFonts w:hint="eastAsia" w:ascii="Times New Roman" w:hAnsi="Times New Roman" w:eastAsia="宋体" w:cs="Times New Roman"/>
                      <w:color w:val="auto"/>
                      <w:sz w:val="20"/>
                      <w:szCs w:val="20"/>
                      <w:highlight w:val="none"/>
                      <w:u w:val="none" w:color="auto"/>
                      <w:lang w:val="en-US" w:eastAsia="zh-CN"/>
                    </w:rPr>
                    <w:t>2025.3.3</w:t>
                  </w:r>
                </w:p>
              </w:tc>
              <w:tc>
                <w:tcPr>
                  <w:tcW w:w="1428" w:type="dxa"/>
                  <w:vAlign w:val="center"/>
                </w:tcPr>
                <w:p w14:paraId="4005710C">
                  <w:pPr>
                    <w:spacing w:before="57" w:line="199" w:lineRule="auto"/>
                    <w:jc w:val="both"/>
                    <w:rPr>
                      <w:rFonts w:ascii="Times New Roman" w:hAnsi="Times New Roman" w:eastAsia="宋体" w:cs="Times New Roman"/>
                      <w:color w:val="auto"/>
                      <w:spacing w:val="2"/>
                      <w:sz w:val="20"/>
                      <w:szCs w:val="20"/>
                      <w:highlight w:val="none"/>
                      <w:u w:val="none" w:color="auto"/>
                    </w:rPr>
                  </w:pPr>
                  <w:r>
                    <w:rPr>
                      <w:rFonts w:hint="default" w:ascii="Times New Roman" w:hAnsi="Times New Roman" w:eastAsia="宋体" w:cs="Times New Roman"/>
                      <w:color w:val="auto"/>
                      <w:spacing w:val="2"/>
                      <w:sz w:val="20"/>
                      <w:szCs w:val="20"/>
                      <w:highlight w:val="none"/>
                      <w:u w:val="none" w:color="auto"/>
                      <w:lang w:val="en-US" w:eastAsia="zh-CN"/>
                    </w:rPr>
                    <w:t>自贸钦审批环〔202</w:t>
                  </w:r>
                  <w:r>
                    <w:rPr>
                      <w:rFonts w:hint="eastAsia" w:ascii="Times New Roman" w:hAnsi="Times New Roman" w:eastAsia="宋体" w:cs="Times New Roman"/>
                      <w:color w:val="auto"/>
                      <w:spacing w:val="2"/>
                      <w:sz w:val="20"/>
                      <w:szCs w:val="20"/>
                      <w:highlight w:val="none"/>
                      <w:u w:val="none" w:color="auto"/>
                      <w:lang w:val="en-US" w:eastAsia="zh-CN"/>
                    </w:rPr>
                    <w:t>5</w:t>
                  </w:r>
                  <w:r>
                    <w:rPr>
                      <w:rFonts w:hint="default" w:ascii="Times New Roman" w:hAnsi="Times New Roman" w:eastAsia="宋体" w:cs="Times New Roman"/>
                      <w:color w:val="auto"/>
                      <w:spacing w:val="2"/>
                      <w:sz w:val="20"/>
                      <w:szCs w:val="20"/>
                      <w:highlight w:val="none"/>
                      <w:u w:val="none" w:color="auto"/>
                      <w:lang w:val="en-US" w:eastAsia="zh-CN"/>
                    </w:rPr>
                    <w:t>〕</w:t>
                  </w:r>
                  <w:r>
                    <w:rPr>
                      <w:rFonts w:hint="eastAsia" w:ascii="Times New Roman" w:hAnsi="Times New Roman" w:eastAsia="宋体" w:cs="Times New Roman"/>
                      <w:color w:val="auto"/>
                      <w:spacing w:val="2"/>
                      <w:sz w:val="20"/>
                      <w:szCs w:val="20"/>
                      <w:highlight w:val="none"/>
                      <w:u w:val="none" w:color="auto"/>
                      <w:lang w:val="en-US" w:eastAsia="zh-CN"/>
                    </w:rPr>
                    <w:t>17</w:t>
                  </w:r>
                  <w:r>
                    <w:rPr>
                      <w:rFonts w:hint="default" w:ascii="Times New Roman" w:hAnsi="Times New Roman" w:eastAsia="宋体" w:cs="Times New Roman"/>
                      <w:color w:val="auto"/>
                      <w:spacing w:val="2"/>
                      <w:sz w:val="20"/>
                      <w:szCs w:val="20"/>
                      <w:highlight w:val="none"/>
                      <w:u w:val="none" w:color="auto"/>
                      <w:lang w:val="en-US" w:eastAsia="zh-CN"/>
                    </w:rPr>
                    <w:t>号</w:t>
                  </w:r>
                </w:p>
              </w:tc>
              <w:tc>
                <w:tcPr>
                  <w:tcW w:w="828" w:type="dxa"/>
                  <w:tcBorders>
                    <w:right w:val="single" w:color="auto" w:sz="4" w:space="0"/>
                  </w:tcBorders>
                  <w:vAlign w:val="center"/>
                </w:tcPr>
                <w:p w14:paraId="54EB8FDD">
                  <w:pPr>
                    <w:spacing w:before="65" w:line="233" w:lineRule="auto"/>
                    <w:jc w:val="center"/>
                    <w:rPr>
                      <w:rFonts w:hint="default" w:ascii="Times New Roman" w:hAnsi="Times New Roman" w:eastAsia="宋体" w:cs="Times New Roman"/>
                      <w:color w:val="auto"/>
                      <w:sz w:val="20"/>
                      <w:szCs w:val="20"/>
                      <w:highlight w:val="none"/>
                      <w:u w:val="none" w:color="auto"/>
                      <w:lang w:val="en-US" w:eastAsia="zh-CN"/>
                    </w:rPr>
                  </w:pPr>
                  <w:r>
                    <w:rPr>
                      <w:rFonts w:hint="eastAsia" w:cs="Times New Roman"/>
                      <w:color w:val="auto"/>
                      <w:sz w:val="20"/>
                      <w:szCs w:val="20"/>
                      <w:highlight w:val="none"/>
                      <w:u w:val="none" w:color="auto"/>
                      <w:lang w:val="en-US" w:eastAsia="zh-CN"/>
                    </w:rPr>
                    <w:t>设备调试阶段</w:t>
                  </w:r>
                </w:p>
              </w:tc>
              <w:tc>
                <w:tcPr>
                  <w:tcW w:w="4484" w:type="dxa"/>
                  <w:tcBorders>
                    <w:top w:val="single" w:color="auto" w:sz="4" w:space="0"/>
                    <w:left w:val="single" w:color="auto" w:sz="4" w:space="0"/>
                    <w:bottom w:val="single" w:color="auto" w:sz="4" w:space="0"/>
                    <w:right w:val="single" w:color="auto" w:sz="4" w:space="0"/>
                  </w:tcBorders>
                  <w:vAlign w:val="center"/>
                </w:tcPr>
                <w:p w14:paraId="1147A4BA">
                  <w:pPr>
                    <w:jc w:val="center"/>
                    <w:rPr>
                      <w:rFonts w:ascii="Times New Roman" w:hAnsi="Times New Roman" w:eastAsia="宋体" w:cs="Times New Roman"/>
                      <w:color w:val="auto"/>
                      <w:sz w:val="21"/>
                      <w:highlight w:val="none"/>
                      <w:u w:val="none" w:color="auto"/>
                    </w:rPr>
                  </w:pPr>
                  <w:r>
                    <w:rPr>
                      <w:rFonts w:hint="default" w:ascii="Times New Roman" w:hAnsi="Times New Roman" w:eastAsia="宋体" w:cs="Times New Roman"/>
                      <w:color w:val="auto"/>
                      <w:sz w:val="21"/>
                      <w:highlight w:val="none"/>
                      <w:u w:val="none" w:color="auto"/>
                      <w:lang w:val="en-US" w:eastAsia="zh-CN"/>
                    </w:rPr>
                    <w:t>年修理集装箱约为1</w:t>
                  </w:r>
                  <w:r>
                    <w:rPr>
                      <w:rFonts w:hint="eastAsia" w:ascii="Times New Roman" w:hAnsi="Times New Roman" w:eastAsia="宋体" w:cs="Times New Roman"/>
                      <w:color w:val="auto"/>
                      <w:sz w:val="21"/>
                      <w:highlight w:val="none"/>
                      <w:u w:val="none" w:color="auto"/>
                      <w:lang w:val="en-US" w:eastAsia="zh-CN"/>
                    </w:rPr>
                    <w:t>2</w:t>
                  </w:r>
                  <w:r>
                    <w:rPr>
                      <w:rFonts w:hint="default" w:ascii="Times New Roman" w:hAnsi="Times New Roman" w:eastAsia="宋体" w:cs="Times New Roman"/>
                      <w:color w:val="auto"/>
                      <w:sz w:val="21"/>
                      <w:highlight w:val="none"/>
                      <w:u w:val="none" w:color="auto"/>
                      <w:lang w:val="en-US" w:eastAsia="zh-CN"/>
                    </w:rPr>
                    <w:t>000个，</w:t>
                  </w:r>
                  <w:r>
                    <w:rPr>
                      <w:rFonts w:hint="eastAsia" w:ascii="Times New Roman" w:hAnsi="Times New Roman" w:eastAsia="宋体" w:cs="Times New Roman"/>
                      <w:color w:val="auto"/>
                      <w:sz w:val="21"/>
                      <w:highlight w:val="none"/>
                      <w:u w:val="none" w:color="auto"/>
                      <w:lang w:val="en-US" w:eastAsia="zh-CN"/>
                    </w:rPr>
                    <w:t>涉及刷漆的集装箱约1800个，刷漆</w:t>
                  </w:r>
                  <w:r>
                    <w:rPr>
                      <w:rFonts w:hint="default" w:ascii="Times New Roman" w:hAnsi="Times New Roman" w:eastAsia="宋体" w:cs="Times New Roman"/>
                      <w:color w:val="auto"/>
                      <w:sz w:val="21"/>
                      <w:highlight w:val="none"/>
                      <w:u w:val="none" w:color="auto"/>
                      <w:lang w:val="en-US" w:eastAsia="zh-CN"/>
                    </w:rPr>
                    <w:t>修箱车间</w:t>
                  </w:r>
                  <w:r>
                    <w:rPr>
                      <w:rFonts w:hint="eastAsia" w:ascii="Times New Roman" w:hAnsi="Times New Roman" w:eastAsia="宋体" w:cs="Times New Roman"/>
                      <w:color w:val="auto"/>
                      <w:sz w:val="21"/>
                      <w:highlight w:val="none"/>
                      <w:u w:val="none" w:color="auto"/>
                      <w:lang w:val="en-US" w:eastAsia="zh-CN"/>
                    </w:rPr>
                    <w:t>30</w:t>
                  </w:r>
                  <w:r>
                    <w:rPr>
                      <w:rFonts w:hint="default" w:ascii="Times New Roman" w:hAnsi="Times New Roman" w:eastAsia="宋体" w:cs="Times New Roman"/>
                      <w:color w:val="auto"/>
                      <w:sz w:val="21"/>
                      <w:highlight w:val="none"/>
                      <w:u w:val="none" w:color="auto"/>
                      <w:lang w:val="en-US" w:eastAsia="zh-CN"/>
                    </w:rPr>
                    <w:t>0m</w:t>
                  </w:r>
                  <w:r>
                    <w:rPr>
                      <w:rFonts w:hint="default" w:ascii="Times New Roman" w:hAnsi="Times New Roman" w:eastAsia="宋体" w:cs="Times New Roman"/>
                      <w:color w:val="auto"/>
                      <w:sz w:val="21"/>
                      <w:highlight w:val="none"/>
                      <w:u w:val="none" w:color="auto"/>
                      <w:vertAlign w:val="superscript"/>
                      <w:lang w:val="en-US" w:eastAsia="zh-CN"/>
                    </w:rPr>
                    <w:t>2</w:t>
                  </w:r>
                  <w:r>
                    <w:rPr>
                      <w:rFonts w:hint="default" w:ascii="Times New Roman" w:hAnsi="Times New Roman" w:eastAsia="宋体" w:cs="Times New Roman"/>
                      <w:color w:val="auto"/>
                      <w:sz w:val="21"/>
                      <w:highlight w:val="none"/>
                      <w:u w:val="none" w:color="auto"/>
                      <w:lang w:val="en-US" w:eastAsia="zh-CN"/>
                    </w:rPr>
                    <w:t>，高4.5m，</w:t>
                  </w:r>
                  <w:r>
                    <w:rPr>
                      <w:rFonts w:hint="eastAsia" w:ascii="Times New Roman" w:hAnsi="Times New Roman" w:eastAsia="宋体" w:cs="Times New Roman"/>
                      <w:color w:val="auto"/>
                      <w:sz w:val="21"/>
                      <w:highlight w:val="none"/>
                      <w:u w:val="none" w:color="auto"/>
                      <w:lang w:val="en-US" w:eastAsia="zh-CN"/>
                    </w:rPr>
                    <w:t>最多可同时修理6个集装箱，刷漆及晾干需在刷修箱车间放置1天，每年可对1980个集装箱进行刷漆，则刷漆修箱车间可轮转本项目所需刷漆的集装箱。</w:t>
                  </w:r>
                  <w:r>
                    <w:rPr>
                      <w:rFonts w:hint="default" w:ascii="Times New Roman" w:hAnsi="Times New Roman" w:eastAsia="宋体" w:cs="Times New Roman"/>
                      <w:color w:val="auto"/>
                      <w:sz w:val="21"/>
                      <w:highlight w:val="none"/>
                      <w:u w:val="none" w:color="auto"/>
                      <w:lang w:val="en-US" w:eastAsia="zh-CN"/>
                    </w:rPr>
                    <w:t>年修箱330天，单个标箱补漆面积约</w:t>
                  </w:r>
                  <w:r>
                    <w:rPr>
                      <w:rFonts w:hint="eastAsia" w:ascii="Times New Roman" w:hAnsi="Times New Roman" w:eastAsia="宋体" w:cs="Times New Roman"/>
                      <w:color w:val="auto"/>
                      <w:sz w:val="21"/>
                      <w:highlight w:val="none"/>
                      <w:u w:val="none" w:color="auto"/>
                      <w:lang w:val="en-US" w:eastAsia="zh-CN"/>
                    </w:rPr>
                    <w:t>2.5</w:t>
                  </w:r>
                  <w:r>
                    <w:rPr>
                      <w:rFonts w:hint="default" w:ascii="Times New Roman" w:hAnsi="Times New Roman" w:eastAsia="宋体" w:cs="Times New Roman"/>
                      <w:color w:val="auto"/>
                      <w:sz w:val="21"/>
                      <w:highlight w:val="none"/>
                      <w:u w:val="none" w:color="auto"/>
                      <w:lang w:val="en-US" w:eastAsia="zh-CN"/>
                    </w:rPr>
                    <w:t>m2，每</w:t>
                  </w:r>
                  <w:r>
                    <w:rPr>
                      <w:rFonts w:hint="eastAsia" w:ascii="Times New Roman" w:hAnsi="Times New Roman" w:eastAsia="宋体" w:cs="Times New Roman"/>
                      <w:color w:val="auto"/>
                      <w:sz w:val="21"/>
                      <w:highlight w:val="none"/>
                      <w:u w:val="none" w:color="auto"/>
                      <w:lang w:val="en-US" w:eastAsia="zh-CN"/>
                    </w:rPr>
                    <w:t>年涉及刷漆的集装箱约1800个</w:t>
                  </w:r>
                  <w:r>
                    <w:rPr>
                      <w:rFonts w:hint="default" w:ascii="Times New Roman" w:hAnsi="Times New Roman" w:eastAsia="宋体" w:cs="Times New Roman"/>
                      <w:color w:val="auto"/>
                      <w:sz w:val="21"/>
                      <w:highlight w:val="none"/>
                      <w:u w:val="none" w:color="auto"/>
                      <w:lang w:val="en-US" w:eastAsia="zh-CN"/>
                    </w:rPr>
                    <w:t>，年修箱需补漆面积约</w:t>
                  </w:r>
                  <w:r>
                    <w:rPr>
                      <w:rFonts w:hint="eastAsia" w:ascii="Times New Roman" w:hAnsi="Times New Roman" w:eastAsia="宋体" w:cs="Times New Roman"/>
                      <w:color w:val="auto"/>
                      <w:sz w:val="21"/>
                      <w:highlight w:val="none"/>
                      <w:u w:val="none" w:color="auto"/>
                      <w:lang w:val="en-US" w:eastAsia="zh-CN"/>
                    </w:rPr>
                    <w:t>4500</w:t>
                  </w:r>
                  <w:r>
                    <w:rPr>
                      <w:rFonts w:hint="default" w:ascii="Times New Roman" w:hAnsi="Times New Roman" w:eastAsia="宋体" w:cs="Times New Roman"/>
                      <w:color w:val="auto"/>
                      <w:sz w:val="21"/>
                      <w:highlight w:val="none"/>
                      <w:u w:val="none" w:color="auto"/>
                      <w:lang w:val="en-US" w:eastAsia="zh-CN"/>
                    </w:rPr>
                    <w:t>m2。</w:t>
                  </w:r>
                  <w:r>
                    <w:rPr>
                      <w:rFonts w:hint="eastAsia" w:ascii="Times New Roman" w:hAnsi="Times New Roman" w:eastAsia="宋体" w:cs="Times New Roman"/>
                      <w:color w:val="auto"/>
                      <w:sz w:val="21"/>
                      <w:highlight w:val="none"/>
                      <w:u w:val="none" w:color="auto"/>
                      <w:lang w:val="en-US" w:eastAsia="zh-CN"/>
                    </w:rPr>
                    <w:t>其余集装箱为一般简单机修，</w:t>
                  </w:r>
                  <w:r>
                    <w:rPr>
                      <w:rFonts w:hint="default" w:ascii="Times New Roman" w:hAnsi="Times New Roman" w:eastAsia="宋体" w:cs="Times New Roman"/>
                      <w:color w:val="auto"/>
                      <w:sz w:val="21"/>
                      <w:highlight w:val="none"/>
                      <w:u w:val="none" w:color="auto"/>
                      <w:lang w:val="en-US" w:eastAsia="zh-CN"/>
                    </w:rPr>
                    <w:t>验箱后发现并标记好残损位置的空集装箱进行胶条、通风口、螺丝、箱号、手柄、锁等零部件的更换，部分箱体破损需进行焊割、焊接</w:t>
                  </w:r>
                </w:p>
              </w:tc>
            </w:tr>
            <w:tr w14:paraId="77B97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 w:hRule="atLeast"/>
              </w:trPr>
              <w:tc>
                <w:tcPr>
                  <w:tcW w:w="883" w:type="dxa"/>
                  <w:vMerge w:val="continue"/>
                  <w:tcBorders>
                    <w:top w:val="single" w:color="auto" w:sz="4" w:space="0"/>
                    <w:bottom w:val="single" w:color="auto" w:sz="4" w:space="0"/>
                  </w:tcBorders>
                  <w:vAlign w:val="center"/>
                </w:tcPr>
                <w:p w14:paraId="16CE81C0">
                  <w:pPr>
                    <w:jc w:val="center"/>
                    <w:rPr>
                      <w:rFonts w:hint="default" w:ascii="Times New Roman" w:hAnsi="Times New Roman" w:eastAsia="宋体" w:cs="Times New Roman"/>
                      <w:color w:val="auto"/>
                      <w:sz w:val="21"/>
                      <w:highlight w:val="none"/>
                      <w:u w:val="none" w:color="auto"/>
                      <w:lang w:val="en-US" w:eastAsia="zh-CN"/>
                    </w:rPr>
                  </w:pPr>
                </w:p>
              </w:tc>
              <w:tc>
                <w:tcPr>
                  <w:tcW w:w="858" w:type="dxa"/>
                  <w:vAlign w:val="center"/>
                </w:tcPr>
                <w:p w14:paraId="55D013C0">
                  <w:pPr>
                    <w:spacing w:before="65" w:line="239" w:lineRule="auto"/>
                    <w:ind w:left="43" w:right="48"/>
                    <w:jc w:val="center"/>
                    <w:rPr>
                      <w:rFonts w:hint="default" w:ascii="Times New Roman" w:hAnsi="Times New Roman" w:eastAsia="宋体" w:cs="Times New Roman"/>
                      <w:color w:val="auto"/>
                      <w:spacing w:val="7"/>
                      <w:sz w:val="20"/>
                      <w:szCs w:val="20"/>
                      <w:highlight w:val="none"/>
                      <w:u w:val="none" w:color="auto"/>
                      <w:lang w:val="en-US" w:eastAsia="zh-CN"/>
                    </w:rPr>
                  </w:pPr>
                  <w:r>
                    <w:rPr>
                      <w:rFonts w:hint="eastAsia" w:ascii="Times New Roman" w:hAnsi="Times New Roman" w:eastAsia="宋体" w:cs="Times New Roman"/>
                      <w:color w:val="auto"/>
                      <w:spacing w:val="7"/>
                      <w:sz w:val="20"/>
                      <w:szCs w:val="20"/>
                      <w:highlight w:val="none"/>
                      <w:u w:val="none" w:color="auto"/>
                      <w:lang w:val="en-US" w:eastAsia="zh-CN"/>
                    </w:rPr>
                    <w:t>验收</w:t>
                  </w:r>
                </w:p>
              </w:tc>
              <w:tc>
                <w:tcPr>
                  <w:tcW w:w="11175" w:type="dxa"/>
                  <w:gridSpan w:val="6"/>
                  <w:tcBorders>
                    <w:right w:val="single" w:color="auto" w:sz="4" w:space="0"/>
                  </w:tcBorders>
                  <w:vAlign w:val="center"/>
                </w:tcPr>
                <w:p w14:paraId="10FCE79C">
                  <w:pPr>
                    <w:spacing w:before="65" w:line="245" w:lineRule="auto"/>
                    <w:ind w:left="28" w:right="25" w:hanging="1"/>
                    <w:jc w:val="both"/>
                    <w:rPr>
                      <w:rFonts w:hint="default" w:ascii="Times New Roman" w:hAnsi="Times New Roman" w:eastAsia="宋体" w:cs="Times New Roman"/>
                      <w:color w:val="auto"/>
                      <w:sz w:val="21"/>
                      <w:highlight w:val="none"/>
                      <w:u w:val="none" w:color="auto"/>
                      <w:lang w:val="en-US" w:eastAsia="zh-CN"/>
                    </w:rPr>
                  </w:pPr>
                  <w:r>
                    <w:rPr>
                      <w:rFonts w:hint="eastAsia" w:ascii="Times New Roman" w:hAnsi="Times New Roman" w:eastAsia="宋体" w:cs="Times New Roman"/>
                      <w:color w:val="auto"/>
                      <w:spacing w:val="2"/>
                      <w:sz w:val="20"/>
                      <w:szCs w:val="20"/>
                      <w:highlight w:val="none"/>
                      <w:u w:val="none" w:color="auto"/>
                      <w:lang w:val="en-US" w:eastAsia="zh-CN"/>
                    </w:rPr>
                    <w:t>尚未开展验收工作</w:t>
                  </w:r>
                  <w:r>
                    <w:rPr>
                      <w:rFonts w:hint="eastAsia" w:cs="Times New Roman"/>
                      <w:color w:val="auto"/>
                      <w:spacing w:val="2"/>
                      <w:sz w:val="20"/>
                      <w:szCs w:val="20"/>
                      <w:highlight w:val="none"/>
                      <w:u w:val="single" w:color="auto"/>
                      <w:lang w:val="en-US" w:eastAsia="zh-CN"/>
                    </w:rPr>
                    <w:t>（项目危险货物集装箱不在厂区内进行拆箱维修工作，项目不依托集装箱修理项目）</w:t>
                  </w:r>
                </w:p>
              </w:tc>
            </w:tr>
          </w:tbl>
          <w:p w14:paraId="192D5308">
            <w:pPr>
              <w:pStyle w:val="25"/>
              <w:keepNext w:val="0"/>
              <w:keepLines w:val="0"/>
              <w:suppressLineNumbers w:val="0"/>
              <w:spacing w:before="0" w:beforeAutospacing="0" w:after="0" w:afterAutospacing="0"/>
              <w:ind w:right="0"/>
              <w:rPr>
                <w:rFonts w:hint="default" w:ascii="Times New Roman" w:hAnsi="Times New Roman" w:eastAsia="宋体" w:cs="Times New Roman"/>
                <w:color w:val="auto"/>
                <w:highlight w:val="none"/>
                <w:u w:val="none" w:color="auto"/>
                <w:vertAlign w:val="baseline"/>
              </w:rPr>
            </w:pPr>
          </w:p>
        </w:tc>
      </w:tr>
    </w:tbl>
    <w:p w14:paraId="3C561881">
      <w:pPr>
        <w:pStyle w:val="25"/>
        <w:rPr>
          <w:rFonts w:hint="default" w:ascii="Times New Roman" w:hAnsi="Times New Roman" w:eastAsia="宋体" w:cs="Times New Roman"/>
          <w:color w:val="auto"/>
          <w:highlight w:val="none"/>
          <w:u w:val="none" w:color="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320"/>
      </w:tblGrid>
      <w:tr w14:paraId="5E1E4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noWrap w:val="0"/>
            <w:vAlign w:val="center"/>
          </w:tcPr>
          <w:p w14:paraId="6F8FF741">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bCs/>
                <w:color w:val="auto"/>
                <w:kern w:val="2"/>
                <w:sz w:val="24"/>
                <w:szCs w:val="24"/>
                <w:highlight w:val="none"/>
                <w:u w:val="none" w:color="auto"/>
              </w:rPr>
              <w:t>与项目有关的原有环境污染问题</w:t>
            </w:r>
          </w:p>
        </w:tc>
        <w:tc>
          <w:tcPr>
            <w:tcW w:w="8320" w:type="dxa"/>
            <w:noWrap w:val="0"/>
            <w:vAlign w:val="center"/>
          </w:tcPr>
          <w:p w14:paraId="585A7E93">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kern w:val="2"/>
                <w:sz w:val="24"/>
                <w:szCs w:val="22"/>
                <w:highlight w:val="none"/>
                <w:u w:val="none" w:color="auto"/>
                <w:lang w:val="en-US" w:eastAsia="zh-CN" w:bidi="ar-SA"/>
              </w:rPr>
              <w:t>为适应市场需要，2024年委托广西中冠智合生态环境有限公司编制了《钦州港大榄坪南作业区1#-6#泊位新增危险货物集装箱项目（重大变动）环境影响报告书》于2024年7月31日取得钦州市生态环境局的批复（批文号：自贸钦审批环〔2024〕39号）。</w:t>
            </w:r>
            <w:r>
              <w:rPr>
                <w:rFonts w:hint="eastAsia" w:ascii="Times New Roman" w:hAnsi="Times New Roman" w:eastAsia="宋体" w:cs="Times New Roman"/>
                <w:caps w:val="0"/>
                <w:color w:val="auto"/>
                <w:sz w:val="24"/>
                <w:szCs w:val="24"/>
                <w:highlight w:val="none"/>
                <w:u w:val="none" w:color="auto"/>
              </w:rPr>
              <w:t>并于202</w:t>
            </w:r>
            <w:r>
              <w:rPr>
                <w:rFonts w:hint="eastAsia" w:ascii="Times New Roman" w:hAnsi="Times New Roman" w:eastAsia="宋体" w:cs="Times New Roman"/>
                <w:caps w:val="0"/>
                <w:color w:val="auto"/>
                <w:sz w:val="24"/>
                <w:szCs w:val="24"/>
                <w:highlight w:val="none"/>
                <w:u w:val="none" w:color="auto"/>
                <w:lang w:val="en-US" w:eastAsia="zh-CN"/>
              </w:rPr>
              <w:t>4</w:t>
            </w:r>
            <w:r>
              <w:rPr>
                <w:rFonts w:hint="eastAsia" w:ascii="Times New Roman" w:hAnsi="Times New Roman" w:eastAsia="宋体" w:cs="Times New Roman"/>
                <w:caps w:val="0"/>
                <w:color w:val="auto"/>
                <w:sz w:val="24"/>
                <w:szCs w:val="24"/>
                <w:highlight w:val="none"/>
                <w:u w:val="none" w:color="auto"/>
              </w:rPr>
              <w:t>年</w:t>
            </w:r>
            <w:r>
              <w:rPr>
                <w:rFonts w:hint="eastAsia" w:ascii="Times New Roman" w:hAnsi="Times New Roman" w:eastAsia="宋体" w:cs="Times New Roman"/>
                <w:caps w:val="0"/>
                <w:color w:val="auto"/>
                <w:sz w:val="24"/>
                <w:szCs w:val="24"/>
                <w:highlight w:val="none"/>
                <w:u w:val="none" w:color="auto"/>
                <w:lang w:val="en-US" w:eastAsia="zh-CN"/>
              </w:rPr>
              <w:t>11</w:t>
            </w:r>
            <w:r>
              <w:rPr>
                <w:rFonts w:hint="eastAsia" w:ascii="Times New Roman" w:hAnsi="Times New Roman" w:eastAsia="宋体" w:cs="Times New Roman"/>
                <w:caps w:val="0"/>
                <w:color w:val="auto"/>
                <w:sz w:val="24"/>
                <w:szCs w:val="24"/>
                <w:highlight w:val="none"/>
                <w:u w:val="none" w:color="auto"/>
              </w:rPr>
              <w:t>月组织开展了自主验收会议，并通过竣工环境保护验收。</w:t>
            </w:r>
          </w:p>
          <w:p w14:paraId="6E89BC2B">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u w:val="none" w:color="auto"/>
                <w:lang w:val="en-US" w:eastAsia="zh-CN"/>
              </w:rPr>
            </w:pPr>
            <w:r>
              <w:rPr>
                <w:rFonts w:hint="eastAsia" w:ascii="Times New Roman" w:hAnsi="Times New Roman" w:eastAsia="宋体" w:cs="Times New Roman"/>
                <w:caps w:val="0"/>
                <w:color w:val="auto"/>
                <w:sz w:val="24"/>
                <w:szCs w:val="24"/>
                <w:highlight w:val="none"/>
                <w:u w:val="none" w:color="auto"/>
                <w:lang w:val="en-US" w:eastAsia="zh-CN"/>
              </w:rPr>
              <w:t>为解决码头转运过程中出现集装箱破损的情况，2024年委托广西一站式工程咨询有限公司编制完成《广西北部湾国际集装箱码头有限公司集装箱修理项目》并于2025年3月3日取得钦州市生态环境局的批复（批文号：自贸钦审批环〔2025〕17号）。在码头区域内配套建设广西北部湾国际集装箱码头有限公司集装箱修理项目，建成年修理集装箱约为12000个，仅对一般装载普通货物的集装箱进行修理。通过调查，目前</w:t>
            </w:r>
            <w:r>
              <w:rPr>
                <w:rFonts w:hint="eastAsia" w:cs="Times New Roman"/>
                <w:caps w:val="0"/>
                <w:color w:val="auto"/>
                <w:sz w:val="24"/>
                <w:szCs w:val="24"/>
                <w:highlight w:val="none"/>
                <w:u w:val="none" w:color="auto"/>
                <w:lang w:val="en-US" w:eastAsia="zh-CN"/>
              </w:rPr>
              <w:t>在设备调试阶段</w:t>
            </w:r>
            <w:r>
              <w:rPr>
                <w:rFonts w:hint="eastAsia" w:ascii="Times New Roman" w:hAnsi="Times New Roman" w:eastAsia="宋体" w:cs="Times New Roman"/>
                <w:caps w:val="0"/>
                <w:color w:val="auto"/>
                <w:sz w:val="24"/>
                <w:szCs w:val="24"/>
                <w:highlight w:val="none"/>
                <w:u w:val="none" w:color="auto"/>
                <w:lang w:val="en-US" w:eastAsia="zh-CN"/>
              </w:rPr>
              <w:t>。</w:t>
            </w:r>
          </w:p>
          <w:p w14:paraId="00586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none" w:color="auto"/>
              </w:rPr>
            </w:pPr>
            <w:r>
              <w:rPr>
                <w:rFonts w:hint="eastAsia" w:cs="Times New Roman"/>
                <w:caps w:val="0"/>
                <w:color w:val="auto"/>
                <w:kern w:val="2"/>
                <w:sz w:val="24"/>
                <w:szCs w:val="22"/>
                <w:highlight w:val="none"/>
                <w:u w:val="none" w:color="auto"/>
                <w:lang w:val="en-US" w:eastAsia="zh-CN" w:bidi="ar-SA"/>
              </w:rPr>
              <w:t>现有工程</w:t>
            </w:r>
            <w:r>
              <w:rPr>
                <w:rFonts w:hint="default" w:ascii="Times New Roman" w:hAnsi="Times New Roman" w:eastAsia="宋体" w:cs="Times New Roman"/>
                <w:caps w:val="0"/>
                <w:color w:val="auto"/>
                <w:kern w:val="2"/>
                <w:sz w:val="24"/>
                <w:szCs w:val="22"/>
                <w:highlight w:val="none"/>
                <w:u w:val="none" w:color="auto"/>
                <w:lang w:val="en-US" w:eastAsia="zh-CN" w:bidi="ar-SA"/>
              </w:rPr>
              <w:t>设计集装箱吞吐量共320万TEU/a，其中危险货物集装箱作业量10万TEU/a，占总吞吐量的3.125%。1#~6#泊位可作业危险货物共8类1869种。</w:t>
            </w:r>
            <w:r>
              <w:rPr>
                <w:rFonts w:hint="default" w:ascii="Times New Roman" w:hAnsi="Times New Roman" w:eastAsia="宋体" w:cs="Times New Roman"/>
                <w:color w:val="auto"/>
                <w:sz w:val="24"/>
                <w:highlight w:val="none"/>
                <w:u w:val="none" w:color="auto"/>
              </w:rPr>
              <w:t>现有工程具体建设内容详见</w:t>
            </w:r>
            <w:r>
              <w:rPr>
                <w:rFonts w:hint="default" w:ascii="Times New Roman" w:hAnsi="Times New Roman" w:eastAsia="宋体" w:cs="Times New Roman"/>
                <w:color w:val="auto"/>
                <w:sz w:val="24"/>
                <w:highlight w:val="none"/>
                <w:u w:val="none" w:color="auto"/>
                <w:lang w:eastAsia="zh-CN"/>
              </w:rPr>
              <w:t>下</w:t>
            </w:r>
            <w:r>
              <w:rPr>
                <w:rFonts w:hint="default" w:ascii="Times New Roman" w:hAnsi="Times New Roman" w:eastAsia="宋体" w:cs="Times New Roman"/>
                <w:color w:val="auto"/>
                <w:sz w:val="24"/>
                <w:highlight w:val="none"/>
                <w:u w:val="none" w:color="auto"/>
              </w:rPr>
              <w:t>表。</w:t>
            </w:r>
          </w:p>
          <w:p w14:paraId="76222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lang w:eastAsia="zh-CN"/>
              </w:rPr>
              <w:t>表</w:t>
            </w:r>
            <w:r>
              <w:rPr>
                <w:rFonts w:hint="default" w:ascii="Times New Roman" w:hAnsi="Times New Roman" w:eastAsia="宋体" w:cs="Times New Roman"/>
                <w:b/>
                <w:bCs/>
                <w:color w:val="auto"/>
                <w:sz w:val="21"/>
                <w:szCs w:val="21"/>
                <w:highlight w:val="none"/>
                <w:u w:val="none" w:color="auto"/>
                <w:lang w:val="en-US" w:eastAsia="zh-CN"/>
              </w:rPr>
              <w:t>2-</w:t>
            </w:r>
            <w:r>
              <w:rPr>
                <w:rFonts w:hint="eastAsia" w:ascii="Times New Roman" w:hAnsi="Times New Roman" w:eastAsia="宋体" w:cs="Times New Roman"/>
                <w:b/>
                <w:bCs/>
                <w:color w:val="auto"/>
                <w:sz w:val="21"/>
                <w:szCs w:val="21"/>
                <w:highlight w:val="none"/>
                <w:u w:val="none" w:color="auto"/>
                <w:lang w:val="en-US" w:eastAsia="zh-CN"/>
              </w:rPr>
              <w:t>5</w:t>
            </w:r>
            <w:r>
              <w:rPr>
                <w:rFonts w:hint="default" w:ascii="Times New Roman" w:hAnsi="Times New Roman" w:eastAsia="宋体" w:cs="Times New Roman"/>
                <w:b/>
                <w:bCs/>
                <w:color w:val="auto"/>
                <w:sz w:val="21"/>
                <w:szCs w:val="21"/>
                <w:highlight w:val="none"/>
                <w:u w:val="none" w:color="auto"/>
                <w:lang w:val="en-US" w:eastAsia="zh-CN"/>
              </w:rPr>
              <w:t>现有工程建设内容一览表</w:t>
            </w:r>
          </w:p>
          <w:tbl>
            <w:tblPr>
              <w:tblStyle w:val="46"/>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81"/>
              <w:gridCol w:w="321"/>
              <w:gridCol w:w="686"/>
              <w:gridCol w:w="6600"/>
            </w:tblGrid>
            <w:tr w14:paraId="139CD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9" w:hRule="atLeast"/>
                <w:tblHeader/>
                <w:jc w:val="center"/>
              </w:trPr>
              <w:tc>
                <w:tcPr>
                  <w:tcW w:w="459" w:type="dxa"/>
                  <w:vMerge w:val="restart"/>
                  <w:tcBorders>
                    <w:tl2br w:val="nil"/>
                    <w:tr2bl w:val="nil"/>
                  </w:tcBorders>
                  <w:noWrap w:val="0"/>
                  <w:vAlign w:val="center"/>
                </w:tcPr>
                <w:p w14:paraId="0157852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工程类别</w:t>
                  </w:r>
                </w:p>
              </w:tc>
              <w:tc>
                <w:tcPr>
                  <w:tcW w:w="961" w:type="dxa"/>
                  <w:gridSpan w:val="2"/>
                  <w:vMerge w:val="restart"/>
                  <w:tcBorders>
                    <w:tl2br w:val="nil"/>
                    <w:tr2bl w:val="nil"/>
                  </w:tcBorders>
                  <w:noWrap w:val="0"/>
                  <w:vAlign w:val="center"/>
                </w:tcPr>
                <w:p w14:paraId="17913BD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组成</w:t>
                  </w:r>
                </w:p>
              </w:tc>
              <w:tc>
                <w:tcPr>
                  <w:tcW w:w="6299" w:type="dxa"/>
                  <w:vMerge w:val="restart"/>
                  <w:tcBorders>
                    <w:tl2br w:val="nil"/>
                    <w:tr2bl w:val="nil"/>
                  </w:tcBorders>
                  <w:noWrap w:val="0"/>
                  <w:vAlign w:val="center"/>
                </w:tcPr>
                <w:p w14:paraId="7EC8D479">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lang w:val="en-US" w:eastAsia="zh-CN"/>
                    </w:rPr>
                    <w:t>现有工程</w:t>
                  </w:r>
                  <w:r>
                    <w:rPr>
                      <w:rFonts w:hint="default" w:ascii="Times New Roman" w:hAnsi="Times New Roman" w:eastAsia="宋体" w:cs="Times New Roman"/>
                      <w:b/>
                      <w:caps w:val="0"/>
                      <w:color w:val="auto"/>
                      <w:sz w:val="21"/>
                      <w:szCs w:val="21"/>
                      <w:highlight w:val="none"/>
                      <w:u w:val="none" w:color="auto"/>
                    </w:rPr>
                    <w:t>规模</w:t>
                  </w:r>
                </w:p>
              </w:tc>
            </w:tr>
            <w:tr w14:paraId="678C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9" w:hRule="atLeast"/>
                <w:tblHeader/>
                <w:jc w:val="center"/>
              </w:trPr>
              <w:tc>
                <w:tcPr>
                  <w:tcW w:w="459" w:type="dxa"/>
                  <w:vMerge w:val="continue"/>
                  <w:tcBorders>
                    <w:tl2br w:val="nil"/>
                    <w:tr2bl w:val="nil"/>
                  </w:tcBorders>
                  <w:noWrap w:val="0"/>
                  <w:vAlign w:val="center"/>
                </w:tcPr>
                <w:p w14:paraId="7E21485A">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u w:val="none" w:color="auto"/>
                    </w:rPr>
                  </w:pPr>
                </w:p>
              </w:tc>
              <w:tc>
                <w:tcPr>
                  <w:tcW w:w="961" w:type="dxa"/>
                  <w:gridSpan w:val="2"/>
                  <w:vMerge w:val="continue"/>
                  <w:tcBorders>
                    <w:tl2br w:val="nil"/>
                    <w:tr2bl w:val="nil"/>
                  </w:tcBorders>
                  <w:noWrap w:val="0"/>
                  <w:vAlign w:val="center"/>
                </w:tcPr>
                <w:p w14:paraId="3171642E">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u w:val="none" w:color="auto"/>
                    </w:rPr>
                  </w:pPr>
                </w:p>
              </w:tc>
              <w:tc>
                <w:tcPr>
                  <w:tcW w:w="6299" w:type="dxa"/>
                  <w:vMerge w:val="continue"/>
                  <w:tcBorders>
                    <w:tl2br w:val="nil"/>
                    <w:tr2bl w:val="nil"/>
                  </w:tcBorders>
                  <w:noWrap w:val="0"/>
                  <w:vAlign w:val="center"/>
                </w:tcPr>
                <w:p w14:paraId="57FEDD0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highlight w:val="none"/>
                      <w:u w:val="none" w:color="auto"/>
                    </w:rPr>
                  </w:pPr>
                </w:p>
              </w:tc>
            </w:tr>
            <w:tr w14:paraId="6328E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restart"/>
                  <w:tcBorders>
                    <w:tl2br w:val="nil"/>
                    <w:tr2bl w:val="nil"/>
                  </w:tcBorders>
                  <w:noWrap w:val="0"/>
                  <w:vAlign w:val="center"/>
                </w:tcPr>
                <w:p w14:paraId="215D8883">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主体工程</w:t>
                  </w:r>
                </w:p>
              </w:tc>
              <w:tc>
                <w:tcPr>
                  <w:tcW w:w="961" w:type="dxa"/>
                  <w:gridSpan w:val="2"/>
                  <w:tcBorders>
                    <w:tl2br w:val="nil"/>
                    <w:tr2bl w:val="nil"/>
                  </w:tcBorders>
                  <w:noWrap w:val="0"/>
                  <w:vAlign w:val="center"/>
                </w:tcPr>
                <w:p w14:paraId="4C9148F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泊位数、年吞吐量及通过能力等</w:t>
                  </w:r>
                </w:p>
              </w:tc>
              <w:tc>
                <w:tcPr>
                  <w:tcW w:w="6299" w:type="dxa"/>
                  <w:tcBorders>
                    <w:tl2br w:val="nil"/>
                    <w:tr2bl w:val="nil"/>
                  </w:tcBorders>
                  <w:noWrap w:val="0"/>
                  <w:vAlign w:val="center"/>
                </w:tcPr>
                <w:p w14:paraId="03BABD03">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rPr>
                    <w:t>6个7万吨级多用途泊位（水工按10万吨级设计），设计集装箱吞吐量共320万TEU/a，其中危险货物集装箱作业量</w:t>
                  </w:r>
                  <w:r>
                    <w:rPr>
                      <w:rFonts w:hint="eastAsia" w:ascii="Times New Roman" w:hAnsi="Times New Roman" w:eastAsia="宋体" w:cs="Times New Roman"/>
                      <w:caps w:val="0"/>
                      <w:color w:val="auto"/>
                      <w:sz w:val="21"/>
                      <w:szCs w:val="21"/>
                      <w:highlight w:val="none"/>
                      <w:u w:val="none" w:color="auto"/>
                      <w:lang w:val="en-US" w:eastAsia="zh-CN"/>
                    </w:rPr>
                    <w:t>10</w:t>
                  </w:r>
                  <w:r>
                    <w:rPr>
                      <w:rFonts w:hint="default" w:ascii="Times New Roman" w:hAnsi="Times New Roman" w:eastAsia="宋体" w:cs="Times New Roman"/>
                      <w:caps w:val="0"/>
                      <w:color w:val="auto"/>
                      <w:sz w:val="21"/>
                      <w:szCs w:val="21"/>
                      <w:highlight w:val="none"/>
                      <w:u w:val="none" w:color="auto"/>
                    </w:rPr>
                    <w:t>万TEU/a，占总吞吐量的</w:t>
                  </w:r>
                  <w:r>
                    <w:rPr>
                      <w:rFonts w:hint="eastAsia" w:ascii="Times New Roman" w:hAnsi="Times New Roman" w:eastAsia="宋体" w:cs="Times New Roman"/>
                      <w:caps w:val="0"/>
                      <w:color w:val="auto"/>
                      <w:sz w:val="21"/>
                      <w:szCs w:val="21"/>
                      <w:highlight w:val="none"/>
                      <w:u w:val="none" w:color="auto"/>
                      <w:lang w:val="en-US" w:eastAsia="zh-CN"/>
                    </w:rPr>
                    <w:t>3.125</w:t>
                  </w:r>
                  <w:r>
                    <w:rPr>
                      <w:rFonts w:hint="default" w:ascii="Times New Roman" w:hAnsi="Times New Roman" w:eastAsia="宋体" w:cs="Times New Roman"/>
                      <w:caps w:val="0"/>
                      <w:color w:val="auto"/>
                      <w:sz w:val="21"/>
                      <w:szCs w:val="21"/>
                      <w:highlight w:val="none"/>
                      <w:u w:val="none" w:color="auto"/>
                    </w:rPr>
                    <w:t>%。</w:t>
                  </w:r>
                  <w:r>
                    <w:rPr>
                      <w:rFonts w:hint="default" w:ascii="Times New Roman" w:hAnsi="Times New Roman" w:eastAsia="宋体" w:cs="Times New Roman"/>
                      <w:caps w:val="0"/>
                      <w:color w:val="auto"/>
                      <w:kern w:val="2"/>
                      <w:sz w:val="21"/>
                      <w:szCs w:val="21"/>
                      <w:highlight w:val="none"/>
                      <w:u w:val="none" w:color="auto"/>
                      <w:lang w:val="en-US" w:eastAsia="zh-CN" w:bidi="ar-SA"/>
                    </w:rPr>
                    <w:t>1#~6#泊位可作业危险货物共8类1869种</w:t>
                  </w:r>
                  <w:r>
                    <w:rPr>
                      <w:rFonts w:hint="eastAsia" w:ascii="Times New Roman" w:hAnsi="Times New Roman" w:eastAsia="宋体" w:cs="Times New Roman"/>
                      <w:caps w:val="0"/>
                      <w:color w:val="auto"/>
                      <w:kern w:val="2"/>
                      <w:sz w:val="21"/>
                      <w:szCs w:val="21"/>
                      <w:highlight w:val="none"/>
                      <w:u w:val="none" w:color="auto"/>
                      <w:lang w:val="en-US" w:eastAsia="zh-CN" w:bidi="ar-SA"/>
                    </w:rPr>
                    <w:t>。</w:t>
                  </w:r>
                </w:p>
              </w:tc>
            </w:tr>
            <w:tr w14:paraId="4B6E6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3" w:hRule="atLeast"/>
                <w:jc w:val="center"/>
              </w:trPr>
              <w:tc>
                <w:tcPr>
                  <w:tcW w:w="459" w:type="dxa"/>
                  <w:vMerge w:val="continue"/>
                  <w:tcBorders>
                    <w:tl2br w:val="nil"/>
                    <w:tr2bl w:val="nil"/>
                  </w:tcBorders>
                  <w:noWrap w:val="0"/>
                  <w:vAlign w:val="center"/>
                </w:tcPr>
                <w:p w14:paraId="7EA2D1F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restart"/>
                  <w:tcBorders>
                    <w:tl2br w:val="nil"/>
                    <w:tr2bl w:val="nil"/>
                  </w:tcBorders>
                  <w:noWrap w:val="0"/>
                  <w:vAlign w:val="center"/>
                </w:tcPr>
                <w:p w14:paraId="43770F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装卸工艺</w:t>
                  </w:r>
                </w:p>
              </w:tc>
              <w:tc>
                <w:tcPr>
                  <w:tcW w:w="6299" w:type="dxa"/>
                  <w:tcBorders>
                    <w:tl2br w:val="nil"/>
                    <w:tr2bl w:val="nil"/>
                  </w:tcBorders>
                  <w:noWrap w:val="0"/>
                  <w:vAlign w:val="center"/>
                </w:tcPr>
                <w:p w14:paraId="3527F3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重箱、冷藏箱：</w:t>
                  </w:r>
                </w:p>
                <w:p w14:paraId="1F3F5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船←→岸桥←→集装箱牵引车拖半挂车←→轨道式场桥←→堆场；</w:t>
                  </w:r>
                </w:p>
                <w:p w14:paraId="40202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lang w:val="en-US"/>
                    </w:rPr>
                  </w:pPr>
                  <w:r>
                    <w:rPr>
                      <w:rFonts w:hint="default" w:ascii="Times New Roman" w:hAnsi="Times New Roman" w:eastAsia="宋体" w:cs="Times New Roman"/>
                      <w:bCs/>
                      <w:caps w:val="0"/>
                      <w:color w:val="auto"/>
                      <w:kern w:val="2"/>
                      <w:sz w:val="21"/>
                      <w:szCs w:val="21"/>
                      <w:highlight w:val="none"/>
                      <w:u w:val="none" w:color="auto"/>
                      <w:lang w:val="en-US" w:eastAsia="zh-CN" w:bidi="ar-SA"/>
                    </w:rPr>
                    <w:t>堆场←→轨道式场桥←→集装箱牵引车拖半挂车←→货主、拆装箱区。</w:t>
                  </w:r>
                </w:p>
              </w:tc>
            </w:tr>
            <w:tr w14:paraId="3759B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6DCB1DE0">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18CEDA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p>
              </w:tc>
              <w:tc>
                <w:tcPr>
                  <w:tcW w:w="6299" w:type="dxa"/>
                  <w:tcBorders>
                    <w:tl2br w:val="nil"/>
                    <w:tr2bl w:val="nil"/>
                  </w:tcBorders>
                  <w:noWrap w:val="0"/>
                  <w:vAlign w:val="center"/>
                </w:tcPr>
                <w:p w14:paraId="7F761AED">
                  <w:pPr>
                    <w:pStyle w:val="148"/>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空箱：</w:t>
                  </w:r>
                </w:p>
                <w:p w14:paraId="49450724">
                  <w:pPr>
                    <w:pStyle w:val="148"/>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船←→岸桥←→集装箱牵引车拖半挂车←→空箱堆高机←→空箱堆场；</w:t>
                  </w:r>
                </w:p>
                <w:p w14:paraId="1D901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bCs/>
                      <w:caps w:val="0"/>
                      <w:color w:val="auto"/>
                      <w:kern w:val="2"/>
                      <w:sz w:val="21"/>
                      <w:szCs w:val="21"/>
                      <w:highlight w:val="none"/>
                      <w:u w:val="none" w:color="auto"/>
                      <w:lang w:val="en-US" w:eastAsia="zh-CN" w:bidi="ar-SA"/>
                    </w:rPr>
                    <w:t>空箱堆场←→空箱堆高机←→牵引车拖半挂车←→货主、拆装箱区。</w:t>
                  </w:r>
                </w:p>
              </w:tc>
            </w:tr>
            <w:tr w14:paraId="6D978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921" w:hRule="atLeast"/>
                <w:jc w:val="center"/>
              </w:trPr>
              <w:tc>
                <w:tcPr>
                  <w:tcW w:w="459" w:type="dxa"/>
                  <w:vMerge w:val="continue"/>
                  <w:tcBorders>
                    <w:tl2br w:val="nil"/>
                    <w:tr2bl w:val="nil"/>
                  </w:tcBorders>
                  <w:noWrap w:val="0"/>
                  <w:vAlign w:val="center"/>
                </w:tcPr>
                <w:p w14:paraId="0CAF6FA9">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3929E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p>
              </w:tc>
              <w:tc>
                <w:tcPr>
                  <w:tcW w:w="6299" w:type="dxa"/>
                  <w:tcBorders>
                    <w:tl2br w:val="nil"/>
                    <w:tr2bl w:val="nil"/>
                  </w:tcBorders>
                  <w:noWrap w:val="0"/>
                  <w:vAlign w:val="center"/>
                </w:tcPr>
                <w:p w14:paraId="712498F1">
                  <w:pPr>
                    <w:pStyle w:val="148"/>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b/>
                      <w:bCs w:val="0"/>
                      <w:caps w:val="0"/>
                      <w:color w:val="auto"/>
                      <w:kern w:val="2"/>
                      <w:sz w:val="21"/>
                      <w:szCs w:val="21"/>
                      <w:highlight w:val="none"/>
                      <w:u w:val="none" w:color="auto"/>
                      <w:lang w:val="en-US" w:eastAsia="zh-CN" w:bidi="ar-SA"/>
                    </w:rPr>
                    <w:t>危险品箱：现有危险货物部分进入危险货物集装箱专用堆场堆存，部分直装直取；堆场堆存货类见《港口危险货物作业附证》，附证所列货种均为“</w:t>
                  </w:r>
                  <w:r>
                    <w:rPr>
                      <w:rFonts w:hint="default" w:ascii="Times New Roman" w:hAnsi="Times New Roman" w:eastAsia="宋体" w:cs="Times New Roman"/>
                      <w:caps w:val="0"/>
                      <w:color w:val="auto"/>
                      <w:kern w:val="2"/>
                      <w:sz w:val="21"/>
                      <w:szCs w:val="21"/>
                      <w:highlight w:val="none"/>
                      <w:u w:val="none" w:color="auto"/>
                      <w:lang w:val="en-US" w:eastAsia="zh-CN" w:bidi="ar-SA"/>
                    </w:rPr>
                    <w:t>1#、2#泊位新增危险货种1814种，3#~6#泊位新增危险货种1844种。本项目新增货类后，1#~6#泊位可作业危险货物集装箱货种一致，共8类1869种</w:t>
                  </w:r>
                  <w:r>
                    <w:rPr>
                      <w:rFonts w:hint="eastAsia" w:ascii="Times New Roman" w:hAnsi="Times New Roman" w:eastAsia="宋体" w:cs="Times New Roman"/>
                      <w:caps w:val="0"/>
                      <w:color w:val="auto"/>
                      <w:kern w:val="2"/>
                      <w:sz w:val="21"/>
                      <w:szCs w:val="21"/>
                      <w:highlight w:val="none"/>
                      <w:u w:val="none" w:color="auto"/>
                      <w:lang w:val="en-US" w:eastAsia="zh-CN" w:bidi="ar-SA"/>
                    </w:rPr>
                    <w:t>”</w:t>
                  </w:r>
                </w:p>
                <w:p w14:paraId="4D07A950">
                  <w:pPr>
                    <w:pStyle w:val="148"/>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货主←→集卡←→</w:t>
                  </w:r>
                  <w:r>
                    <w:rPr>
                      <w:rFonts w:hint="eastAsia" w:ascii="Times New Roman" w:hAnsi="Times New Roman" w:cs="Times New Roman"/>
                      <w:bCs/>
                      <w:caps w:val="0"/>
                      <w:color w:val="auto"/>
                      <w:kern w:val="2"/>
                      <w:sz w:val="21"/>
                      <w:szCs w:val="21"/>
                      <w:highlight w:val="none"/>
                      <w:u w:val="none" w:color="auto"/>
                      <w:lang w:val="en-US" w:eastAsia="zh-CN" w:bidi="ar-SA"/>
                    </w:rPr>
                    <w:t>正面吊、轮胎式龙门起重机</w:t>
                  </w:r>
                  <w:r>
                    <w:rPr>
                      <w:rFonts w:hint="default" w:ascii="Times New Roman" w:hAnsi="Times New Roman" w:eastAsia="宋体" w:cs="Times New Roman"/>
                      <w:bCs/>
                      <w:caps w:val="0"/>
                      <w:color w:val="auto"/>
                      <w:kern w:val="2"/>
                      <w:sz w:val="21"/>
                      <w:szCs w:val="21"/>
                      <w:highlight w:val="none"/>
                      <w:u w:val="none" w:color="auto"/>
                      <w:lang w:val="en-US" w:eastAsia="zh-CN" w:bidi="ar-SA"/>
                    </w:rPr>
                    <w:t>←→危险货物集装箱专用堆场；</w:t>
                  </w:r>
                </w:p>
                <w:p w14:paraId="2582B11E">
                  <w:pPr>
                    <w:pStyle w:val="148"/>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危险货物集装箱专用堆场←→</w:t>
                  </w:r>
                  <w:r>
                    <w:rPr>
                      <w:rFonts w:hint="eastAsia" w:ascii="Times New Roman" w:hAnsi="Times New Roman" w:cs="Times New Roman"/>
                      <w:bCs/>
                      <w:caps w:val="0"/>
                      <w:color w:val="auto"/>
                      <w:kern w:val="2"/>
                      <w:sz w:val="21"/>
                      <w:szCs w:val="21"/>
                      <w:highlight w:val="none"/>
                      <w:u w:val="none" w:color="auto"/>
                      <w:lang w:val="en-US" w:eastAsia="zh-CN" w:bidi="ar-SA"/>
                    </w:rPr>
                    <w:t>正面吊、轮胎式龙门起重机</w:t>
                  </w:r>
                  <w:r>
                    <w:rPr>
                      <w:rFonts w:hint="default" w:ascii="Times New Roman" w:hAnsi="Times New Roman" w:eastAsia="宋体" w:cs="Times New Roman"/>
                      <w:bCs/>
                      <w:caps w:val="0"/>
                      <w:color w:val="auto"/>
                      <w:kern w:val="2"/>
                      <w:sz w:val="21"/>
                      <w:szCs w:val="21"/>
                      <w:highlight w:val="none"/>
                      <w:u w:val="none" w:color="auto"/>
                      <w:lang w:val="en-US" w:eastAsia="zh-CN" w:bidi="ar-SA"/>
                    </w:rPr>
                    <w:t>←→集卡←→岸桥←→船；</w:t>
                  </w:r>
                </w:p>
                <w:p w14:paraId="67DC43A4">
                  <w:pPr>
                    <w:pStyle w:val="148"/>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zh-CN" w:bidi="ar-SA"/>
                    </w:rPr>
                  </w:pPr>
                  <w:r>
                    <w:rPr>
                      <w:rFonts w:hint="default" w:ascii="Times New Roman" w:hAnsi="Times New Roman" w:eastAsia="宋体" w:cs="Times New Roman"/>
                      <w:bCs/>
                      <w:caps w:val="0"/>
                      <w:color w:val="auto"/>
                      <w:kern w:val="2"/>
                      <w:sz w:val="21"/>
                      <w:szCs w:val="21"/>
                      <w:highlight w:val="none"/>
                      <w:u w:val="none" w:color="auto"/>
                      <w:lang w:val="en-US" w:eastAsia="zh-CN" w:bidi="ar-SA"/>
                    </w:rPr>
                    <w:t>集装箱驳船（穿梭巴士）→桥岸→外贸集装箱班轮大船；</w:t>
                  </w:r>
                </w:p>
                <w:p w14:paraId="66222299">
                  <w:pPr>
                    <w:pStyle w:val="148"/>
                    <w:keepNext w:val="0"/>
                    <w:keepLines w:val="0"/>
                    <w:suppressLineNumbers w:val="0"/>
                    <w:snapToGrid w:val="0"/>
                    <w:spacing w:before="0" w:beforeAutospacing="0" w:after="0" w:afterAutospacing="0" w:line="240" w:lineRule="auto"/>
                    <w:ind w:left="0" w:leftChars="0" w:right="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bCs/>
                      <w:caps w:val="0"/>
                      <w:color w:val="auto"/>
                      <w:kern w:val="2"/>
                      <w:sz w:val="21"/>
                      <w:szCs w:val="21"/>
                      <w:highlight w:val="none"/>
                      <w:u w:val="none" w:color="auto"/>
                      <w:lang w:val="en-US" w:eastAsia="zh-CN" w:bidi="ar-SA"/>
                    </w:rPr>
                    <w:t>集装箱驳船（穿梭巴士）→桥岸→港内集卡→桥岸→外贸集装箱班轮大船。</w:t>
                  </w:r>
                </w:p>
              </w:tc>
            </w:tr>
            <w:tr w14:paraId="7555A4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13" w:hRule="atLeast"/>
                <w:jc w:val="center"/>
              </w:trPr>
              <w:tc>
                <w:tcPr>
                  <w:tcW w:w="459" w:type="dxa"/>
                  <w:vMerge w:val="continue"/>
                  <w:tcBorders>
                    <w:tl2br w:val="nil"/>
                    <w:tr2bl w:val="nil"/>
                  </w:tcBorders>
                  <w:noWrap w:val="0"/>
                  <w:vAlign w:val="center"/>
                </w:tcPr>
                <w:p w14:paraId="7D38D612">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74C33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水工结构</w:t>
                  </w:r>
                </w:p>
              </w:tc>
              <w:tc>
                <w:tcPr>
                  <w:tcW w:w="6299" w:type="dxa"/>
                  <w:tcBorders>
                    <w:tl2br w:val="nil"/>
                    <w:tr2bl w:val="nil"/>
                  </w:tcBorders>
                  <w:noWrap w:val="0"/>
                  <w:vAlign w:val="center"/>
                </w:tcPr>
                <w:p w14:paraId="043C7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vertAlign w:val="baseline"/>
                      <w:lang w:val="en-US" w:eastAsia="zh-CN"/>
                    </w:rPr>
                    <w:t>码头岸线总长1808m，宽86m，泊位前沿底高程-15.1m。</w:t>
                  </w:r>
                </w:p>
              </w:tc>
            </w:tr>
            <w:tr w14:paraId="7180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13B0DA6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0025EA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港区陆域</w:t>
                  </w:r>
                </w:p>
              </w:tc>
              <w:tc>
                <w:tcPr>
                  <w:tcW w:w="6299" w:type="dxa"/>
                  <w:tcBorders>
                    <w:tl2br w:val="nil"/>
                    <w:tr2bl w:val="nil"/>
                  </w:tcBorders>
                  <w:noWrap w:val="0"/>
                  <w:vAlign w:val="center"/>
                </w:tcPr>
                <w:p w14:paraId="33D05D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陆域占地总面积约135.64万m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建设集装箱</w:t>
                  </w:r>
                  <w:r>
                    <w:rPr>
                      <w:rFonts w:hint="default" w:ascii="Times New Roman" w:hAnsi="Times New Roman" w:eastAsia="宋体" w:cs="Times New Roman"/>
                      <w:caps w:val="0"/>
                      <w:color w:val="auto"/>
                      <w:sz w:val="21"/>
                      <w:szCs w:val="21"/>
                      <w:highlight w:val="none"/>
                      <w:u w:val="none" w:color="auto"/>
                    </w:rPr>
                    <w:t>堆场面积为</w:t>
                  </w:r>
                  <w:r>
                    <w:rPr>
                      <w:rFonts w:hint="default" w:ascii="Times New Roman" w:hAnsi="Times New Roman" w:eastAsia="宋体" w:cs="Times New Roman"/>
                      <w:caps w:val="0"/>
                      <w:color w:val="auto"/>
                      <w:sz w:val="21"/>
                      <w:szCs w:val="21"/>
                      <w:highlight w:val="none"/>
                      <w:u w:val="none" w:color="auto"/>
                      <w:lang w:val="en-US" w:eastAsia="zh-CN"/>
                    </w:rPr>
                    <w:t>988747</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default" w:ascii="Times New Roman" w:hAnsi="Times New Roman" w:eastAsia="宋体" w:cs="Times New Roman"/>
                      <w:caps w:val="0"/>
                      <w:color w:val="auto"/>
                      <w:sz w:val="21"/>
                      <w:szCs w:val="21"/>
                      <w:highlight w:val="none"/>
                      <w:u w:val="none" w:color="auto"/>
                      <w:vertAlign w:val="baseline"/>
                      <w:lang w:val="en-US" w:eastAsia="zh-CN"/>
                    </w:rPr>
                    <w:t>含1个5000m</w:t>
                  </w:r>
                  <w:r>
                    <w:rPr>
                      <w:rFonts w:hint="default" w:ascii="Times New Roman" w:hAnsi="Times New Roman" w:eastAsia="宋体" w:cs="Times New Roman"/>
                      <w:caps w:val="0"/>
                      <w:color w:val="auto"/>
                      <w:sz w:val="21"/>
                      <w:szCs w:val="21"/>
                      <w:highlight w:val="none"/>
                      <w:u w:val="none" w:color="auto"/>
                      <w:vertAlign w:val="superscript"/>
                      <w:lang w:val="en-US" w:eastAsia="zh-CN"/>
                    </w:rPr>
                    <w:t>2</w:t>
                  </w:r>
                  <w:r>
                    <w:rPr>
                      <w:rFonts w:hint="default" w:ascii="Times New Roman" w:hAnsi="Times New Roman" w:eastAsia="宋体" w:cs="Times New Roman"/>
                      <w:caps w:val="0"/>
                      <w:color w:val="auto"/>
                      <w:sz w:val="21"/>
                      <w:szCs w:val="21"/>
                      <w:highlight w:val="none"/>
                      <w:u w:val="none" w:color="auto"/>
                      <w:vertAlign w:val="baseline"/>
                      <w:lang w:val="en-US" w:eastAsia="zh-CN"/>
                    </w:rPr>
                    <w:t>危险品货种集装箱堆场</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default" w:ascii="Times New Roman" w:hAnsi="Times New Roman" w:eastAsia="宋体" w:cs="Times New Roman"/>
                      <w:caps w:val="0"/>
                      <w:color w:val="auto"/>
                      <w:sz w:val="21"/>
                      <w:szCs w:val="21"/>
                      <w:highlight w:val="none"/>
                      <w:u w:val="none" w:color="auto"/>
                      <w:vertAlign w:val="baseline"/>
                      <w:lang w:val="en-US" w:eastAsia="zh-CN"/>
                    </w:rPr>
                    <w:t>港内集卡停车场面积为26097</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r>
                    <w:rPr>
                      <w:rFonts w:hint="default" w:ascii="Times New Roman" w:hAnsi="Times New Roman" w:eastAsia="宋体" w:cs="Times New Roman"/>
                      <w:caps w:val="0"/>
                      <w:color w:val="auto"/>
                      <w:sz w:val="21"/>
                      <w:szCs w:val="21"/>
                      <w:highlight w:val="none"/>
                      <w:u w:val="none" w:color="auto"/>
                      <w:vertAlign w:val="baseline"/>
                      <w:lang w:eastAsia="zh-CN"/>
                    </w:rPr>
                    <w:t>、</w:t>
                  </w:r>
                  <w:r>
                    <w:rPr>
                      <w:rFonts w:hint="eastAsia" w:ascii="Times New Roman" w:hAnsi="Times New Roman" w:eastAsia="宋体" w:cs="Times New Roman"/>
                      <w:caps w:val="0"/>
                      <w:color w:val="auto"/>
                      <w:sz w:val="21"/>
                      <w:szCs w:val="21"/>
                      <w:highlight w:val="none"/>
                      <w:u w:val="none" w:color="auto"/>
                      <w:vertAlign w:val="baseline"/>
                      <w:lang w:eastAsia="zh-CN"/>
                    </w:rPr>
                    <w:t>候工楼</w:t>
                  </w:r>
                  <w:r>
                    <w:rPr>
                      <w:rFonts w:hint="default" w:ascii="Times New Roman" w:hAnsi="Times New Roman" w:eastAsia="宋体" w:cs="Times New Roman"/>
                      <w:caps w:val="0"/>
                      <w:color w:val="auto"/>
                      <w:sz w:val="21"/>
                      <w:szCs w:val="21"/>
                      <w:highlight w:val="none"/>
                      <w:u w:val="none" w:color="auto"/>
                      <w:vertAlign w:val="baseline"/>
                      <w:lang w:val="en-US" w:eastAsia="zh-CN"/>
                    </w:rPr>
                    <w:t>、维修站场、港内加油站、危险废物暂存间、含油污水处理站、应急物资库及</w:t>
                  </w:r>
                  <w:r>
                    <w:rPr>
                      <w:rFonts w:hint="default" w:ascii="Times New Roman" w:hAnsi="Times New Roman" w:eastAsia="宋体" w:cs="Times New Roman"/>
                      <w:caps w:val="0"/>
                      <w:color w:val="auto"/>
                      <w:sz w:val="21"/>
                      <w:szCs w:val="21"/>
                      <w:highlight w:val="none"/>
                      <w:u w:val="none" w:color="auto"/>
                    </w:rPr>
                    <w:t>变电所等。</w:t>
                  </w:r>
                </w:p>
              </w:tc>
            </w:tr>
            <w:tr w14:paraId="3B900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29567BB">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26B79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航道</w:t>
                  </w:r>
                </w:p>
              </w:tc>
              <w:tc>
                <w:tcPr>
                  <w:tcW w:w="6299" w:type="dxa"/>
                  <w:tcBorders>
                    <w:tl2br w:val="nil"/>
                    <w:tr2bl w:val="nil"/>
                  </w:tcBorders>
                  <w:noWrap w:val="0"/>
                  <w:vAlign w:val="center"/>
                </w:tcPr>
                <w:p w14:paraId="604BF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依托钦州湾东航道的大榄坪航道。</w:t>
                  </w:r>
                </w:p>
              </w:tc>
            </w:tr>
            <w:tr w14:paraId="30630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3C02D809">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shd w:val="clear" w:color="auto" w:fill="auto"/>
                  <w:noWrap w:val="0"/>
                  <w:vAlign w:val="center"/>
                </w:tcPr>
                <w:p w14:paraId="6C13A8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锚地</w:t>
                  </w:r>
                </w:p>
              </w:tc>
              <w:tc>
                <w:tcPr>
                  <w:tcW w:w="6299" w:type="dxa"/>
                  <w:tcBorders>
                    <w:tl2br w:val="nil"/>
                    <w:tr2bl w:val="nil"/>
                  </w:tcBorders>
                  <w:shd w:val="clear" w:color="auto" w:fill="auto"/>
                  <w:noWrap w:val="0"/>
                  <w:vAlign w:val="center"/>
                </w:tcPr>
                <w:p w14:paraId="62474168">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bCs/>
                      <w:caps w:val="0"/>
                      <w:color w:val="auto"/>
                      <w:kern w:val="2"/>
                      <w:sz w:val="21"/>
                      <w:szCs w:val="21"/>
                      <w:highlight w:val="none"/>
                      <w:u w:val="none" w:color="auto"/>
                      <w:lang w:val="en-US" w:eastAsia="en-US" w:bidi="ar-SA"/>
                    </w:rPr>
                  </w:pPr>
                  <w:r>
                    <w:rPr>
                      <w:rFonts w:hint="default" w:ascii="Times New Roman" w:hAnsi="Times New Roman" w:eastAsia="宋体" w:cs="Times New Roman"/>
                      <w:caps w:val="0"/>
                      <w:color w:val="auto"/>
                      <w:sz w:val="21"/>
                      <w:szCs w:val="21"/>
                      <w:highlight w:val="none"/>
                      <w:u w:val="none" w:color="auto"/>
                    </w:rPr>
                    <w:t>依托钦州港</w:t>
                  </w:r>
                  <w:r>
                    <w:rPr>
                      <w:rFonts w:hint="default" w:ascii="Times New Roman" w:hAnsi="Times New Roman" w:eastAsia="宋体" w:cs="Times New Roman"/>
                      <w:caps w:val="0"/>
                      <w:color w:val="auto"/>
                      <w:sz w:val="21"/>
                      <w:szCs w:val="21"/>
                      <w:highlight w:val="none"/>
                      <w:u w:val="none" w:color="auto"/>
                      <w:lang w:val="en-US" w:eastAsia="zh-CN"/>
                    </w:rPr>
                    <w:t>规划设置的锚地</w:t>
                  </w:r>
                  <w:r>
                    <w:rPr>
                      <w:rFonts w:hint="default" w:ascii="Times New Roman" w:hAnsi="Times New Roman" w:eastAsia="宋体" w:cs="Times New Roman"/>
                      <w:caps w:val="0"/>
                      <w:color w:val="auto"/>
                      <w:sz w:val="21"/>
                      <w:szCs w:val="21"/>
                      <w:highlight w:val="none"/>
                      <w:u w:val="none" w:color="auto"/>
                    </w:rPr>
                    <w:t>，作为</w:t>
                  </w:r>
                  <w:r>
                    <w:rPr>
                      <w:rFonts w:hint="default" w:ascii="Times New Roman" w:hAnsi="Times New Roman" w:eastAsia="宋体" w:cs="Times New Roman"/>
                      <w:caps w:val="0"/>
                      <w:color w:val="auto"/>
                      <w:sz w:val="21"/>
                      <w:szCs w:val="21"/>
                      <w:highlight w:val="none"/>
                      <w:u w:val="none" w:color="auto"/>
                      <w:lang w:val="en-US" w:eastAsia="zh-CN"/>
                    </w:rPr>
                    <w:t>现有工程</w:t>
                  </w:r>
                  <w:r>
                    <w:rPr>
                      <w:rFonts w:hint="default" w:ascii="Times New Roman" w:hAnsi="Times New Roman" w:eastAsia="宋体" w:cs="Times New Roman"/>
                      <w:caps w:val="0"/>
                      <w:color w:val="auto"/>
                      <w:sz w:val="21"/>
                      <w:szCs w:val="21"/>
                      <w:highlight w:val="none"/>
                      <w:u w:val="none" w:color="auto"/>
                    </w:rPr>
                    <w:t>船舶锚泊地。</w:t>
                  </w:r>
                </w:p>
              </w:tc>
            </w:tr>
            <w:tr w14:paraId="5645D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restart"/>
                  <w:tcBorders>
                    <w:tl2br w:val="nil"/>
                    <w:tr2bl w:val="nil"/>
                  </w:tcBorders>
                  <w:noWrap w:val="0"/>
                  <w:vAlign w:val="center"/>
                </w:tcPr>
                <w:p w14:paraId="4F6F388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辅助工程</w:t>
                  </w:r>
                </w:p>
              </w:tc>
              <w:tc>
                <w:tcPr>
                  <w:tcW w:w="961" w:type="dxa"/>
                  <w:gridSpan w:val="2"/>
                  <w:tcBorders>
                    <w:tl2br w:val="nil"/>
                    <w:tr2bl w:val="nil"/>
                  </w:tcBorders>
                  <w:noWrap w:val="0"/>
                  <w:vAlign w:val="center"/>
                </w:tcPr>
                <w:p w14:paraId="3A96796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生产及辅助建筑物</w:t>
                  </w:r>
                </w:p>
              </w:tc>
              <w:tc>
                <w:tcPr>
                  <w:tcW w:w="6299" w:type="dxa"/>
                  <w:tcBorders>
                    <w:tl2br w:val="nil"/>
                    <w:tr2bl w:val="nil"/>
                  </w:tcBorders>
                  <w:noWrap w:val="0"/>
                  <w:vAlign w:val="center"/>
                </w:tcPr>
                <w:p w14:paraId="279ACA82">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建设</w:t>
                  </w:r>
                  <w:r>
                    <w:rPr>
                      <w:rFonts w:hint="default" w:ascii="Times New Roman" w:hAnsi="Times New Roman" w:eastAsia="宋体" w:cs="Times New Roman"/>
                      <w:caps w:val="0"/>
                      <w:color w:val="auto"/>
                      <w:sz w:val="21"/>
                      <w:szCs w:val="21"/>
                      <w:highlight w:val="none"/>
                      <w:u w:val="none" w:color="auto"/>
                    </w:rPr>
                    <w:t>变电房</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候工楼、仓库（主要为粮食仓库）</w:t>
                  </w:r>
                  <w:r>
                    <w:rPr>
                      <w:rFonts w:hint="default" w:ascii="Times New Roman" w:hAnsi="Times New Roman" w:eastAsia="宋体" w:cs="Times New Roman"/>
                      <w:caps w:val="0"/>
                      <w:color w:val="auto"/>
                      <w:sz w:val="21"/>
                      <w:szCs w:val="21"/>
                      <w:highlight w:val="none"/>
                      <w:u w:val="none" w:color="auto"/>
                      <w:lang w:eastAsia="zh-CN"/>
                    </w:rPr>
                    <w:t>。</w:t>
                  </w:r>
                </w:p>
              </w:tc>
            </w:tr>
            <w:tr w14:paraId="26D4D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7EEFE6DA">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0AD7C5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修箱区</w:t>
                  </w:r>
                </w:p>
              </w:tc>
              <w:tc>
                <w:tcPr>
                  <w:tcW w:w="6299" w:type="dxa"/>
                  <w:tcBorders>
                    <w:tl2br w:val="nil"/>
                    <w:tr2bl w:val="nil"/>
                  </w:tcBorders>
                  <w:noWrap w:val="0"/>
                  <w:vAlign w:val="center"/>
                </w:tcPr>
                <w:p w14:paraId="6AC7D0D0">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刷漆修箱车间为钢结构密闭车间，简单机修工序在钢结构厂房内进行，其他区域均露天，其中刷漆修箱车间300m</w:t>
                  </w:r>
                  <w:r>
                    <w:rPr>
                      <w:rFonts w:hint="default" w:ascii="Times New Roman" w:hAnsi="Times New Roman" w:eastAsia="宋体" w:cs="Times New Roman"/>
                      <w:caps w:val="0"/>
                      <w:color w:val="auto"/>
                      <w:sz w:val="21"/>
                      <w:szCs w:val="21"/>
                      <w:highlight w:val="none"/>
                      <w:u w:val="none" w:color="auto"/>
                      <w:vertAlign w:val="superscript"/>
                      <w:lang w:val="en-US" w:eastAsia="zh-CN"/>
                    </w:rPr>
                    <w:t>2</w:t>
                  </w:r>
                  <w:r>
                    <w:rPr>
                      <w:rFonts w:hint="default" w:ascii="Times New Roman" w:hAnsi="Times New Roman" w:eastAsia="宋体" w:cs="Times New Roman"/>
                      <w:caps w:val="0"/>
                      <w:color w:val="auto"/>
                      <w:sz w:val="21"/>
                      <w:szCs w:val="21"/>
                      <w:highlight w:val="none"/>
                      <w:u w:val="none" w:color="auto"/>
                      <w:lang w:val="en-US" w:eastAsia="zh-CN"/>
                    </w:rPr>
                    <w:t>（15m×20m），高4.5m，利用现有车间进行改建。年修箱12000个集装箱，包括约1800个40尺大箱</w:t>
                  </w:r>
                  <w:r>
                    <w:rPr>
                      <w:rFonts w:hint="eastAsia"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sz w:val="21"/>
                      <w:szCs w:val="21"/>
                      <w:highlight w:val="none"/>
                      <w:u w:val="none" w:color="auto"/>
                      <w:lang w:val="en-US" w:eastAsia="zh-CN"/>
                    </w:rPr>
                    <w:t>折合3600个标准箱，10200个20尺小箱折合10200个标准箱。普通机修车间面积为1000m</w:t>
                  </w:r>
                  <w:r>
                    <w:rPr>
                      <w:rFonts w:hint="default" w:ascii="Times New Roman" w:hAnsi="Times New Roman" w:eastAsia="宋体" w:cs="Times New Roman"/>
                      <w:caps w:val="0"/>
                      <w:color w:val="auto"/>
                      <w:sz w:val="21"/>
                      <w:szCs w:val="21"/>
                      <w:highlight w:val="none"/>
                      <w:u w:val="none" w:color="auto"/>
                      <w:vertAlign w:val="superscript"/>
                      <w:lang w:val="en-US" w:eastAsia="zh-CN"/>
                    </w:rPr>
                    <w:t>2</w:t>
                  </w:r>
                  <w:r>
                    <w:rPr>
                      <w:rFonts w:hint="default" w:ascii="Times New Roman" w:hAnsi="Times New Roman" w:eastAsia="宋体" w:cs="Times New Roman"/>
                      <w:caps w:val="0"/>
                      <w:color w:val="auto"/>
                      <w:sz w:val="21"/>
                      <w:szCs w:val="21"/>
                      <w:highlight w:val="none"/>
                      <w:u w:val="none" w:color="auto"/>
                      <w:lang w:val="en-US" w:eastAsia="zh-CN"/>
                    </w:rPr>
                    <w:t>，焊接、断木、切割等普通修理工序均在普通机修车间修理。</w:t>
                  </w:r>
                </w:p>
              </w:tc>
            </w:tr>
            <w:tr w14:paraId="2CD0C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27A04A1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restart"/>
                  <w:tcBorders>
                    <w:tl2br w:val="nil"/>
                    <w:tr2bl w:val="nil"/>
                  </w:tcBorders>
                  <w:noWrap w:val="0"/>
                  <w:vAlign w:val="center"/>
                </w:tcPr>
                <w:p w14:paraId="18E3E5F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299" w:type="dxa"/>
                  <w:tcBorders>
                    <w:tl2br w:val="nil"/>
                    <w:tr2bl w:val="nil"/>
                  </w:tcBorders>
                  <w:noWrap w:val="0"/>
                  <w:vAlign w:val="center"/>
                </w:tcPr>
                <w:p w14:paraId="670869D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建设维修站场、港内加油站、停车场等</w:t>
                  </w:r>
                  <w:r>
                    <w:rPr>
                      <w:rFonts w:hint="default" w:ascii="Times New Roman" w:hAnsi="Times New Roman" w:eastAsia="宋体" w:cs="Times New Roman"/>
                      <w:caps w:val="0"/>
                      <w:color w:val="auto"/>
                      <w:sz w:val="21"/>
                      <w:szCs w:val="21"/>
                      <w:highlight w:val="none"/>
                      <w:u w:val="none" w:color="auto"/>
                    </w:rPr>
                    <w:t>。</w:t>
                  </w:r>
                </w:p>
              </w:tc>
            </w:tr>
            <w:tr w14:paraId="686CE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2015FD6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36DEF9F0">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6318A14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维修站场设置</w:t>
                  </w:r>
                  <w:r>
                    <w:rPr>
                      <w:rFonts w:hint="default" w:ascii="Times New Roman" w:hAnsi="Times New Roman" w:eastAsia="宋体" w:cs="Times New Roman"/>
                      <w:caps w:val="0"/>
                      <w:color w:val="auto"/>
                      <w:sz w:val="21"/>
                      <w:szCs w:val="21"/>
                      <w:highlight w:val="none"/>
                      <w:u w:val="none" w:color="auto"/>
                    </w:rPr>
                    <w:t>流动机械冲洗区。</w:t>
                  </w:r>
                </w:p>
              </w:tc>
            </w:tr>
            <w:tr w14:paraId="67BD1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4532105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vMerge w:val="continue"/>
                  <w:tcBorders>
                    <w:tl2br w:val="nil"/>
                    <w:tr2bl w:val="nil"/>
                  </w:tcBorders>
                  <w:noWrap w:val="0"/>
                  <w:vAlign w:val="center"/>
                </w:tcPr>
                <w:p w14:paraId="444F3118">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1EF75C41">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验箱区</w:t>
                  </w:r>
                  <w:r>
                    <w:rPr>
                      <w:rFonts w:hint="eastAsia"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olor w:val="auto"/>
                      <w:spacing w:val="-3"/>
                      <w:u w:val="none" w:color="auto"/>
                    </w:rPr>
                    <w:t>露天，占地面积</w:t>
                  </w:r>
                  <w:r>
                    <w:rPr>
                      <w:rFonts w:hint="eastAsia" w:ascii="Times New Roman" w:hAnsi="Times New Roman" w:eastAsia="宋体" w:cs="Times New Roman"/>
                      <w:color w:val="auto"/>
                      <w:spacing w:val="-3"/>
                      <w:u w:val="none" w:color="auto"/>
                      <w:lang w:val="en-US" w:eastAsia="zh-CN"/>
                    </w:rPr>
                    <w:t>30</w:t>
                  </w:r>
                  <w:r>
                    <w:rPr>
                      <w:rFonts w:hint="default" w:ascii="Times New Roman" w:hAnsi="Times New Roman" w:eastAsia="宋体" w:cs="Times New Roman"/>
                      <w:color w:val="auto"/>
                      <w:kern w:val="2"/>
                      <w:sz w:val="21"/>
                      <w:szCs w:val="21"/>
                      <w:u w:val="none" w:color="auto"/>
                      <w:lang w:val="en-US" w:eastAsia="zh-CN" w:bidi="ar-SA"/>
                    </w:rPr>
                    <w:t>00m</w:t>
                  </w:r>
                  <w:r>
                    <w:rPr>
                      <w:rFonts w:hint="default" w:ascii="Times New Roman" w:hAnsi="Times New Roman" w:eastAsia="宋体" w:cs="Times New Roman"/>
                      <w:color w:val="auto"/>
                      <w:spacing w:val="-3"/>
                      <w:position w:val="6"/>
                      <w:sz w:val="13"/>
                      <w:szCs w:val="13"/>
                      <w:u w:val="none" w:color="auto"/>
                    </w:rPr>
                    <w:t>2</w:t>
                  </w:r>
                  <w:r>
                    <w:rPr>
                      <w:rFonts w:hint="default" w:ascii="Times New Roman" w:hAnsi="Times New Roman" w:eastAsia="宋体" w:cs="Times New Roman"/>
                      <w:color w:val="auto"/>
                      <w:spacing w:val="-3"/>
                      <w:u w:val="none" w:color="auto"/>
                    </w:rPr>
                    <w:t>，人工目视检验</w:t>
                  </w:r>
                </w:p>
              </w:tc>
            </w:tr>
            <w:tr w14:paraId="75389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restart"/>
                  <w:tcBorders>
                    <w:tl2br w:val="nil"/>
                    <w:tr2bl w:val="nil"/>
                  </w:tcBorders>
                  <w:noWrap w:val="0"/>
                  <w:vAlign w:val="center"/>
                </w:tcPr>
                <w:p w14:paraId="4E019C61">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公用工程</w:t>
                  </w:r>
                </w:p>
              </w:tc>
              <w:tc>
                <w:tcPr>
                  <w:tcW w:w="961" w:type="dxa"/>
                  <w:gridSpan w:val="2"/>
                  <w:tcBorders>
                    <w:tl2br w:val="nil"/>
                    <w:tr2bl w:val="nil"/>
                  </w:tcBorders>
                  <w:noWrap w:val="0"/>
                  <w:vAlign w:val="center"/>
                </w:tcPr>
                <w:p w14:paraId="73017570">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供电照明工程</w:t>
                  </w:r>
                </w:p>
              </w:tc>
              <w:tc>
                <w:tcPr>
                  <w:tcW w:w="6299" w:type="dxa"/>
                  <w:tcBorders>
                    <w:tl2br w:val="nil"/>
                    <w:tr2bl w:val="nil"/>
                  </w:tcBorders>
                  <w:noWrap w:val="0"/>
                  <w:vAlign w:val="center"/>
                </w:tcPr>
                <w:p w14:paraId="40CD2028">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从保税港区变电站引出8回10kV出线接入</w:t>
                  </w:r>
                  <w:r>
                    <w:rPr>
                      <w:rFonts w:hint="default" w:ascii="Times New Roman" w:hAnsi="Times New Roman" w:eastAsia="宋体" w:cs="Times New Roman"/>
                      <w:caps w:val="0"/>
                      <w:color w:val="auto"/>
                      <w:sz w:val="21"/>
                      <w:szCs w:val="21"/>
                      <w:highlight w:val="none"/>
                      <w:u w:val="none" w:color="auto"/>
                    </w:rPr>
                    <w:t>。</w:t>
                  </w:r>
                </w:p>
              </w:tc>
            </w:tr>
            <w:tr w14:paraId="6A0502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08" w:hRule="atLeast"/>
                <w:jc w:val="center"/>
              </w:trPr>
              <w:tc>
                <w:tcPr>
                  <w:tcW w:w="459" w:type="dxa"/>
                  <w:vMerge w:val="continue"/>
                  <w:tcBorders>
                    <w:tl2br w:val="nil"/>
                    <w:tr2bl w:val="nil"/>
                  </w:tcBorders>
                  <w:noWrap w:val="0"/>
                  <w:vAlign w:val="center"/>
                </w:tcPr>
                <w:p w14:paraId="0412A7A6">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3D8A98B1">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给排水</w:t>
                  </w:r>
                </w:p>
              </w:tc>
              <w:tc>
                <w:tcPr>
                  <w:tcW w:w="655" w:type="dxa"/>
                  <w:tcBorders>
                    <w:tl2br w:val="nil"/>
                    <w:tr2bl w:val="nil"/>
                  </w:tcBorders>
                  <w:noWrap w:val="0"/>
                  <w:vAlign w:val="center"/>
                </w:tcPr>
                <w:p w14:paraId="13DB37C2">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给水系统</w:t>
                  </w:r>
                </w:p>
              </w:tc>
              <w:tc>
                <w:tcPr>
                  <w:tcW w:w="6299" w:type="dxa"/>
                  <w:tcBorders>
                    <w:tl2br w:val="nil"/>
                    <w:tr2bl w:val="nil"/>
                  </w:tcBorders>
                  <w:noWrap w:val="0"/>
                  <w:vAlign w:val="center"/>
                </w:tcPr>
                <w:p w14:paraId="3D3FC91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现有</w:t>
                  </w:r>
                  <w:r>
                    <w:rPr>
                      <w:rFonts w:hint="default" w:ascii="Times New Roman" w:hAnsi="Times New Roman" w:eastAsia="宋体" w:cs="Times New Roman"/>
                      <w:caps w:val="0"/>
                      <w:color w:val="auto"/>
                      <w:sz w:val="21"/>
                      <w:szCs w:val="21"/>
                      <w:highlight w:val="none"/>
                      <w:u w:val="none" w:color="auto"/>
                    </w:rPr>
                    <w:t>工程水源由钦州港市政水厂提供，港区给水管网用船舶、生产、生活、环保及消防合用的供水系统。港区内管道布置为环状与枝状相结合</w:t>
                  </w:r>
                  <w:r>
                    <w:rPr>
                      <w:rFonts w:hint="default" w:ascii="Times New Roman" w:hAnsi="Times New Roman" w:eastAsia="宋体" w:cs="Times New Roman"/>
                      <w:caps w:val="0"/>
                      <w:color w:val="auto"/>
                      <w:sz w:val="21"/>
                      <w:szCs w:val="21"/>
                      <w:highlight w:val="none"/>
                      <w:u w:val="none" w:color="auto"/>
                      <w:lang w:eastAsia="zh-CN"/>
                    </w:rPr>
                    <w:t>。</w:t>
                  </w:r>
                </w:p>
              </w:tc>
            </w:tr>
            <w:tr w14:paraId="30123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459" w:type="dxa"/>
                  <w:vMerge w:val="continue"/>
                  <w:tcBorders>
                    <w:tl2br w:val="nil"/>
                    <w:tr2bl w:val="nil"/>
                  </w:tcBorders>
                  <w:noWrap w:val="0"/>
                  <w:vAlign w:val="center"/>
                </w:tcPr>
                <w:p w14:paraId="5FE798BB">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5417609A">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restart"/>
                  <w:tcBorders>
                    <w:tl2br w:val="nil"/>
                    <w:tr2bl w:val="nil"/>
                  </w:tcBorders>
                  <w:noWrap w:val="0"/>
                  <w:vAlign w:val="center"/>
                </w:tcPr>
                <w:p w14:paraId="46C77173">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排水系统</w:t>
                  </w:r>
                </w:p>
              </w:tc>
              <w:tc>
                <w:tcPr>
                  <w:tcW w:w="6299" w:type="dxa"/>
                  <w:tcBorders>
                    <w:tl2br w:val="nil"/>
                    <w:tr2bl w:val="nil"/>
                  </w:tcBorders>
                  <w:noWrap w:val="0"/>
                  <w:vAlign w:val="center"/>
                </w:tcPr>
                <w:p w14:paraId="5B8B34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现有工程</w:t>
                  </w:r>
                  <w:r>
                    <w:rPr>
                      <w:rFonts w:hint="default" w:ascii="Times New Roman" w:hAnsi="Times New Roman" w:eastAsia="宋体" w:cs="Times New Roman"/>
                      <w:caps w:val="0"/>
                      <w:color w:val="auto"/>
                      <w:kern w:val="2"/>
                      <w:sz w:val="21"/>
                      <w:szCs w:val="21"/>
                      <w:highlight w:val="none"/>
                      <w:u w:val="none" w:color="auto"/>
                      <w:lang w:eastAsia="zh-CN"/>
                    </w:rPr>
                    <w:t>采用雨、污分流制。</w:t>
                  </w:r>
                </w:p>
              </w:tc>
            </w:tr>
            <w:tr w14:paraId="51D364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68D66D21">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065780AE">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continue"/>
                  <w:tcBorders>
                    <w:tl2br w:val="nil"/>
                    <w:tr2bl w:val="nil"/>
                  </w:tcBorders>
                  <w:noWrap w:val="0"/>
                  <w:vAlign w:val="center"/>
                </w:tcPr>
                <w:p w14:paraId="2C711712">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53A22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雨水排水系统由雨水口、检查井和雨水管道组成。雨水经港区雨水沟（</w:t>
                  </w:r>
                  <w:r>
                    <w:rPr>
                      <w:rFonts w:hint="default" w:ascii="Times New Roman" w:hAnsi="Times New Roman" w:eastAsia="宋体" w:cs="Times New Roman"/>
                      <w:caps w:val="0"/>
                      <w:color w:val="auto"/>
                      <w:kern w:val="2"/>
                      <w:sz w:val="21"/>
                      <w:szCs w:val="21"/>
                      <w:highlight w:val="none"/>
                      <w:u w:val="none" w:color="auto"/>
                      <w:lang w:val="en-US" w:eastAsia="zh-CN"/>
                    </w:rPr>
                    <w:t>非露天</w:t>
                  </w:r>
                  <w:r>
                    <w:rPr>
                      <w:rFonts w:hint="default" w:ascii="Times New Roman" w:hAnsi="Times New Roman" w:eastAsia="宋体" w:cs="Times New Roman"/>
                      <w:caps w:val="0"/>
                      <w:color w:val="auto"/>
                      <w:kern w:val="2"/>
                      <w:sz w:val="21"/>
                      <w:szCs w:val="21"/>
                      <w:highlight w:val="none"/>
                      <w:u w:val="none" w:color="auto"/>
                      <w:lang w:eastAsia="zh-CN"/>
                    </w:rPr>
                    <w:t>）、雨水井收集排入码头前沿海域。</w:t>
                  </w:r>
                </w:p>
              </w:tc>
            </w:tr>
            <w:tr w14:paraId="6CE94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28" w:hRule="atLeast"/>
                <w:jc w:val="center"/>
              </w:trPr>
              <w:tc>
                <w:tcPr>
                  <w:tcW w:w="459" w:type="dxa"/>
                  <w:vMerge w:val="continue"/>
                  <w:tcBorders>
                    <w:tl2br w:val="nil"/>
                    <w:tr2bl w:val="nil"/>
                  </w:tcBorders>
                  <w:noWrap w:val="0"/>
                  <w:vAlign w:val="center"/>
                </w:tcPr>
                <w:p w14:paraId="798B7E0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0EF6BEF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vMerge w:val="continue"/>
                  <w:tcBorders>
                    <w:tl2br w:val="nil"/>
                    <w:tr2bl w:val="nil"/>
                  </w:tcBorders>
                  <w:noWrap w:val="0"/>
                  <w:vAlign w:val="center"/>
                </w:tcPr>
                <w:p w14:paraId="7A0621B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299" w:type="dxa"/>
                  <w:tcBorders>
                    <w:tl2br w:val="nil"/>
                    <w:tr2bl w:val="nil"/>
                  </w:tcBorders>
                  <w:noWrap w:val="0"/>
                  <w:vAlign w:val="center"/>
                </w:tcPr>
                <w:p w14:paraId="6B11A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kern w:val="2"/>
                      <w:sz w:val="21"/>
                      <w:szCs w:val="21"/>
                      <w:highlight w:val="none"/>
                      <w:u w:val="none" w:color="auto"/>
                      <w:lang w:eastAsia="zh-CN"/>
                    </w:rPr>
                  </w:pPr>
                  <w:r>
                    <w:rPr>
                      <w:rFonts w:hint="default" w:ascii="Times New Roman" w:hAnsi="Times New Roman" w:eastAsia="宋体" w:cs="Times New Roman"/>
                      <w:caps w:val="0"/>
                      <w:color w:val="auto"/>
                      <w:kern w:val="2"/>
                      <w:sz w:val="21"/>
                      <w:szCs w:val="21"/>
                      <w:highlight w:val="none"/>
                      <w:u w:val="none" w:color="auto"/>
                      <w:lang w:eastAsia="zh-CN"/>
                    </w:rPr>
                    <w:t>①码头不接收处理船舶生活污水、船舶压载水、船舶舱底油污水，船方委托有资质单位接收项目船舶污水。</w:t>
                  </w:r>
                </w:p>
                <w:p w14:paraId="29E8D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kern w:val="2"/>
                      <w:sz w:val="21"/>
                      <w:szCs w:val="21"/>
                      <w:highlight w:val="none"/>
                      <w:u w:val="none" w:color="auto"/>
                      <w:lang w:eastAsia="zh-CN"/>
                    </w:rPr>
                  </w:pPr>
                  <w:r>
                    <w:rPr>
                      <w:rFonts w:hint="default" w:ascii="Times New Roman" w:hAnsi="Times New Roman" w:eastAsia="宋体" w:cs="Times New Roman"/>
                      <w:caps w:val="0"/>
                      <w:color w:val="auto"/>
                      <w:kern w:val="2"/>
                      <w:sz w:val="21"/>
                      <w:szCs w:val="21"/>
                      <w:highlight w:val="none"/>
                      <w:u w:val="none" w:color="auto"/>
                      <w:lang w:eastAsia="zh-CN"/>
                    </w:rPr>
                    <w:t>②机修废水经</w:t>
                  </w:r>
                  <w:r>
                    <w:rPr>
                      <w:rFonts w:hint="default" w:ascii="Times New Roman" w:hAnsi="Times New Roman" w:eastAsia="宋体" w:cs="Times New Roman"/>
                      <w:caps w:val="0"/>
                      <w:color w:val="auto"/>
                      <w:kern w:val="2"/>
                      <w:sz w:val="21"/>
                      <w:szCs w:val="21"/>
                      <w:highlight w:val="none"/>
                      <w:u w:val="none" w:color="auto"/>
                      <w:lang w:val="en-US" w:eastAsia="zh-CN"/>
                    </w:rPr>
                    <w:t>扩建的</w:t>
                  </w:r>
                  <w:r>
                    <w:rPr>
                      <w:rFonts w:hint="default" w:ascii="Times New Roman" w:hAnsi="Times New Roman" w:eastAsia="宋体" w:cs="Times New Roman"/>
                      <w:caps w:val="0"/>
                      <w:color w:val="auto"/>
                      <w:kern w:val="2"/>
                      <w:sz w:val="21"/>
                      <w:szCs w:val="21"/>
                      <w:highlight w:val="none"/>
                      <w:u w:val="none" w:color="auto"/>
                      <w:lang w:eastAsia="zh-CN"/>
                    </w:rPr>
                    <w:t>含油污水处理站处理满足《城市污水再生利用-城市杂用水水质》（GB/T18920-2020）和《城市污水再生利用工业用水水质标准》（GB/T19923-20</w:t>
                  </w:r>
                  <w:r>
                    <w:rPr>
                      <w:rFonts w:hint="default" w:ascii="Times New Roman" w:hAnsi="Times New Roman" w:eastAsia="宋体" w:cs="Times New Roman"/>
                      <w:caps w:val="0"/>
                      <w:color w:val="auto"/>
                      <w:kern w:val="2"/>
                      <w:sz w:val="21"/>
                      <w:szCs w:val="21"/>
                      <w:highlight w:val="none"/>
                      <w:u w:val="none" w:color="auto"/>
                      <w:lang w:val="en-US" w:eastAsia="zh-CN"/>
                    </w:rPr>
                    <w:t>24</w:t>
                  </w:r>
                  <w:r>
                    <w:rPr>
                      <w:rFonts w:hint="default" w:ascii="Times New Roman" w:hAnsi="Times New Roman" w:eastAsia="宋体" w:cs="Times New Roman"/>
                      <w:caps w:val="0"/>
                      <w:color w:val="auto"/>
                      <w:kern w:val="2"/>
                      <w:sz w:val="21"/>
                      <w:szCs w:val="21"/>
                      <w:highlight w:val="none"/>
                      <w:u w:val="none" w:color="auto"/>
                      <w:lang w:eastAsia="zh-CN"/>
                    </w:rPr>
                    <w:t>）用水标准，回用于机械冲洗用水</w:t>
                  </w:r>
                  <w:r>
                    <w:rPr>
                      <w:rFonts w:hint="default" w:ascii="Times New Roman" w:hAnsi="Times New Roman" w:eastAsia="宋体" w:cs="Times New Roman"/>
                      <w:caps w:val="0"/>
                      <w:color w:val="auto"/>
                      <w:kern w:val="2"/>
                      <w:sz w:val="21"/>
                      <w:szCs w:val="21"/>
                      <w:highlight w:val="none"/>
                      <w:u w:val="none" w:color="auto"/>
                      <w:lang w:val="en-US" w:eastAsia="zh-CN"/>
                    </w:rPr>
                    <w:t>、厂区绿化和</w:t>
                  </w:r>
                  <w:r>
                    <w:rPr>
                      <w:rFonts w:hint="default" w:ascii="Times New Roman" w:hAnsi="Times New Roman" w:eastAsia="宋体" w:cs="Times New Roman"/>
                      <w:caps w:val="0"/>
                      <w:color w:val="auto"/>
                      <w:kern w:val="2"/>
                      <w:sz w:val="21"/>
                      <w:szCs w:val="21"/>
                      <w:highlight w:val="none"/>
                      <w:u w:val="none" w:color="auto"/>
                      <w:lang w:eastAsia="zh-CN"/>
                    </w:rPr>
                    <w:t>道路清扫。</w:t>
                  </w:r>
                </w:p>
                <w:p w14:paraId="72A6B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③新增生活污水经现有工程化粪池收集后，接入市政污水管道，排入大榄坪污水处理厂</w:t>
                  </w:r>
                  <w:r>
                    <w:rPr>
                      <w:rFonts w:hint="default" w:ascii="Times New Roman" w:hAnsi="Times New Roman" w:eastAsia="宋体" w:cs="Times New Roman"/>
                      <w:caps w:val="0"/>
                      <w:color w:val="auto"/>
                      <w:kern w:val="2"/>
                      <w:sz w:val="21"/>
                      <w:szCs w:val="21"/>
                      <w:highlight w:val="none"/>
                      <w:u w:val="none" w:color="auto"/>
                      <w:lang w:eastAsia="zh-CN"/>
                    </w:rPr>
                    <w:t>。</w:t>
                  </w:r>
                </w:p>
              </w:tc>
            </w:tr>
            <w:tr w14:paraId="48CF0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459" w:type="dxa"/>
                  <w:vMerge w:val="continue"/>
                  <w:tcBorders>
                    <w:tl2br w:val="nil"/>
                    <w:tr2bl w:val="nil"/>
                  </w:tcBorders>
                  <w:noWrap w:val="0"/>
                  <w:vAlign w:val="center"/>
                </w:tcPr>
                <w:p w14:paraId="604E3156">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214F71B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55" w:type="dxa"/>
                  <w:tcBorders>
                    <w:tl2br w:val="nil"/>
                    <w:tr2bl w:val="nil"/>
                  </w:tcBorders>
                  <w:noWrap w:val="0"/>
                  <w:vAlign w:val="center"/>
                </w:tcPr>
                <w:p w14:paraId="5887E19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消防</w:t>
                  </w:r>
                </w:p>
              </w:tc>
              <w:tc>
                <w:tcPr>
                  <w:tcW w:w="6299" w:type="dxa"/>
                  <w:tcBorders>
                    <w:tl2br w:val="nil"/>
                    <w:tr2bl w:val="nil"/>
                  </w:tcBorders>
                  <w:noWrap w:val="0"/>
                  <w:vAlign w:val="center"/>
                </w:tcPr>
                <w:p w14:paraId="23E3E5F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eastAsia="zh-CN"/>
                    </w:rPr>
                    <w:t>消防</w:t>
                  </w:r>
                  <w:r>
                    <w:rPr>
                      <w:rFonts w:hint="default" w:ascii="Times New Roman" w:hAnsi="Times New Roman" w:eastAsia="宋体" w:cs="Times New Roman"/>
                      <w:caps w:val="0"/>
                      <w:color w:val="auto"/>
                      <w:kern w:val="2"/>
                      <w:sz w:val="21"/>
                      <w:szCs w:val="21"/>
                      <w:highlight w:val="none"/>
                      <w:u w:val="none" w:color="auto"/>
                      <w:lang w:val="en-US" w:eastAsia="zh-CN"/>
                    </w:rPr>
                    <w:t>用水</w:t>
                  </w:r>
                  <w:r>
                    <w:rPr>
                      <w:rFonts w:hint="default" w:ascii="Times New Roman" w:hAnsi="Times New Roman" w:eastAsia="宋体" w:cs="Times New Roman"/>
                      <w:caps w:val="0"/>
                      <w:color w:val="auto"/>
                      <w:kern w:val="2"/>
                      <w:sz w:val="21"/>
                      <w:szCs w:val="21"/>
                      <w:highlight w:val="none"/>
                      <w:u w:val="none" w:color="auto"/>
                      <w:lang w:eastAsia="zh-CN"/>
                    </w:rPr>
                    <w:t>采用市政供水，消防系统给水管网与生产、生活给水网合并，布置成环形；港区设计室外消火栓，汽车接受检查区等建筑物内设置足够的出口通道，配备室内消火栓、手提式干粉灭火器等消防器材，</w:t>
                  </w:r>
                  <w:r>
                    <w:rPr>
                      <w:rFonts w:hint="default" w:ascii="Times New Roman" w:hAnsi="Times New Roman" w:eastAsia="宋体" w:cs="Times New Roman"/>
                      <w:caps w:val="0"/>
                      <w:color w:val="auto"/>
                      <w:sz w:val="21"/>
                      <w:szCs w:val="21"/>
                      <w:highlight w:val="none"/>
                      <w:u w:val="none" w:color="auto"/>
                    </w:rPr>
                    <w:t>港区设地上式消火栓和地下式消火栓，其间距不超过120m</w:t>
                  </w:r>
                  <w:r>
                    <w:rPr>
                      <w:rFonts w:hint="default" w:ascii="Times New Roman" w:hAnsi="Times New Roman" w:eastAsia="宋体" w:cs="Times New Roman"/>
                      <w:caps w:val="0"/>
                      <w:color w:val="auto"/>
                      <w:kern w:val="2"/>
                      <w:sz w:val="21"/>
                      <w:szCs w:val="21"/>
                      <w:highlight w:val="none"/>
                      <w:u w:val="none" w:color="auto"/>
                      <w:lang w:eastAsia="zh-CN"/>
                    </w:rPr>
                    <w:t>。</w:t>
                  </w:r>
                </w:p>
              </w:tc>
            </w:tr>
            <w:tr w14:paraId="4A66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22072411">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4118176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18072BA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通信</w:t>
                  </w:r>
                </w:p>
              </w:tc>
              <w:tc>
                <w:tcPr>
                  <w:tcW w:w="6299" w:type="dxa"/>
                  <w:tcBorders>
                    <w:tl2br w:val="nil"/>
                    <w:tr2bl w:val="nil"/>
                  </w:tcBorders>
                  <w:noWrap w:val="0"/>
                  <w:vAlign w:val="center"/>
                </w:tcPr>
                <w:p w14:paraId="5F655B2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港区通信系统包括有线电话系统、无线调度系统、甚高无线电话、电缆监控系统和火灾报警系统。</w:t>
                  </w:r>
                </w:p>
              </w:tc>
            </w:tr>
            <w:tr w14:paraId="6BA55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01A7DF9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3C91C16A">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D79DC5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控制</w:t>
                  </w:r>
                </w:p>
              </w:tc>
              <w:tc>
                <w:tcPr>
                  <w:tcW w:w="6299" w:type="dxa"/>
                  <w:tcBorders>
                    <w:tl2br w:val="nil"/>
                    <w:tr2bl w:val="nil"/>
                  </w:tcBorders>
                  <w:noWrap w:val="0"/>
                  <w:vAlign w:val="center"/>
                </w:tcPr>
                <w:p w14:paraId="00378918">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港区设监控系统，监控摄像头安装在港区高杆灯灯杆上，监控室设在港区综合办公楼内，可随时监控集装箱作业区的作业情况。</w:t>
                  </w:r>
                </w:p>
              </w:tc>
            </w:tr>
            <w:tr w14:paraId="7C03B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00" w:hRule="atLeast"/>
                <w:jc w:val="center"/>
              </w:trPr>
              <w:tc>
                <w:tcPr>
                  <w:tcW w:w="459" w:type="dxa"/>
                  <w:vMerge w:val="restart"/>
                  <w:tcBorders>
                    <w:tl2br w:val="nil"/>
                    <w:tr2bl w:val="nil"/>
                  </w:tcBorders>
                  <w:noWrap w:val="0"/>
                  <w:vAlign w:val="center"/>
                </w:tcPr>
                <w:p w14:paraId="34183036">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环保工程</w:t>
                  </w:r>
                </w:p>
              </w:tc>
              <w:tc>
                <w:tcPr>
                  <w:tcW w:w="306" w:type="dxa"/>
                  <w:vMerge w:val="restart"/>
                  <w:tcBorders>
                    <w:tl2br w:val="nil"/>
                    <w:tr2bl w:val="nil"/>
                  </w:tcBorders>
                  <w:noWrap w:val="0"/>
                  <w:vAlign w:val="center"/>
                </w:tcPr>
                <w:p w14:paraId="7F2CEAE6">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大气</w:t>
                  </w:r>
                </w:p>
                <w:p w14:paraId="7DA041F6">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防治</w:t>
                  </w:r>
                </w:p>
              </w:tc>
              <w:tc>
                <w:tcPr>
                  <w:tcW w:w="655" w:type="dxa"/>
                  <w:tcBorders>
                    <w:tl2br w:val="nil"/>
                    <w:tr2bl w:val="nil"/>
                  </w:tcBorders>
                  <w:noWrap w:val="0"/>
                  <w:vAlign w:val="center"/>
                </w:tcPr>
                <w:p w14:paraId="32792089">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作业机械及运输车辆尾气</w:t>
                  </w:r>
                </w:p>
              </w:tc>
              <w:tc>
                <w:tcPr>
                  <w:tcW w:w="6299" w:type="dxa"/>
                  <w:tcBorders>
                    <w:tl2br w:val="nil"/>
                    <w:tr2bl w:val="nil"/>
                  </w:tcBorders>
                  <w:noWrap w:val="0"/>
                  <w:vAlign w:val="center"/>
                </w:tcPr>
                <w:p w14:paraId="1A2EE6C6">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拆箱设备</w:t>
                  </w:r>
                  <w:r>
                    <w:rPr>
                      <w:rFonts w:hint="default" w:ascii="Times New Roman" w:hAnsi="Times New Roman" w:eastAsia="宋体" w:cs="Times New Roman"/>
                      <w:caps w:val="0"/>
                      <w:color w:val="auto"/>
                      <w:kern w:val="2"/>
                      <w:sz w:val="21"/>
                      <w:szCs w:val="21"/>
                      <w:highlight w:val="none"/>
                      <w:u w:val="none" w:color="auto"/>
                      <w:lang w:eastAsia="zh-CN"/>
                    </w:rPr>
                    <w:t>选用高质量装卸机械设备和燃料，强化各装置节能降耗措施；</w:t>
                  </w:r>
                  <w:r>
                    <w:rPr>
                      <w:rFonts w:hint="default" w:ascii="Times New Roman" w:hAnsi="Times New Roman" w:eastAsia="宋体" w:cs="Times New Roman"/>
                      <w:caps w:val="0"/>
                      <w:color w:val="auto"/>
                      <w:kern w:val="2"/>
                      <w:sz w:val="21"/>
                      <w:szCs w:val="21"/>
                      <w:highlight w:val="none"/>
                      <w:u w:val="none" w:color="auto"/>
                      <w:lang w:val="en-US" w:eastAsia="zh-CN"/>
                    </w:rPr>
                    <w:t>散货粮食拆装箱位于半封闭拆箱库内作业，不在露天拆箱或堆存；</w:t>
                  </w:r>
                  <w:r>
                    <w:rPr>
                      <w:rFonts w:hint="default" w:ascii="Times New Roman" w:hAnsi="Times New Roman" w:eastAsia="宋体" w:cs="Times New Roman"/>
                      <w:caps w:val="0"/>
                      <w:color w:val="auto"/>
                      <w:kern w:val="2"/>
                      <w:sz w:val="21"/>
                      <w:szCs w:val="21"/>
                      <w:highlight w:val="none"/>
                      <w:u w:val="none" w:color="auto"/>
                      <w:lang w:eastAsia="zh-CN"/>
                    </w:rPr>
                    <w:t>加强现场管理，船舶靠港后使用</w:t>
                  </w:r>
                  <w:r>
                    <w:rPr>
                      <w:rFonts w:hint="default" w:ascii="Times New Roman" w:hAnsi="Times New Roman" w:eastAsia="宋体" w:cs="Times New Roman"/>
                      <w:caps w:val="0"/>
                      <w:color w:val="auto"/>
                      <w:kern w:val="2"/>
                      <w:sz w:val="21"/>
                      <w:szCs w:val="21"/>
                      <w:highlight w:val="none"/>
                      <w:u w:val="none" w:color="auto"/>
                      <w:lang w:val="en-US" w:eastAsia="zh-CN"/>
                    </w:rPr>
                    <w:t>现有工程</w:t>
                  </w:r>
                  <w:r>
                    <w:rPr>
                      <w:rFonts w:hint="default" w:ascii="Times New Roman" w:hAnsi="Times New Roman" w:eastAsia="宋体" w:cs="Times New Roman"/>
                      <w:caps w:val="0"/>
                      <w:color w:val="auto"/>
                      <w:kern w:val="2"/>
                      <w:sz w:val="21"/>
                      <w:szCs w:val="21"/>
                      <w:highlight w:val="none"/>
                      <w:u w:val="none" w:color="auto"/>
                      <w:lang w:eastAsia="zh-CN"/>
                    </w:rPr>
                    <w:t>岸电</w:t>
                  </w:r>
                  <w:r>
                    <w:rPr>
                      <w:rFonts w:hint="default" w:ascii="Times New Roman" w:hAnsi="Times New Roman" w:eastAsia="宋体" w:cs="Times New Roman"/>
                      <w:caps w:val="0"/>
                      <w:color w:val="auto"/>
                      <w:kern w:val="2"/>
                      <w:sz w:val="21"/>
                      <w:szCs w:val="21"/>
                      <w:highlight w:val="none"/>
                      <w:u w:val="none" w:color="auto"/>
                      <w:lang w:val="en-US" w:eastAsia="zh-CN"/>
                    </w:rPr>
                    <w:t>装置</w:t>
                  </w:r>
                  <w:r>
                    <w:rPr>
                      <w:rFonts w:hint="default" w:ascii="Times New Roman" w:hAnsi="Times New Roman" w:eastAsia="宋体" w:cs="Times New Roman"/>
                      <w:caps w:val="0"/>
                      <w:color w:val="auto"/>
                      <w:kern w:val="2"/>
                      <w:sz w:val="21"/>
                      <w:szCs w:val="21"/>
                      <w:highlight w:val="none"/>
                      <w:u w:val="none" w:color="auto"/>
                      <w:lang w:eastAsia="zh-CN"/>
                    </w:rPr>
                    <w:t>。</w:t>
                  </w:r>
                </w:p>
              </w:tc>
            </w:tr>
            <w:tr w14:paraId="4193A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90" w:hRule="atLeast"/>
                <w:jc w:val="center"/>
              </w:trPr>
              <w:tc>
                <w:tcPr>
                  <w:tcW w:w="459" w:type="dxa"/>
                  <w:vMerge w:val="continue"/>
                  <w:tcBorders>
                    <w:tl2br w:val="nil"/>
                    <w:tr2bl w:val="nil"/>
                  </w:tcBorders>
                  <w:noWrap w:val="0"/>
                  <w:vAlign w:val="center"/>
                </w:tcPr>
                <w:p w14:paraId="6264E57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458C77E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5DA44CC9">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焊接烟尘</w:t>
                  </w:r>
                </w:p>
              </w:tc>
              <w:tc>
                <w:tcPr>
                  <w:tcW w:w="6299" w:type="dxa"/>
                  <w:tcBorders>
                    <w:tl2br w:val="nil"/>
                    <w:tr2bl w:val="nil"/>
                  </w:tcBorders>
                  <w:noWrap w:val="0"/>
                  <w:vAlign w:val="center"/>
                </w:tcPr>
                <w:p w14:paraId="54B874B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kern w:val="2"/>
                      <w:sz w:val="21"/>
                      <w:szCs w:val="21"/>
                      <w:highlight w:val="none"/>
                      <w:u w:val="none" w:color="auto"/>
                      <w:lang w:val="en-US" w:eastAsia="zh-CN"/>
                    </w:rPr>
                  </w:pPr>
                  <w:r>
                    <w:rPr>
                      <w:rFonts w:hint="eastAsia" w:ascii="Times New Roman" w:hAnsi="Times New Roman" w:eastAsia="宋体" w:cs="Times New Roman"/>
                      <w:caps w:val="0"/>
                      <w:color w:val="auto"/>
                      <w:kern w:val="2"/>
                      <w:sz w:val="21"/>
                      <w:szCs w:val="21"/>
                      <w:highlight w:val="none"/>
                      <w:u w:val="none" w:color="auto"/>
                      <w:lang w:val="en-US" w:eastAsia="zh-CN"/>
                    </w:rPr>
                    <w:t>集装箱修理焊接烟尘采用移动式焊接烟尘净化器处理后在厂房内无组织排放</w:t>
                  </w:r>
                </w:p>
              </w:tc>
            </w:tr>
            <w:tr w14:paraId="0A537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5" w:hRule="atLeast"/>
                <w:jc w:val="center"/>
              </w:trPr>
              <w:tc>
                <w:tcPr>
                  <w:tcW w:w="459" w:type="dxa"/>
                  <w:vMerge w:val="continue"/>
                  <w:tcBorders>
                    <w:tl2br w:val="nil"/>
                    <w:tr2bl w:val="nil"/>
                  </w:tcBorders>
                  <w:noWrap w:val="0"/>
                  <w:vAlign w:val="center"/>
                </w:tcPr>
                <w:p w14:paraId="2C8D558A">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30B8D7B8">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24C35853">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刷漆、晾干</w:t>
                  </w:r>
                  <w:r>
                    <w:rPr>
                      <w:rFonts w:hint="default" w:ascii="Times New Roman" w:hAnsi="Times New Roman" w:eastAsia="宋体" w:cs="Times New Roman"/>
                      <w:caps w:val="0"/>
                      <w:color w:val="auto"/>
                      <w:sz w:val="21"/>
                      <w:szCs w:val="21"/>
                      <w:highlight w:val="none"/>
                      <w:u w:val="none" w:color="auto"/>
                    </w:rPr>
                    <w:t>废气</w:t>
                  </w:r>
                </w:p>
              </w:tc>
              <w:tc>
                <w:tcPr>
                  <w:tcW w:w="6299" w:type="dxa"/>
                  <w:tcBorders>
                    <w:tl2br w:val="nil"/>
                    <w:tr2bl w:val="nil"/>
                  </w:tcBorders>
                  <w:noWrap w:val="0"/>
                  <w:vAlign w:val="center"/>
                </w:tcPr>
                <w:p w14:paraId="12D2CE2E">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kern w:val="2"/>
                      <w:sz w:val="21"/>
                      <w:szCs w:val="21"/>
                      <w:highlight w:val="none"/>
                      <w:u w:val="none" w:color="auto"/>
                      <w:lang w:val="en-US" w:eastAsia="zh-CN"/>
                    </w:rPr>
                  </w:pPr>
                  <w:r>
                    <w:rPr>
                      <w:rFonts w:hint="eastAsia" w:ascii="Times New Roman" w:hAnsi="Times New Roman" w:eastAsia="宋体" w:cs="Times New Roman"/>
                      <w:caps w:val="0"/>
                      <w:color w:val="auto"/>
                      <w:kern w:val="2"/>
                      <w:sz w:val="21"/>
                      <w:szCs w:val="21"/>
                      <w:highlight w:val="none"/>
                      <w:u w:val="none" w:color="auto"/>
                      <w:lang w:val="en-US" w:eastAsia="zh-CN"/>
                    </w:rPr>
                    <w:t>集装箱</w:t>
                  </w:r>
                  <w:r>
                    <w:rPr>
                      <w:rFonts w:hint="default" w:ascii="Times New Roman" w:hAnsi="Times New Roman" w:eastAsia="宋体" w:cs="Times New Roman"/>
                      <w:caps w:val="0"/>
                      <w:color w:val="auto"/>
                      <w:kern w:val="2"/>
                      <w:sz w:val="21"/>
                      <w:szCs w:val="21"/>
                      <w:highlight w:val="none"/>
                      <w:u w:val="none" w:color="auto"/>
                      <w:lang w:val="en-US" w:eastAsia="zh-CN"/>
                    </w:rPr>
                    <w:t>修箱车间刷漆、晾干负压收集废气、废气处理设施设置二级活性炭吸附装置，处理后经1根15m排气筒排放</w:t>
                  </w:r>
                </w:p>
              </w:tc>
            </w:tr>
            <w:tr w14:paraId="7C458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99" w:hRule="atLeast"/>
                <w:jc w:val="center"/>
              </w:trPr>
              <w:tc>
                <w:tcPr>
                  <w:tcW w:w="459" w:type="dxa"/>
                  <w:vMerge w:val="continue"/>
                  <w:tcBorders>
                    <w:tl2br w:val="nil"/>
                    <w:tr2bl w:val="nil"/>
                  </w:tcBorders>
                  <w:noWrap w:val="0"/>
                  <w:vAlign w:val="center"/>
                </w:tcPr>
                <w:p w14:paraId="5DB2A067">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102EBDF9">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4AC0D737">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切割烟尘和木板开料废气</w:t>
                  </w:r>
                </w:p>
              </w:tc>
              <w:tc>
                <w:tcPr>
                  <w:tcW w:w="6299" w:type="dxa"/>
                  <w:tcBorders>
                    <w:tl2br w:val="nil"/>
                    <w:tr2bl w:val="nil"/>
                  </w:tcBorders>
                  <w:noWrap w:val="0"/>
                  <w:vAlign w:val="center"/>
                </w:tcPr>
                <w:p w14:paraId="1CA151EE">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kern w:val="2"/>
                      <w:sz w:val="21"/>
                      <w:szCs w:val="21"/>
                      <w:highlight w:val="none"/>
                      <w:u w:val="none" w:color="auto"/>
                      <w:lang w:val="en-US" w:eastAsia="zh-CN"/>
                    </w:rPr>
                  </w:pPr>
                  <w:r>
                    <w:rPr>
                      <w:rFonts w:hint="default" w:ascii="Times New Roman" w:hAnsi="Times New Roman" w:eastAsia="宋体" w:cs="Times New Roman"/>
                      <w:caps w:val="0"/>
                      <w:color w:val="auto"/>
                      <w:kern w:val="2"/>
                      <w:sz w:val="21"/>
                      <w:szCs w:val="21"/>
                      <w:highlight w:val="none"/>
                      <w:u w:val="none" w:color="auto"/>
                      <w:lang w:val="en-US" w:eastAsia="zh-CN"/>
                    </w:rPr>
                    <w:t>项目切割烟尘和木板开料废气在厂房内无组织排放，厂房内设置排气扇等通风装置，通过厂房四周设置的轴流风机无组织排放</w:t>
                  </w:r>
                  <w:r>
                    <w:rPr>
                      <w:rFonts w:hint="eastAsia" w:ascii="Times New Roman" w:hAnsi="Times New Roman" w:eastAsia="宋体" w:cs="Times New Roman"/>
                      <w:caps w:val="0"/>
                      <w:color w:val="auto"/>
                      <w:kern w:val="2"/>
                      <w:sz w:val="21"/>
                      <w:szCs w:val="21"/>
                      <w:highlight w:val="none"/>
                      <w:u w:val="none" w:color="auto"/>
                      <w:lang w:val="en-US" w:eastAsia="zh-CN"/>
                    </w:rPr>
                    <w:t>。</w:t>
                  </w:r>
                </w:p>
              </w:tc>
            </w:tr>
            <w:tr w14:paraId="625DF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03" w:hRule="atLeast"/>
                <w:jc w:val="center"/>
              </w:trPr>
              <w:tc>
                <w:tcPr>
                  <w:tcW w:w="459" w:type="dxa"/>
                  <w:vMerge w:val="continue"/>
                  <w:tcBorders>
                    <w:tl2br w:val="nil"/>
                    <w:tr2bl w:val="nil"/>
                  </w:tcBorders>
                  <w:noWrap w:val="0"/>
                  <w:vAlign w:val="center"/>
                </w:tcPr>
                <w:p w14:paraId="2665CCE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4799C718">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废水</w:t>
                  </w:r>
                </w:p>
                <w:p w14:paraId="58A6ADB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防治</w:t>
                  </w:r>
                </w:p>
              </w:tc>
              <w:tc>
                <w:tcPr>
                  <w:tcW w:w="655" w:type="dxa"/>
                  <w:tcBorders>
                    <w:tl2br w:val="nil"/>
                    <w:tr2bl w:val="nil"/>
                  </w:tcBorders>
                  <w:noWrap w:val="0"/>
                  <w:vAlign w:val="center"/>
                </w:tcPr>
                <w:p w14:paraId="249E5A57">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生产废水</w:t>
                  </w:r>
                </w:p>
              </w:tc>
              <w:tc>
                <w:tcPr>
                  <w:tcW w:w="6299" w:type="dxa"/>
                  <w:tcBorders>
                    <w:tl2br w:val="nil"/>
                    <w:tr2bl w:val="nil"/>
                  </w:tcBorders>
                  <w:noWrap w:val="0"/>
                  <w:vAlign w:val="center"/>
                </w:tcPr>
                <w:p w14:paraId="0CB447C9">
                  <w:pPr>
                    <w:pStyle w:val="18"/>
                    <w:keepNext w:val="0"/>
                    <w:keepLines w:val="0"/>
                    <w:suppressLineNumbers w:val="0"/>
                    <w:spacing w:before="0" w:beforeAutospacing="0" w:after="0" w:afterAutospacing="0"/>
                    <w:ind w:left="0" w:right="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2#泊位后方</w:t>
                  </w:r>
                  <w:r>
                    <w:rPr>
                      <w:rFonts w:hint="eastAsia" w:ascii="Times New Roman" w:hAnsi="Times New Roman" w:eastAsia="宋体" w:cs="Times New Roman"/>
                      <w:caps w:val="0"/>
                      <w:color w:val="auto"/>
                      <w:sz w:val="21"/>
                      <w:szCs w:val="21"/>
                      <w:highlight w:val="none"/>
                      <w:u w:val="none" w:color="auto"/>
                      <w:lang w:val="en-US" w:eastAsia="zh-CN"/>
                    </w:rPr>
                    <w:t>设置</w:t>
                  </w:r>
                  <w:r>
                    <w:rPr>
                      <w:rFonts w:hint="default" w:ascii="Times New Roman" w:hAnsi="Times New Roman" w:eastAsia="宋体" w:cs="Times New Roman"/>
                      <w:caps w:val="0"/>
                      <w:color w:val="auto"/>
                      <w:sz w:val="21"/>
                      <w:szCs w:val="21"/>
                      <w:highlight w:val="none"/>
                      <w:u w:val="none" w:color="auto"/>
                      <w:lang w:val="en-US" w:eastAsia="zh-CN"/>
                    </w:rPr>
                    <w:t>10m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caps w:val="0"/>
                      <w:color w:val="auto"/>
                      <w:sz w:val="21"/>
                      <w:szCs w:val="21"/>
                      <w:highlight w:val="none"/>
                      <w:u w:val="none" w:color="auto"/>
                    </w:rPr>
                    <w:t>污水处理站</w:t>
                  </w:r>
                  <w:r>
                    <w:rPr>
                      <w:rFonts w:hint="eastAsia" w:cs="Times New Roman"/>
                      <w:caps w:val="0"/>
                      <w:color w:val="auto"/>
                      <w:sz w:val="21"/>
                      <w:szCs w:val="21"/>
                      <w:highlight w:val="none"/>
                      <w:u w:val="none" w:color="auto"/>
                      <w:lang w:eastAsia="zh-CN"/>
                    </w:rPr>
                    <w:t>，</w:t>
                  </w:r>
                  <w:r>
                    <w:rPr>
                      <w:rFonts w:hint="eastAsia" w:ascii="Times New Roman" w:hAnsi="Times New Roman" w:eastAsia="宋体" w:cs="Times New Roman"/>
                      <w:caps w:val="0"/>
                      <w:color w:val="auto"/>
                      <w:sz w:val="21"/>
                      <w:szCs w:val="21"/>
                      <w:highlight w:val="none"/>
                      <w:u w:val="none" w:color="auto"/>
                      <w:lang w:val="en-US" w:eastAsia="zh-CN"/>
                    </w:rPr>
                    <w:t>5</w:t>
                  </w:r>
                  <w:r>
                    <w:rPr>
                      <w:rFonts w:hint="default" w:ascii="Times New Roman" w:hAnsi="Times New Roman" w:eastAsia="宋体" w:cs="Times New Roman"/>
                      <w:caps w:val="0"/>
                      <w:color w:val="auto"/>
                      <w:sz w:val="21"/>
                      <w:szCs w:val="21"/>
                      <w:highlight w:val="none"/>
                      <w:u w:val="none" w:color="auto"/>
                    </w:rPr>
                    <w:t>#泊位后方</w:t>
                  </w:r>
                  <w:r>
                    <w:rPr>
                      <w:rFonts w:hint="eastAsia" w:ascii="Times New Roman" w:hAnsi="Times New Roman" w:eastAsia="宋体" w:cs="Times New Roman"/>
                      <w:caps w:val="0"/>
                      <w:color w:val="auto"/>
                      <w:sz w:val="21"/>
                      <w:szCs w:val="21"/>
                      <w:highlight w:val="none"/>
                      <w:u w:val="none" w:color="auto"/>
                      <w:lang w:val="en-US" w:eastAsia="zh-CN"/>
                    </w:rPr>
                    <w:t>设置</w:t>
                  </w:r>
                  <w:r>
                    <w:rPr>
                      <w:rFonts w:hint="default" w:ascii="Times New Roman" w:hAnsi="Times New Roman" w:eastAsia="宋体" w:cs="Times New Roman"/>
                      <w:caps w:val="0"/>
                      <w:color w:val="auto"/>
                      <w:sz w:val="21"/>
                      <w:szCs w:val="21"/>
                      <w:highlight w:val="none"/>
                      <w:u w:val="none" w:color="auto"/>
                      <w:lang w:val="en-US" w:eastAsia="zh-CN"/>
                    </w:rPr>
                    <w:t>10m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caps w:val="0"/>
                      <w:color w:val="auto"/>
                      <w:sz w:val="21"/>
                      <w:szCs w:val="21"/>
                      <w:highlight w:val="none"/>
                      <w:u w:val="none" w:color="auto"/>
                    </w:rPr>
                    <w:t>污水处理站</w:t>
                  </w:r>
                  <w:r>
                    <w:rPr>
                      <w:rFonts w:hint="eastAsia"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含油污水处理站总处理规模为20m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r>
                    <w:rPr>
                      <w:rFonts w:hint="default" w:ascii="Times New Roman" w:hAnsi="Times New Roman" w:eastAsia="宋体" w:cs="Times New Roman"/>
                      <w:b w:val="0"/>
                      <w:bCs w:val="0"/>
                      <w:caps w:val="0"/>
                      <w:color w:val="auto"/>
                      <w:sz w:val="21"/>
                      <w:szCs w:val="21"/>
                      <w:highlight w:val="none"/>
                      <w:u w:val="none" w:color="auto"/>
                      <w:lang w:val="en-US" w:eastAsia="zh-CN"/>
                    </w:rPr>
                    <w:t>处理工艺为</w:t>
                  </w:r>
                  <w:r>
                    <w:rPr>
                      <w:rFonts w:hint="default" w:ascii="Times New Roman" w:hAnsi="Times New Roman" w:eastAsia="宋体" w:cs="Times New Roman"/>
                      <w:caps w:val="0"/>
                      <w:color w:val="auto"/>
                      <w:sz w:val="21"/>
                      <w:szCs w:val="21"/>
                      <w:highlight w:val="none"/>
                      <w:u w:val="none" w:color="auto"/>
                      <w:lang w:val="en-US" w:eastAsia="zh-CN"/>
                    </w:rPr>
                    <w:t>隔油池+混凝沉淀池+组合气浮装置</w:t>
                  </w:r>
                  <w:r>
                    <w:rPr>
                      <w:rFonts w:hint="default" w:ascii="Times New Roman" w:hAnsi="Times New Roman" w:eastAsia="宋体" w:cs="Times New Roman"/>
                      <w:caps w:val="0"/>
                      <w:color w:val="auto"/>
                      <w:kern w:val="2"/>
                      <w:sz w:val="21"/>
                      <w:szCs w:val="21"/>
                      <w:highlight w:val="none"/>
                      <w:u w:val="none" w:color="auto"/>
                      <w:lang w:eastAsia="zh-CN"/>
                    </w:rPr>
                    <w:t>机修废水经</w:t>
                  </w:r>
                  <w:r>
                    <w:rPr>
                      <w:rFonts w:hint="eastAsia" w:ascii="Times New Roman" w:hAnsi="Times New Roman" w:eastAsia="宋体" w:cs="Times New Roman"/>
                      <w:caps w:val="0"/>
                      <w:color w:val="auto"/>
                      <w:kern w:val="2"/>
                      <w:sz w:val="21"/>
                      <w:szCs w:val="21"/>
                      <w:highlight w:val="none"/>
                      <w:u w:val="none" w:color="auto"/>
                      <w:lang w:val="en-US" w:eastAsia="zh-CN"/>
                    </w:rPr>
                    <w:t>5#</w:t>
                  </w:r>
                  <w:r>
                    <w:rPr>
                      <w:rFonts w:hint="default" w:ascii="Times New Roman" w:hAnsi="Times New Roman" w:eastAsia="宋体" w:cs="Times New Roman"/>
                      <w:caps w:val="0"/>
                      <w:color w:val="auto"/>
                      <w:sz w:val="21"/>
                      <w:szCs w:val="21"/>
                      <w:highlight w:val="none"/>
                      <w:u w:val="none" w:color="auto"/>
                    </w:rPr>
                    <w:t>泊位后方</w:t>
                  </w:r>
                  <w:r>
                    <w:rPr>
                      <w:rFonts w:hint="default" w:ascii="Times New Roman" w:hAnsi="Times New Roman" w:eastAsia="宋体" w:cs="Times New Roman"/>
                      <w:caps w:val="0"/>
                      <w:color w:val="auto"/>
                      <w:kern w:val="2"/>
                      <w:sz w:val="21"/>
                      <w:szCs w:val="21"/>
                      <w:highlight w:val="none"/>
                      <w:u w:val="none" w:color="auto"/>
                      <w:lang w:eastAsia="zh-CN"/>
                    </w:rPr>
                    <w:t>含油污水处理站处理回用于机械冲洗用水</w:t>
                  </w:r>
                  <w:r>
                    <w:rPr>
                      <w:rFonts w:hint="default" w:ascii="Times New Roman" w:hAnsi="Times New Roman" w:eastAsia="宋体" w:cs="Times New Roman"/>
                      <w:caps w:val="0"/>
                      <w:color w:val="auto"/>
                      <w:kern w:val="2"/>
                      <w:sz w:val="21"/>
                      <w:szCs w:val="21"/>
                      <w:highlight w:val="none"/>
                      <w:u w:val="none" w:color="auto"/>
                      <w:lang w:val="en-US" w:eastAsia="zh-CN"/>
                    </w:rPr>
                    <w:t>、厂区绿化和</w:t>
                  </w:r>
                  <w:r>
                    <w:rPr>
                      <w:rFonts w:hint="default" w:ascii="Times New Roman" w:hAnsi="Times New Roman" w:eastAsia="宋体" w:cs="Times New Roman"/>
                      <w:caps w:val="0"/>
                      <w:color w:val="auto"/>
                      <w:kern w:val="2"/>
                      <w:sz w:val="21"/>
                      <w:szCs w:val="21"/>
                      <w:highlight w:val="none"/>
                      <w:u w:val="none" w:color="auto"/>
                      <w:lang w:eastAsia="zh-CN"/>
                    </w:rPr>
                    <w:t>道路清扫。</w:t>
                  </w:r>
                </w:p>
              </w:tc>
            </w:tr>
            <w:tr w14:paraId="7BC68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3" w:hRule="atLeast"/>
                <w:jc w:val="center"/>
              </w:trPr>
              <w:tc>
                <w:tcPr>
                  <w:tcW w:w="459" w:type="dxa"/>
                  <w:vMerge w:val="continue"/>
                  <w:tcBorders>
                    <w:tl2br w:val="nil"/>
                    <w:tr2bl w:val="nil"/>
                  </w:tcBorders>
                  <w:noWrap w:val="0"/>
                  <w:vAlign w:val="center"/>
                </w:tcPr>
                <w:p w14:paraId="35652E8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134D5ED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86A795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生活污水</w:t>
                  </w:r>
                </w:p>
              </w:tc>
              <w:tc>
                <w:tcPr>
                  <w:tcW w:w="6299" w:type="dxa"/>
                  <w:tcBorders>
                    <w:tl2br w:val="nil"/>
                    <w:tr2bl w:val="nil"/>
                  </w:tcBorders>
                  <w:noWrap w:val="0"/>
                  <w:vAlign w:val="center"/>
                </w:tcPr>
                <w:p w14:paraId="7F523DC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2"/>
                      <w:sz w:val="21"/>
                      <w:szCs w:val="21"/>
                      <w:highlight w:val="none"/>
                      <w:u w:val="none" w:color="auto"/>
                      <w:lang w:val="en-US" w:eastAsia="zh-CN"/>
                    </w:rPr>
                    <w:t>生活污水经现有工程化粪池收集后，接入市政污水管道，排入大榄坪污水处理厂</w:t>
                  </w:r>
                  <w:r>
                    <w:rPr>
                      <w:rFonts w:hint="default" w:ascii="Times New Roman" w:hAnsi="Times New Roman" w:eastAsia="宋体" w:cs="Times New Roman"/>
                      <w:caps w:val="0"/>
                      <w:color w:val="auto"/>
                      <w:kern w:val="2"/>
                      <w:sz w:val="21"/>
                      <w:szCs w:val="21"/>
                      <w:highlight w:val="none"/>
                      <w:u w:val="none" w:color="auto"/>
                      <w:lang w:eastAsia="zh-CN"/>
                    </w:rPr>
                    <w:t>。</w:t>
                  </w:r>
                </w:p>
              </w:tc>
            </w:tr>
            <w:tr w14:paraId="15536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27" w:hRule="atLeast"/>
                <w:jc w:val="center"/>
              </w:trPr>
              <w:tc>
                <w:tcPr>
                  <w:tcW w:w="459" w:type="dxa"/>
                  <w:vMerge w:val="continue"/>
                  <w:tcBorders>
                    <w:tl2br w:val="nil"/>
                    <w:tr2bl w:val="nil"/>
                  </w:tcBorders>
                  <w:noWrap w:val="0"/>
                  <w:vAlign w:val="center"/>
                </w:tcPr>
                <w:p w14:paraId="3C3A502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961" w:type="dxa"/>
                  <w:gridSpan w:val="2"/>
                  <w:tcBorders>
                    <w:tl2br w:val="nil"/>
                    <w:tr2bl w:val="nil"/>
                  </w:tcBorders>
                  <w:noWrap w:val="0"/>
                  <w:vAlign w:val="center"/>
                </w:tcPr>
                <w:p w14:paraId="72844CA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噪声</w:t>
                  </w:r>
                </w:p>
              </w:tc>
              <w:tc>
                <w:tcPr>
                  <w:tcW w:w="6299" w:type="dxa"/>
                  <w:tcBorders>
                    <w:tl2br w:val="nil"/>
                    <w:tr2bl w:val="nil"/>
                  </w:tcBorders>
                  <w:noWrap w:val="0"/>
                  <w:vAlign w:val="center"/>
                </w:tcPr>
                <w:p w14:paraId="38B7C712">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高效低噪声设备、相应减震降噪措施</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经现有工程</w:t>
                  </w:r>
                  <w:r>
                    <w:rPr>
                      <w:rFonts w:hint="default" w:ascii="Times New Roman" w:hAnsi="Times New Roman" w:eastAsia="宋体" w:cs="Times New Roman"/>
                      <w:caps w:val="0"/>
                      <w:color w:val="auto"/>
                      <w:sz w:val="21"/>
                      <w:szCs w:val="21"/>
                      <w:highlight w:val="none"/>
                      <w:u w:val="none" w:color="auto"/>
                    </w:rPr>
                    <w:t>围墙</w:t>
                  </w:r>
                  <w:r>
                    <w:rPr>
                      <w:rFonts w:hint="default" w:ascii="Times New Roman" w:hAnsi="Times New Roman" w:eastAsia="宋体" w:cs="Times New Roman"/>
                      <w:caps w:val="0"/>
                      <w:color w:val="auto"/>
                      <w:sz w:val="21"/>
                      <w:szCs w:val="21"/>
                      <w:highlight w:val="none"/>
                      <w:u w:val="none" w:color="auto"/>
                      <w:lang w:val="en-US" w:eastAsia="zh-CN"/>
                    </w:rPr>
                    <w:t>隔声</w:t>
                  </w:r>
                  <w:r>
                    <w:rPr>
                      <w:rFonts w:hint="default" w:ascii="Times New Roman" w:hAnsi="Times New Roman" w:eastAsia="宋体" w:cs="Times New Roman"/>
                      <w:caps w:val="0"/>
                      <w:color w:val="auto"/>
                      <w:sz w:val="21"/>
                      <w:szCs w:val="21"/>
                      <w:highlight w:val="none"/>
                      <w:u w:val="none" w:color="auto"/>
                    </w:rPr>
                    <w:t>。</w:t>
                  </w:r>
                </w:p>
              </w:tc>
            </w:tr>
            <w:tr w14:paraId="0E27C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3DB68B6B">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restart"/>
                  <w:tcBorders>
                    <w:tl2br w:val="nil"/>
                    <w:tr2bl w:val="nil"/>
                  </w:tcBorders>
                  <w:noWrap w:val="0"/>
                  <w:vAlign w:val="center"/>
                </w:tcPr>
                <w:p w14:paraId="4124E23B">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固体</w:t>
                  </w:r>
                </w:p>
                <w:p w14:paraId="4BDEA83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废物</w:t>
                  </w:r>
                </w:p>
              </w:tc>
              <w:tc>
                <w:tcPr>
                  <w:tcW w:w="655" w:type="dxa"/>
                  <w:tcBorders>
                    <w:tl2br w:val="nil"/>
                    <w:tr2bl w:val="nil"/>
                  </w:tcBorders>
                  <w:noWrap w:val="0"/>
                  <w:vAlign w:val="center"/>
                </w:tcPr>
                <w:p w14:paraId="414DD632">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生活垃圾</w:t>
                  </w:r>
                </w:p>
              </w:tc>
              <w:tc>
                <w:tcPr>
                  <w:tcW w:w="6299" w:type="dxa"/>
                  <w:tcBorders>
                    <w:tl2br w:val="nil"/>
                    <w:tr2bl w:val="nil"/>
                  </w:tcBorders>
                  <w:noWrap w:val="0"/>
                  <w:vAlign w:val="center"/>
                </w:tcPr>
                <w:p w14:paraId="238345B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不接收</w:t>
                  </w:r>
                  <w:r>
                    <w:rPr>
                      <w:rFonts w:hint="default" w:ascii="Times New Roman" w:hAnsi="Times New Roman" w:eastAsia="宋体" w:cs="Times New Roman"/>
                      <w:caps w:val="0"/>
                      <w:color w:val="auto"/>
                      <w:sz w:val="21"/>
                      <w:szCs w:val="21"/>
                      <w:highlight w:val="none"/>
                      <w:u w:val="none" w:color="auto"/>
                    </w:rPr>
                    <w:t>船舶</w:t>
                  </w:r>
                  <w:r>
                    <w:rPr>
                      <w:rFonts w:hint="default" w:ascii="Times New Roman" w:hAnsi="Times New Roman" w:eastAsia="宋体" w:cs="Times New Roman"/>
                      <w:caps w:val="0"/>
                      <w:color w:val="auto"/>
                      <w:sz w:val="21"/>
                      <w:szCs w:val="21"/>
                      <w:highlight w:val="none"/>
                      <w:u w:val="none" w:color="auto"/>
                      <w:lang w:val="en-US" w:eastAsia="zh-CN"/>
                    </w:rPr>
                    <w:t>生活</w:t>
                  </w:r>
                  <w:r>
                    <w:rPr>
                      <w:rFonts w:hint="default" w:ascii="Times New Roman" w:hAnsi="Times New Roman" w:eastAsia="宋体" w:cs="Times New Roman"/>
                      <w:caps w:val="0"/>
                      <w:color w:val="auto"/>
                      <w:sz w:val="21"/>
                      <w:szCs w:val="21"/>
                      <w:highlight w:val="none"/>
                      <w:u w:val="none" w:color="auto"/>
                    </w:rPr>
                    <w:t>垃圾</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由</w:t>
                  </w:r>
                  <w:r>
                    <w:rPr>
                      <w:rFonts w:hint="default" w:ascii="Times New Roman" w:hAnsi="Times New Roman" w:eastAsia="宋体" w:cs="Times New Roman"/>
                      <w:caps w:val="0"/>
                      <w:color w:val="auto"/>
                      <w:sz w:val="21"/>
                      <w:szCs w:val="21"/>
                      <w:highlight w:val="none"/>
                      <w:u w:val="none" w:color="auto"/>
                      <w:lang w:val="en-US" w:eastAsia="zh-CN"/>
                    </w:rPr>
                    <w:t>船舶</w:t>
                  </w:r>
                  <w:r>
                    <w:rPr>
                      <w:rFonts w:hint="default" w:ascii="Times New Roman" w:hAnsi="Times New Roman" w:eastAsia="宋体" w:cs="Times New Roman"/>
                      <w:caps w:val="0"/>
                      <w:color w:val="auto"/>
                      <w:sz w:val="21"/>
                      <w:szCs w:val="21"/>
                      <w:highlight w:val="none"/>
                      <w:u w:val="none" w:color="auto"/>
                    </w:rPr>
                    <w:t>委托有资质的外单位直接清运</w:t>
                  </w:r>
                  <w:r>
                    <w:rPr>
                      <w:rFonts w:hint="default" w:ascii="Times New Roman" w:hAnsi="Times New Roman" w:eastAsia="宋体" w:cs="Times New Roman"/>
                      <w:caps w:val="0"/>
                      <w:color w:val="auto"/>
                      <w:sz w:val="21"/>
                      <w:szCs w:val="21"/>
                      <w:highlight w:val="none"/>
                      <w:u w:val="none" w:color="auto"/>
                      <w:lang w:val="en-US" w:eastAsia="zh-CN"/>
                    </w:rPr>
                    <w:t>处理</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码头</w:t>
                  </w:r>
                  <w:r>
                    <w:rPr>
                      <w:rFonts w:hint="default" w:ascii="Times New Roman" w:hAnsi="Times New Roman" w:eastAsia="宋体" w:cs="Times New Roman"/>
                      <w:caps w:val="0"/>
                      <w:color w:val="auto"/>
                      <w:sz w:val="21"/>
                      <w:szCs w:val="21"/>
                      <w:highlight w:val="none"/>
                      <w:u w:val="none" w:color="auto"/>
                      <w:lang w:val="en-US" w:eastAsia="zh-CN"/>
                    </w:rPr>
                    <w:t>新增</w:t>
                  </w:r>
                  <w:r>
                    <w:rPr>
                      <w:rFonts w:hint="default" w:ascii="Times New Roman" w:hAnsi="Times New Roman" w:eastAsia="宋体" w:cs="Times New Roman"/>
                      <w:caps w:val="0"/>
                      <w:color w:val="auto"/>
                      <w:sz w:val="21"/>
                      <w:szCs w:val="21"/>
                      <w:highlight w:val="none"/>
                      <w:u w:val="none" w:color="auto"/>
                    </w:rPr>
                    <w:t>生活垃圾经垃圾桶收集后由当地环卫</w:t>
                  </w:r>
                  <w:r>
                    <w:rPr>
                      <w:rFonts w:hint="default" w:ascii="Times New Roman" w:hAnsi="Times New Roman" w:eastAsia="宋体" w:cs="Times New Roman"/>
                      <w:caps w:val="0"/>
                      <w:color w:val="auto"/>
                      <w:sz w:val="21"/>
                      <w:szCs w:val="21"/>
                      <w:highlight w:val="none"/>
                      <w:u w:val="none" w:color="auto"/>
                      <w:lang w:val="en-US" w:eastAsia="zh-CN"/>
                    </w:rPr>
                    <w:t>部门</w:t>
                  </w:r>
                  <w:r>
                    <w:rPr>
                      <w:rFonts w:hint="default" w:ascii="Times New Roman" w:hAnsi="Times New Roman" w:eastAsia="宋体" w:cs="Times New Roman"/>
                      <w:caps w:val="0"/>
                      <w:color w:val="auto"/>
                      <w:sz w:val="21"/>
                      <w:szCs w:val="21"/>
                      <w:highlight w:val="none"/>
                      <w:u w:val="none" w:color="auto"/>
                    </w:rPr>
                    <w:t>定期清运</w:t>
                  </w:r>
                  <w:r>
                    <w:rPr>
                      <w:rFonts w:hint="default" w:ascii="Times New Roman" w:hAnsi="Times New Roman" w:eastAsia="宋体" w:cs="Times New Roman"/>
                      <w:caps w:val="0"/>
                      <w:color w:val="auto"/>
                      <w:sz w:val="21"/>
                      <w:szCs w:val="21"/>
                      <w:highlight w:val="none"/>
                      <w:u w:val="none" w:color="auto"/>
                      <w:lang w:val="en-US" w:eastAsia="zh-CN"/>
                    </w:rPr>
                    <w:t>处理</w:t>
                  </w:r>
                  <w:r>
                    <w:rPr>
                      <w:rFonts w:hint="default" w:ascii="Times New Roman" w:hAnsi="Times New Roman" w:eastAsia="宋体" w:cs="Times New Roman"/>
                      <w:caps w:val="0"/>
                      <w:color w:val="auto"/>
                      <w:sz w:val="21"/>
                      <w:szCs w:val="21"/>
                      <w:highlight w:val="none"/>
                      <w:u w:val="none" w:color="auto"/>
                    </w:rPr>
                    <w:t>。</w:t>
                  </w:r>
                </w:p>
              </w:tc>
            </w:tr>
            <w:tr w14:paraId="2328E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8" w:hRule="atLeast"/>
                <w:jc w:val="center"/>
              </w:trPr>
              <w:tc>
                <w:tcPr>
                  <w:tcW w:w="459" w:type="dxa"/>
                  <w:vMerge w:val="continue"/>
                  <w:tcBorders>
                    <w:tl2br w:val="nil"/>
                    <w:tr2bl w:val="nil"/>
                  </w:tcBorders>
                  <w:noWrap w:val="0"/>
                  <w:vAlign w:val="center"/>
                </w:tcPr>
                <w:p w14:paraId="16B89B38">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0C4FA0BD">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4376644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lang w:val="en-US" w:eastAsia="zh-CN"/>
                    </w:rPr>
                  </w:pPr>
                  <w:r>
                    <w:rPr>
                      <w:rFonts w:hint="eastAsia" w:ascii="Times New Roman" w:hAnsi="Times New Roman" w:eastAsia="宋体" w:cs="Times New Roman"/>
                      <w:caps w:val="0"/>
                      <w:color w:val="auto"/>
                      <w:sz w:val="21"/>
                      <w:szCs w:val="21"/>
                      <w:highlight w:val="none"/>
                      <w:u w:val="none" w:color="auto"/>
                      <w:lang w:val="en-US" w:eastAsia="zh-CN"/>
                    </w:rPr>
                    <w:t>一般固废</w:t>
                  </w:r>
                </w:p>
              </w:tc>
              <w:tc>
                <w:tcPr>
                  <w:tcW w:w="6299" w:type="dxa"/>
                  <w:tcBorders>
                    <w:tl2br w:val="nil"/>
                    <w:tr2bl w:val="nil"/>
                  </w:tcBorders>
                  <w:noWrap w:val="0"/>
                  <w:vAlign w:val="center"/>
                </w:tcPr>
                <w:p w14:paraId="18956C7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一般固废包括集装箱清扫废物，除尘灰、废焊丝、废弃钢板，暂存于厂区一般固废暂存间内，位于厂区东北角，面积20m</w:t>
                  </w:r>
                  <w:r>
                    <w:rPr>
                      <w:rFonts w:hint="default" w:ascii="Times New Roman" w:hAnsi="Times New Roman" w:eastAsia="宋体" w:cs="Times New Roman"/>
                      <w:caps w:val="0"/>
                      <w:color w:val="auto"/>
                      <w:sz w:val="21"/>
                      <w:szCs w:val="21"/>
                      <w:highlight w:val="none"/>
                      <w:u w:val="none" w:color="auto"/>
                      <w:vertAlign w:val="superscript"/>
                      <w:lang w:val="en-US" w:eastAsia="zh-CN"/>
                    </w:rPr>
                    <w:t>2</w:t>
                  </w:r>
                  <w:r>
                    <w:rPr>
                      <w:rFonts w:hint="default" w:ascii="Times New Roman" w:hAnsi="Times New Roman" w:eastAsia="宋体" w:cs="Times New Roman"/>
                      <w:caps w:val="0"/>
                      <w:color w:val="auto"/>
                      <w:sz w:val="21"/>
                      <w:szCs w:val="21"/>
                      <w:highlight w:val="none"/>
                      <w:u w:val="none" w:color="auto"/>
                      <w:lang w:val="en-US" w:eastAsia="zh-CN"/>
                    </w:rPr>
                    <w:t>，定期交由市政清运</w:t>
                  </w:r>
                </w:p>
              </w:tc>
            </w:tr>
            <w:tr w14:paraId="42D9D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4" w:hRule="atLeast"/>
                <w:jc w:val="center"/>
              </w:trPr>
              <w:tc>
                <w:tcPr>
                  <w:tcW w:w="459" w:type="dxa"/>
                  <w:vMerge w:val="continue"/>
                  <w:tcBorders>
                    <w:tl2br w:val="nil"/>
                    <w:tr2bl w:val="nil"/>
                  </w:tcBorders>
                  <w:noWrap w:val="0"/>
                  <w:vAlign w:val="center"/>
                </w:tcPr>
                <w:p w14:paraId="3D4B3A8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306" w:type="dxa"/>
                  <w:vMerge w:val="continue"/>
                  <w:tcBorders>
                    <w:tl2br w:val="nil"/>
                    <w:tr2bl w:val="nil"/>
                  </w:tcBorders>
                  <w:noWrap w:val="0"/>
                  <w:vAlign w:val="center"/>
                </w:tcPr>
                <w:p w14:paraId="758952A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61853E3E">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rPr>
                    <w:t>废矿物油</w:t>
                  </w:r>
                  <w:r>
                    <w:rPr>
                      <w:rFonts w:hint="default" w:ascii="Times New Roman" w:hAnsi="Times New Roman" w:eastAsia="宋体" w:cs="Times New Roman"/>
                      <w:caps w:val="0"/>
                      <w:color w:val="auto"/>
                      <w:kern w:val="0"/>
                      <w:sz w:val="21"/>
                      <w:szCs w:val="21"/>
                      <w:highlight w:val="none"/>
                      <w:u w:val="none" w:color="auto"/>
                      <w:lang w:val="en-US" w:eastAsia="zh-CN"/>
                    </w:rPr>
                    <w:t>等</w:t>
                  </w:r>
                  <w:r>
                    <w:rPr>
                      <w:rFonts w:hint="eastAsia" w:cs="Times New Roman"/>
                      <w:caps w:val="0"/>
                      <w:color w:val="auto"/>
                      <w:kern w:val="0"/>
                      <w:sz w:val="21"/>
                      <w:szCs w:val="21"/>
                      <w:highlight w:val="none"/>
                      <w:u w:val="none" w:color="auto"/>
                      <w:lang w:val="en-US" w:eastAsia="zh-CN"/>
                    </w:rPr>
                    <w:t>危险废物</w:t>
                  </w:r>
                </w:p>
              </w:tc>
              <w:tc>
                <w:tcPr>
                  <w:tcW w:w="6299" w:type="dxa"/>
                  <w:tcBorders>
                    <w:tl2br w:val="nil"/>
                    <w:tr2bl w:val="nil"/>
                  </w:tcBorders>
                  <w:noWrap w:val="0"/>
                  <w:vAlign w:val="center"/>
                </w:tcPr>
                <w:p w14:paraId="62B206A3">
                  <w:pPr>
                    <w:keepNext w:val="0"/>
                    <w:keepLines w:val="0"/>
                    <w:suppressLineNumbers w:val="0"/>
                    <w:spacing w:before="0" w:beforeAutospacing="0" w:after="0" w:afterAutospacing="0" w:line="240" w:lineRule="exact"/>
                    <w:ind w:left="0" w:right="0" w:firstLine="0" w:firstLineChars="0"/>
                    <w:jc w:val="center"/>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kern w:val="0"/>
                      <w:sz w:val="21"/>
                      <w:szCs w:val="21"/>
                      <w:highlight w:val="none"/>
                      <w:u w:val="none" w:color="auto"/>
                      <w:lang w:val="en-US" w:eastAsia="zh-CN"/>
                    </w:rPr>
                    <w:t>危险废物</w:t>
                  </w:r>
                  <w:r>
                    <w:rPr>
                      <w:rFonts w:hint="default" w:ascii="Times New Roman" w:hAnsi="Times New Roman" w:eastAsia="宋体" w:cs="Times New Roman"/>
                      <w:caps w:val="0"/>
                      <w:color w:val="auto"/>
                      <w:kern w:val="0"/>
                      <w:sz w:val="21"/>
                      <w:szCs w:val="21"/>
                      <w:highlight w:val="none"/>
                      <w:u w:val="none" w:color="auto"/>
                    </w:rPr>
                    <w:t>储存于</w:t>
                  </w:r>
                  <w:r>
                    <w:rPr>
                      <w:rFonts w:hint="default" w:ascii="Times New Roman" w:hAnsi="Times New Roman" w:eastAsia="宋体" w:cs="Times New Roman"/>
                      <w:caps w:val="0"/>
                      <w:color w:val="auto"/>
                      <w:kern w:val="0"/>
                      <w:sz w:val="21"/>
                      <w:szCs w:val="21"/>
                      <w:highlight w:val="none"/>
                      <w:u w:val="none" w:color="auto"/>
                      <w:lang w:val="en-US" w:eastAsia="zh-CN"/>
                    </w:rPr>
                    <w:t>现有1间建筑面积为154m</w:t>
                  </w:r>
                  <w:r>
                    <w:rPr>
                      <w:rFonts w:hint="default" w:ascii="Times New Roman" w:hAnsi="Times New Roman" w:eastAsia="宋体" w:cs="Times New Roman"/>
                      <w:caps w:val="0"/>
                      <w:color w:val="auto"/>
                      <w:kern w:val="0"/>
                      <w:sz w:val="21"/>
                      <w:szCs w:val="21"/>
                      <w:highlight w:val="none"/>
                      <w:u w:val="none" w:color="auto"/>
                      <w:vertAlign w:val="superscript"/>
                      <w:lang w:val="en-US" w:eastAsia="zh-CN"/>
                    </w:rPr>
                    <w:t>2</w:t>
                  </w:r>
                  <w:r>
                    <w:rPr>
                      <w:rFonts w:hint="default" w:ascii="Times New Roman" w:hAnsi="Times New Roman" w:eastAsia="宋体" w:cs="Times New Roman"/>
                      <w:caps w:val="0"/>
                      <w:color w:val="auto"/>
                      <w:kern w:val="0"/>
                      <w:sz w:val="21"/>
                      <w:szCs w:val="21"/>
                      <w:highlight w:val="none"/>
                      <w:u w:val="none" w:color="auto"/>
                      <w:lang w:val="en-US" w:eastAsia="zh-CN"/>
                    </w:rPr>
                    <w:t>危废暂存间</w:t>
                  </w:r>
                  <w:r>
                    <w:rPr>
                      <w:rFonts w:hint="default" w:ascii="Times New Roman" w:hAnsi="Times New Roman" w:eastAsia="宋体" w:cs="Times New Roman"/>
                      <w:caps w:val="0"/>
                      <w:color w:val="auto"/>
                      <w:kern w:val="0"/>
                      <w:sz w:val="21"/>
                      <w:szCs w:val="21"/>
                      <w:highlight w:val="none"/>
                      <w:u w:val="none" w:color="auto"/>
                    </w:rPr>
                    <w:t>，委托有资质单位处置</w:t>
                  </w:r>
                  <w:r>
                    <w:rPr>
                      <w:rFonts w:hint="default" w:ascii="Times New Roman" w:hAnsi="Times New Roman" w:eastAsia="宋体" w:cs="Times New Roman"/>
                      <w:caps w:val="0"/>
                      <w:color w:val="auto"/>
                      <w:kern w:val="0"/>
                      <w:sz w:val="21"/>
                      <w:szCs w:val="21"/>
                      <w:highlight w:val="none"/>
                      <w:u w:val="none" w:color="auto"/>
                      <w:lang w:eastAsia="zh-CN"/>
                    </w:rPr>
                    <w:t>。</w:t>
                  </w:r>
                </w:p>
              </w:tc>
            </w:tr>
            <w:tr w14:paraId="6F1B87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35" w:hRule="atLeast"/>
                <w:jc w:val="center"/>
              </w:trPr>
              <w:tc>
                <w:tcPr>
                  <w:tcW w:w="765" w:type="dxa"/>
                  <w:gridSpan w:val="2"/>
                  <w:vMerge w:val="restart"/>
                  <w:tcBorders>
                    <w:tl2br w:val="nil"/>
                    <w:tr2bl w:val="nil"/>
                  </w:tcBorders>
                  <w:noWrap w:val="0"/>
                  <w:vAlign w:val="center"/>
                </w:tcPr>
                <w:p w14:paraId="220A8D13">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环境风险防范</w:t>
                  </w:r>
                </w:p>
              </w:tc>
              <w:tc>
                <w:tcPr>
                  <w:tcW w:w="655" w:type="dxa"/>
                  <w:tcBorders>
                    <w:tl2br w:val="nil"/>
                    <w:tr2bl w:val="nil"/>
                  </w:tcBorders>
                  <w:noWrap w:val="0"/>
                  <w:vAlign w:val="center"/>
                </w:tcPr>
                <w:p w14:paraId="45D17F2C">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应急处理场地</w:t>
                  </w:r>
                </w:p>
              </w:tc>
              <w:tc>
                <w:tcPr>
                  <w:tcW w:w="6299" w:type="dxa"/>
                  <w:tcBorders>
                    <w:tl2br w:val="nil"/>
                    <w:tr2bl w:val="nil"/>
                  </w:tcBorders>
                  <w:noWrap w:val="0"/>
                  <w:vAlign w:val="center"/>
                </w:tcPr>
                <w:p w14:paraId="22D319D9">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危险</w:t>
                  </w:r>
                  <w:r>
                    <w:rPr>
                      <w:rFonts w:hint="default" w:ascii="Times New Roman" w:hAnsi="Times New Roman" w:eastAsia="宋体" w:cs="Times New Roman"/>
                      <w:caps w:val="0"/>
                      <w:color w:val="auto"/>
                      <w:sz w:val="21"/>
                      <w:szCs w:val="21"/>
                      <w:highlight w:val="none"/>
                      <w:u w:val="none" w:color="auto"/>
                      <w:lang w:val="en-US" w:eastAsia="zh-CN"/>
                    </w:rPr>
                    <w:t>品</w:t>
                  </w:r>
                  <w:r>
                    <w:rPr>
                      <w:rFonts w:hint="default" w:ascii="Times New Roman" w:hAnsi="Times New Roman" w:eastAsia="宋体" w:cs="Times New Roman"/>
                      <w:caps w:val="0"/>
                      <w:color w:val="auto"/>
                      <w:sz w:val="21"/>
                      <w:szCs w:val="21"/>
                      <w:highlight w:val="none"/>
                      <w:u w:val="none" w:color="auto"/>
                    </w:rPr>
                    <w:t>集装箱堆场</w:t>
                  </w:r>
                  <w:r>
                    <w:rPr>
                      <w:rFonts w:hint="default" w:ascii="Times New Roman" w:hAnsi="Times New Roman" w:eastAsia="宋体" w:cs="Times New Roman"/>
                      <w:caps w:val="0"/>
                      <w:color w:val="auto"/>
                      <w:sz w:val="21"/>
                      <w:szCs w:val="21"/>
                      <w:highlight w:val="none"/>
                      <w:u w:val="none" w:color="auto"/>
                      <w:lang w:val="en-US" w:eastAsia="zh-CN"/>
                    </w:rPr>
                    <w:t>旁配套建设一处独立应急处理场地，应急处理场地面积为13.4m×2.6m，大于2个TEU箱位占地面积，场地周边设置0.5m高围挡；应急处理场地配套建设应急处置池，尺寸为3m×4.8m×3.1m，容积为44.64m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kern w:val="0"/>
                      <w:sz w:val="21"/>
                      <w:szCs w:val="21"/>
                      <w:highlight w:val="none"/>
                      <w:u w:val="none" w:color="auto"/>
                    </w:rPr>
                    <w:t>新增危险</w:t>
                  </w:r>
                  <w:r>
                    <w:rPr>
                      <w:rFonts w:hint="default" w:ascii="Times New Roman" w:hAnsi="Times New Roman" w:eastAsia="宋体" w:cs="Times New Roman"/>
                      <w:caps w:val="0"/>
                      <w:color w:val="auto"/>
                      <w:kern w:val="0"/>
                      <w:sz w:val="21"/>
                      <w:szCs w:val="21"/>
                      <w:highlight w:val="none"/>
                      <w:u w:val="none" w:color="auto"/>
                      <w:lang w:eastAsia="zh-CN"/>
                    </w:rPr>
                    <w:t>货种</w:t>
                  </w:r>
                  <w:r>
                    <w:rPr>
                      <w:rFonts w:hint="default" w:ascii="Times New Roman" w:hAnsi="Times New Roman" w:eastAsia="宋体" w:cs="Times New Roman"/>
                      <w:caps w:val="0"/>
                      <w:color w:val="auto"/>
                      <w:kern w:val="0"/>
                      <w:sz w:val="21"/>
                      <w:szCs w:val="21"/>
                      <w:highlight w:val="none"/>
                      <w:u w:val="none" w:color="auto"/>
                    </w:rPr>
                    <w:t>集装箱</w:t>
                  </w:r>
                  <w:r>
                    <w:rPr>
                      <w:rFonts w:hint="default" w:ascii="Times New Roman" w:hAnsi="Times New Roman" w:eastAsia="宋体" w:cs="Times New Roman"/>
                      <w:caps w:val="0"/>
                      <w:color w:val="auto"/>
                      <w:kern w:val="0"/>
                      <w:sz w:val="21"/>
                      <w:szCs w:val="21"/>
                      <w:highlight w:val="none"/>
                      <w:u w:val="none" w:color="auto"/>
                      <w:lang w:eastAsia="zh-CN"/>
                    </w:rPr>
                    <w:t>采用</w:t>
                  </w:r>
                  <w:r>
                    <w:rPr>
                      <w:rFonts w:hint="default" w:ascii="Times New Roman" w:hAnsi="Times New Roman" w:eastAsia="宋体" w:cs="Times New Roman"/>
                      <w:caps w:val="0"/>
                      <w:color w:val="auto"/>
                      <w:kern w:val="0"/>
                      <w:sz w:val="21"/>
                      <w:szCs w:val="21"/>
                      <w:highlight w:val="none"/>
                      <w:u w:val="none" w:color="auto"/>
                    </w:rPr>
                    <w:t>直装直取装卸工艺</w:t>
                  </w:r>
                  <w:r>
                    <w:rPr>
                      <w:rFonts w:hint="default" w:ascii="Times New Roman" w:hAnsi="Times New Roman" w:eastAsia="宋体" w:cs="Times New Roman"/>
                      <w:caps w:val="0"/>
                      <w:color w:val="auto"/>
                      <w:kern w:val="0"/>
                      <w:sz w:val="21"/>
                      <w:szCs w:val="21"/>
                      <w:highlight w:val="none"/>
                      <w:u w:val="none" w:color="auto"/>
                      <w:lang w:eastAsia="zh-CN"/>
                    </w:rPr>
                    <w:t>，新增货种不在现有</w:t>
                  </w:r>
                  <w:r>
                    <w:rPr>
                      <w:rFonts w:hint="default" w:ascii="Times New Roman" w:hAnsi="Times New Roman" w:eastAsia="宋体" w:cs="Times New Roman"/>
                      <w:caps w:val="0"/>
                      <w:color w:val="auto"/>
                      <w:sz w:val="21"/>
                      <w:szCs w:val="21"/>
                      <w:highlight w:val="none"/>
                      <w:u w:val="none" w:color="auto"/>
                    </w:rPr>
                    <w:t>危险</w:t>
                  </w:r>
                  <w:r>
                    <w:rPr>
                      <w:rFonts w:hint="default" w:ascii="Times New Roman" w:hAnsi="Times New Roman" w:eastAsia="宋体" w:cs="Times New Roman"/>
                      <w:caps w:val="0"/>
                      <w:color w:val="auto"/>
                      <w:sz w:val="21"/>
                      <w:szCs w:val="21"/>
                      <w:highlight w:val="none"/>
                      <w:u w:val="none" w:color="auto"/>
                      <w:lang w:val="en-US" w:eastAsia="zh-CN"/>
                    </w:rPr>
                    <w:t>品</w:t>
                  </w:r>
                  <w:r>
                    <w:rPr>
                      <w:rFonts w:hint="default" w:ascii="Times New Roman" w:hAnsi="Times New Roman" w:eastAsia="宋体" w:cs="Times New Roman"/>
                      <w:caps w:val="0"/>
                      <w:color w:val="auto"/>
                      <w:sz w:val="21"/>
                      <w:szCs w:val="21"/>
                      <w:highlight w:val="none"/>
                      <w:u w:val="none" w:color="auto"/>
                    </w:rPr>
                    <w:t>集装箱堆场</w:t>
                  </w:r>
                  <w:r>
                    <w:rPr>
                      <w:rFonts w:hint="default" w:ascii="Times New Roman" w:hAnsi="Times New Roman" w:eastAsia="宋体" w:cs="Times New Roman"/>
                      <w:caps w:val="0"/>
                      <w:color w:val="auto"/>
                      <w:sz w:val="21"/>
                      <w:szCs w:val="21"/>
                      <w:highlight w:val="none"/>
                      <w:u w:val="none" w:color="auto"/>
                      <w:lang w:eastAsia="zh-CN"/>
                    </w:rPr>
                    <w:t>堆存</w:t>
                  </w:r>
                </w:p>
              </w:tc>
            </w:tr>
            <w:tr w14:paraId="01D15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765" w:type="dxa"/>
                  <w:gridSpan w:val="2"/>
                  <w:vMerge w:val="continue"/>
                  <w:tcBorders>
                    <w:tl2br w:val="nil"/>
                    <w:tr2bl w:val="nil"/>
                  </w:tcBorders>
                  <w:noWrap w:val="0"/>
                  <w:vAlign w:val="center"/>
                </w:tcPr>
                <w:p w14:paraId="785BC9A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1EB12A81">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集污池和事故池</w:t>
                  </w:r>
                </w:p>
              </w:tc>
              <w:tc>
                <w:tcPr>
                  <w:tcW w:w="6299" w:type="dxa"/>
                  <w:tcBorders>
                    <w:tl2br w:val="nil"/>
                    <w:tr2bl w:val="nil"/>
                  </w:tcBorders>
                  <w:noWrap w:val="0"/>
                  <w:vAlign w:val="center"/>
                </w:tcPr>
                <w:p w14:paraId="55C0E6FA">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①危险品</w:t>
                  </w:r>
                  <w:r>
                    <w:rPr>
                      <w:rFonts w:hint="default" w:ascii="Times New Roman" w:hAnsi="Times New Roman" w:eastAsia="宋体" w:cs="Times New Roman"/>
                      <w:caps w:val="0"/>
                      <w:color w:val="auto"/>
                      <w:sz w:val="21"/>
                      <w:szCs w:val="21"/>
                      <w:highlight w:val="none"/>
                      <w:u w:val="none" w:color="auto"/>
                      <w:lang w:val="en-US" w:eastAsia="zh-CN"/>
                    </w:rPr>
                    <w:t>集装箱</w:t>
                  </w:r>
                  <w:r>
                    <w:rPr>
                      <w:rFonts w:hint="default" w:ascii="Times New Roman" w:hAnsi="Times New Roman" w:eastAsia="宋体" w:cs="Times New Roman"/>
                      <w:caps w:val="0"/>
                      <w:color w:val="auto"/>
                      <w:sz w:val="21"/>
                      <w:szCs w:val="21"/>
                      <w:highlight w:val="none"/>
                      <w:u w:val="none" w:color="auto"/>
                    </w:rPr>
                    <w:t>堆场四周设置独立排水沟，并在堆场外设有配套集污池和事故池，总容积约170m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rPr>
                    <w:t>。</w:t>
                  </w:r>
                </w:p>
                <w:p w14:paraId="310EDEDE">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②为避免码头危险货物在装卸和运输中发生环境风险事故，在5#泊位后方设置一处事故应急池，事故池容积约268.3m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rPr>
                    <w:t>。</w:t>
                  </w:r>
                </w:p>
              </w:tc>
            </w:tr>
            <w:tr w14:paraId="553BB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71" w:hRule="atLeast"/>
                <w:jc w:val="center"/>
              </w:trPr>
              <w:tc>
                <w:tcPr>
                  <w:tcW w:w="765" w:type="dxa"/>
                  <w:gridSpan w:val="2"/>
                  <w:vMerge w:val="continue"/>
                  <w:tcBorders>
                    <w:tl2br w:val="nil"/>
                    <w:tr2bl w:val="nil"/>
                  </w:tcBorders>
                  <w:noWrap w:val="0"/>
                  <w:vAlign w:val="center"/>
                </w:tcPr>
                <w:p w14:paraId="2522040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3CD4C233">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p>
              </w:tc>
              <w:tc>
                <w:tcPr>
                  <w:tcW w:w="6299" w:type="dxa"/>
                  <w:tcBorders>
                    <w:tl2br w:val="nil"/>
                    <w:tr2bl w:val="nil"/>
                  </w:tcBorders>
                  <w:noWrap w:val="0"/>
                  <w:vAlign w:val="center"/>
                </w:tcPr>
                <w:p w14:paraId="1F959505">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共设置有</w:t>
                  </w:r>
                  <w:r>
                    <w:rPr>
                      <w:rFonts w:hint="default" w:ascii="Times New Roman" w:hAnsi="Times New Roman" w:eastAsia="宋体" w:cs="Times New Roman"/>
                      <w:caps w:val="0"/>
                      <w:color w:val="auto"/>
                      <w:sz w:val="21"/>
                      <w:szCs w:val="21"/>
                      <w:highlight w:val="none"/>
                      <w:u w:val="none" w:color="auto"/>
                      <w:lang w:val="en-US" w:eastAsia="zh-CN"/>
                    </w:rPr>
                    <w:t>6</w:t>
                  </w:r>
                  <w:r>
                    <w:rPr>
                      <w:rFonts w:hint="default" w:ascii="Times New Roman" w:hAnsi="Times New Roman" w:eastAsia="宋体" w:cs="Times New Roman"/>
                      <w:caps w:val="0"/>
                      <w:color w:val="auto"/>
                      <w:sz w:val="21"/>
                      <w:szCs w:val="21"/>
                      <w:highlight w:val="none"/>
                      <w:u w:val="none" w:color="auto"/>
                    </w:rPr>
                    <w:t>个移动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r>
                    <w:rPr>
                      <w:rFonts w:hint="default" w:ascii="Times New Roman" w:hAnsi="Times New Roman" w:eastAsia="宋体" w:cs="Times New Roman"/>
                      <w:caps w:val="0"/>
                      <w:color w:val="auto"/>
                      <w:sz w:val="21"/>
                      <w:szCs w:val="21"/>
                      <w:highlight w:val="none"/>
                      <w:u w:val="none" w:color="auto"/>
                      <w:lang w:val="en-US" w:eastAsia="zh-CN"/>
                    </w:rPr>
                    <w:t>，单位容积为26.39</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sz w:val="21"/>
                      <w:szCs w:val="21"/>
                      <w:highlight w:val="none"/>
                      <w:u w:val="none" w:color="auto"/>
                    </w:rPr>
                    <w:t>总容积约1</w:t>
                  </w:r>
                  <w:r>
                    <w:rPr>
                      <w:rFonts w:hint="default" w:ascii="Times New Roman" w:hAnsi="Times New Roman" w:eastAsia="宋体" w:cs="Times New Roman"/>
                      <w:caps w:val="0"/>
                      <w:color w:val="auto"/>
                      <w:sz w:val="21"/>
                      <w:szCs w:val="21"/>
                      <w:highlight w:val="none"/>
                      <w:u w:val="none" w:color="auto"/>
                      <w:lang w:val="en-US" w:eastAsia="zh-CN"/>
                    </w:rPr>
                    <w:t>58.34</w:t>
                  </w: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w:t>
                  </w:r>
                  <w:r>
                    <w:rPr>
                      <w:rFonts w:hint="default" w:ascii="Times New Roman" w:hAnsi="Times New Roman" w:eastAsia="宋体" w:cs="Times New Roman"/>
                      <w:caps w:val="0"/>
                      <w:color w:val="auto"/>
                      <w:sz w:val="21"/>
                      <w:szCs w:val="21"/>
                      <w:highlight w:val="none"/>
                      <w:u w:val="none" w:color="auto"/>
                    </w:rPr>
                    <w:t>当码头前沿发生装卸事故导致危险货物泄漏或引发火灾事故时，通过沙袋围堰防止事故废水进入海域，并抽排进码头前沿放置的移动</w:t>
                  </w:r>
                  <w:r>
                    <w:rPr>
                      <w:rFonts w:hint="default" w:ascii="Times New Roman" w:hAnsi="Times New Roman" w:eastAsia="宋体" w:cs="Times New Roman"/>
                      <w:caps w:val="0"/>
                      <w:color w:val="auto"/>
                      <w:sz w:val="21"/>
                      <w:szCs w:val="21"/>
                      <w:highlight w:val="none"/>
                      <w:u w:val="none" w:color="auto"/>
                      <w:lang w:val="en-US" w:eastAsia="zh-CN"/>
                    </w:rPr>
                    <w:t>式</w:t>
                  </w:r>
                  <w:r>
                    <w:rPr>
                      <w:rFonts w:hint="default" w:ascii="Times New Roman" w:hAnsi="Times New Roman" w:eastAsia="宋体" w:cs="Times New Roman"/>
                      <w:caps w:val="0"/>
                      <w:color w:val="auto"/>
                      <w:sz w:val="21"/>
                      <w:szCs w:val="21"/>
                      <w:highlight w:val="none"/>
                      <w:u w:val="none" w:color="auto"/>
                    </w:rPr>
                    <w:t>应急</w:t>
                  </w:r>
                  <w:r>
                    <w:rPr>
                      <w:rFonts w:hint="default" w:ascii="Times New Roman" w:hAnsi="Times New Roman" w:eastAsia="宋体" w:cs="Times New Roman"/>
                      <w:caps w:val="0"/>
                      <w:color w:val="auto"/>
                      <w:sz w:val="21"/>
                      <w:szCs w:val="21"/>
                      <w:highlight w:val="none"/>
                      <w:u w:val="none" w:color="auto"/>
                      <w:lang w:val="en-US" w:eastAsia="zh-CN"/>
                    </w:rPr>
                    <w:t>回收</w:t>
                  </w:r>
                  <w:r>
                    <w:rPr>
                      <w:rFonts w:hint="default" w:ascii="Times New Roman" w:hAnsi="Times New Roman" w:eastAsia="宋体" w:cs="Times New Roman"/>
                      <w:caps w:val="0"/>
                      <w:color w:val="auto"/>
                      <w:sz w:val="21"/>
                      <w:szCs w:val="21"/>
                      <w:highlight w:val="none"/>
                      <w:u w:val="none" w:color="auto"/>
                    </w:rPr>
                    <w:t>池</w:t>
                  </w:r>
                  <w:r>
                    <w:rPr>
                      <w:rFonts w:hint="default" w:ascii="Times New Roman" w:hAnsi="Times New Roman" w:eastAsia="宋体" w:cs="Times New Roman"/>
                      <w:caps w:val="0"/>
                      <w:color w:val="auto"/>
                      <w:sz w:val="21"/>
                      <w:szCs w:val="21"/>
                      <w:highlight w:val="none"/>
                      <w:u w:val="none" w:color="auto"/>
                      <w:lang w:val="en-US" w:eastAsia="zh-CN"/>
                    </w:rPr>
                    <w:t>内</w:t>
                  </w:r>
                  <w:r>
                    <w:rPr>
                      <w:rFonts w:hint="default" w:ascii="Times New Roman" w:hAnsi="Times New Roman" w:eastAsia="宋体" w:cs="Times New Roman"/>
                      <w:caps w:val="0"/>
                      <w:color w:val="auto"/>
                      <w:sz w:val="21"/>
                      <w:szCs w:val="21"/>
                      <w:highlight w:val="none"/>
                      <w:u w:val="none" w:color="auto"/>
                    </w:rPr>
                    <w:t>，转运至事故应急池临时存储。</w:t>
                  </w:r>
                </w:p>
              </w:tc>
            </w:tr>
            <w:tr w14:paraId="21441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600" w:hRule="atLeast"/>
                <w:jc w:val="center"/>
              </w:trPr>
              <w:tc>
                <w:tcPr>
                  <w:tcW w:w="765" w:type="dxa"/>
                  <w:gridSpan w:val="2"/>
                  <w:vMerge w:val="continue"/>
                  <w:tcBorders>
                    <w:tl2br w:val="nil"/>
                    <w:tr2bl w:val="nil"/>
                  </w:tcBorders>
                  <w:noWrap w:val="0"/>
                  <w:vAlign w:val="center"/>
                </w:tcPr>
                <w:p w14:paraId="0FE3B39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2CFA7B91">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应急设备</w:t>
                  </w:r>
                </w:p>
              </w:tc>
              <w:tc>
                <w:tcPr>
                  <w:tcW w:w="6299" w:type="dxa"/>
                  <w:tcBorders>
                    <w:tl2br w:val="nil"/>
                    <w:tr2bl w:val="nil"/>
                  </w:tcBorders>
                  <w:noWrap w:val="0"/>
                  <w:vAlign w:val="center"/>
                </w:tcPr>
                <w:p w14:paraId="25D04D54">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码头设有两处应急物资库，分别位于1#泊位、4#泊位后方，</w:t>
                  </w:r>
                  <w:r>
                    <w:rPr>
                      <w:rFonts w:hint="default" w:ascii="Times New Roman" w:hAnsi="Times New Roman" w:eastAsia="宋体" w:cs="Times New Roman"/>
                      <w:caps w:val="0"/>
                      <w:color w:val="auto"/>
                      <w:sz w:val="21"/>
                      <w:szCs w:val="21"/>
                      <w:highlight w:val="none"/>
                      <w:u w:val="none" w:color="auto"/>
                      <w:lang w:val="en-US" w:eastAsia="zh-CN"/>
                    </w:rPr>
                    <w:t>配置有</w:t>
                  </w:r>
                  <w:r>
                    <w:rPr>
                      <w:rFonts w:hint="default" w:ascii="Times New Roman" w:hAnsi="Times New Roman" w:eastAsia="宋体" w:cs="Times New Roman"/>
                      <w:caps w:val="0"/>
                      <w:color w:val="auto"/>
                      <w:sz w:val="21"/>
                      <w:szCs w:val="21"/>
                      <w:highlight w:val="none"/>
                      <w:u w:val="none" w:color="auto"/>
                    </w:rPr>
                    <w:t>固体浮子式PVC围油栏</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转盘式收油机</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溢油分散剂</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消油剂喷洒器</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吸油毡</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rPr>
                    <w:t>便捷式集油桶</w:t>
                  </w:r>
                  <w:r>
                    <w:rPr>
                      <w:rFonts w:hint="default" w:ascii="Times New Roman" w:hAnsi="Times New Roman" w:eastAsia="宋体" w:cs="Times New Roman"/>
                      <w:caps w:val="0"/>
                      <w:color w:val="auto"/>
                      <w:sz w:val="21"/>
                      <w:szCs w:val="21"/>
                      <w:highlight w:val="none"/>
                      <w:u w:val="none" w:color="auto"/>
                      <w:lang w:eastAsia="zh-CN"/>
                    </w:rPr>
                    <w:t>、化学品吸收吸附材料、碳酸氢钠、磷酸二氢钠重型防化服、防护服、正压式空气呼吸器、自吸过滤式防毒面具（全面罩）、五合一气体检测仪、护目罩、防尘口罩、耐酸碱手套</w:t>
                  </w:r>
                  <w:r>
                    <w:rPr>
                      <w:rFonts w:hint="default" w:ascii="Times New Roman" w:hAnsi="Times New Roman" w:eastAsia="宋体" w:cs="Times New Roman"/>
                      <w:caps w:val="0"/>
                      <w:color w:val="auto"/>
                      <w:sz w:val="21"/>
                      <w:szCs w:val="21"/>
                      <w:highlight w:val="none"/>
                      <w:u w:val="none" w:color="auto"/>
                    </w:rPr>
                    <w:t>等。</w:t>
                  </w:r>
                </w:p>
              </w:tc>
            </w:tr>
            <w:tr w14:paraId="6A582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45" w:hRule="atLeast"/>
                <w:jc w:val="center"/>
              </w:trPr>
              <w:tc>
                <w:tcPr>
                  <w:tcW w:w="765" w:type="dxa"/>
                  <w:gridSpan w:val="2"/>
                  <w:vMerge w:val="continue"/>
                  <w:tcBorders>
                    <w:tl2br w:val="nil"/>
                    <w:tr2bl w:val="nil"/>
                  </w:tcBorders>
                  <w:noWrap w:val="0"/>
                  <w:vAlign w:val="center"/>
                </w:tcPr>
                <w:p w14:paraId="38E3F74B">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p>
              </w:tc>
              <w:tc>
                <w:tcPr>
                  <w:tcW w:w="655" w:type="dxa"/>
                  <w:tcBorders>
                    <w:tl2br w:val="nil"/>
                    <w:tr2bl w:val="nil"/>
                  </w:tcBorders>
                  <w:noWrap w:val="0"/>
                  <w:vAlign w:val="center"/>
                </w:tcPr>
                <w:p w14:paraId="07C03CCF">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其他</w:t>
                  </w:r>
                </w:p>
              </w:tc>
              <w:tc>
                <w:tcPr>
                  <w:tcW w:w="6299" w:type="dxa"/>
                  <w:tcBorders>
                    <w:tl2br w:val="nil"/>
                    <w:tr2bl w:val="nil"/>
                  </w:tcBorders>
                  <w:noWrap w:val="0"/>
                  <w:vAlign w:val="center"/>
                </w:tcPr>
                <w:p w14:paraId="7DCD94C2">
                  <w:pPr>
                    <w:pStyle w:val="14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应急预案、其他相关管理措施。</w:t>
                  </w:r>
                </w:p>
              </w:tc>
            </w:tr>
          </w:tbl>
          <w:p w14:paraId="131EFC7F">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val="0"/>
                <w:color w:val="auto"/>
                <w:sz w:val="24"/>
                <w:szCs w:val="24"/>
                <w:highlight w:val="none"/>
                <w:u w:val="none" w:color="auto"/>
                <w:vertAlign w:val="baseline"/>
                <w:lang w:val="en-US" w:eastAsia="zh-CN"/>
              </w:rPr>
              <w:t>表2-</w:t>
            </w:r>
            <w:r>
              <w:rPr>
                <w:rFonts w:hint="eastAsia" w:ascii="Times New Roman" w:hAnsi="Times New Roman" w:eastAsia="宋体" w:cs="Times New Roman"/>
                <w:b/>
                <w:bCs w:val="0"/>
                <w:color w:val="auto"/>
                <w:sz w:val="24"/>
                <w:szCs w:val="24"/>
                <w:highlight w:val="none"/>
                <w:u w:val="none" w:color="auto"/>
                <w:vertAlign w:val="baseline"/>
                <w:lang w:val="en-US" w:eastAsia="zh-CN"/>
              </w:rPr>
              <w:t>6</w:t>
            </w:r>
            <w:r>
              <w:rPr>
                <w:rFonts w:hint="default" w:ascii="Times New Roman" w:hAnsi="Times New Roman" w:eastAsia="宋体" w:cs="Times New Roman"/>
                <w:b/>
                <w:bCs/>
                <w:caps w:val="0"/>
                <w:color w:val="auto"/>
                <w:sz w:val="21"/>
                <w:szCs w:val="21"/>
                <w:highlight w:val="none"/>
                <w:u w:val="none" w:color="auto"/>
                <w:lang w:val="en-US" w:eastAsia="zh-CN"/>
              </w:rPr>
              <w:t>项目建设</w:t>
            </w:r>
            <w:r>
              <w:rPr>
                <w:rFonts w:hint="eastAsia" w:ascii="Times New Roman" w:hAnsi="Times New Roman" w:eastAsia="宋体" w:cs="Times New Roman"/>
                <w:b/>
                <w:bCs/>
                <w:caps w:val="0"/>
                <w:color w:val="auto"/>
                <w:sz w:val="21"/>
                <w:szCs w:val="21"/>
                <w:highlight w:val="none"/>
                <w:u w:val="none" w:color="auto"/>
                <w:lang w:val="en-US" w:eastAsia="zh-CN"/>
              </w:rPr>
              <w:t>现有</w:t>
            </w:r>
            <w:r>
              <w:rPr>
                <w:rFonts w:hint="default" w:ascii="Times New Roman" w:hAnsi="Times New Roman" w:eastAsia="宋体" w:cs="Times New Roman"/>
                <w:b/>
                <w:bCs/>
                <w:caps w:val="0"/>
                <w:color w:val="auto"/>
                <w:sz w:val="21"/>
                <w:szCs w:val="21"/>
                <w:highlight w:val="none"/>
                <w:u w:val="none" w:color="auto"/>
              </w:rPr>
              <w:t>工程量变化表</w:t>
            </w:r>
          </w:p>
          <w:tbl>
            <w:tblPr>
              <w:tblStyle w:val="46"/>
              <w:tblW w:w="483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7"/>
              <w:gridCol w:w="3242"/>
              <w:gridCol w:w="2049"/>
              <w:gridCol w:w="1544"/>
            </w:tblGrid>
            <w:tr w14:paraId="732CD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blHeader/>
              </w:trPr>
              <w:tc>
                <w:tcPr>
                  <w:tcW w:w="967" w:type="dxa"/>
                  <w:vMerge w:val="restart"/>
                  <w:tcBorders>
                    <w:top w:val="single" w:color="auto" w:sz="6" w:space="0"/>
                    <w:left w:val="single" w:color="auto" w:sz="6" w:space="0"/>
                    <w:right w:val="single" w:color="auto" w:sz="6" w:space="0"/>
                  </w:tcBorders>
                  <w:noWrap w:val="0"/>
                  <w:vAlign w:val="center"/>
                </w:tcPr>
                <w:p w14:paraId="6F8E2A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序号</w:t>
                  </w:r>
                </w:p>
              </w:tc>
              <w:tc>
                <w:tcPr>
                  <w:tcW w:w="3242" w:type="dxa"/>
                  <w:vMerge w:val="restart"/>
                  <w:tcBorders>
                    <w:top w:val="single" w:color="auto" w:sz="6" w:space="0"/>
                    <w:left w:val="single" w:color="auto" w:sz="6" w:space="0"/>
                    <w:right w:val="single" w:color="auto" w:sz="6" w:space="0"/>
                  </w:tcBorders>
                  <w:noWrap w:val="0"/>
                  <w:vAlign w:val="center"/>
                </w:tcPr>
                <w:p w14:paraId="33147E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指标名称</w:t>
                  </w:r>
                </w:p>
              </w:tc>
              <w:tc>
                <w:tcPr>
                  <w:tcW w:w="2049" w:type="dxa"/>
                  <w:vMerge w:val="restart"/>
                  <w:tcBorders>
                    <w:top w:val="single" w:color="auto" w:sz="6" w:space="0"/>
                    <w:left w:val="single" w:color="auto" w:sz="6" w:space="0"/>
                    <w:right w:val="single" w:color="auto" w:sz="6" w:space="0"/>
                  </w:tcBorders>
                  <w:noWrap w:val="0"/>
                  <w:vAlign w:val="center"/>
                </w:tcPr>
                <w:p w14:paraId="13C4B5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单位</w:t>
                  </w:r>
                </w:p>
              </w:tc>
              <w:tc>
                <w:tcPr>
                  <w:tcW w:w="1544" w:type="dxa"/>
                  <w:vMerge w:val="restart"/>
                  <w:tcBorders>
                    <w:top w:val="single" w:color="auto" w:sz="6" w:space="0"/>
                    <w:left w:val="single" w:color="auto" w:sz="6" w:space="0"/>
                    <w:right w:val="single" w:color="auto" w:sz="6" w:space="0"/>
                  </w:tcBorders>
                  <w:noWrap w:val="0"/>
                  <w:vAlign w:val="center"/>
                </w:tcPr>
                <w:p w14:paraId="1C33F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r>
                    <w:rPr>
                      <w:rFonts w:hint="default" w:ascii="Times New Roman" w:hAnsi="Times New Roman" w:eastAsia="宋体" w:cs="Times New Roman"/>
                      <w:b/>
                      <w:caps w:val="0"/>
                      <w:color w:val="auto"/>
                      <w:sz w:val="21"/>
                      <w:szCs w:val="21"/>
                      <w:highlight w:val="none"/>
                      <w:u w:val="none" w:color="auto"/>
                    </w:rPr>
                    <w:t>现有工程</w:t>
                  </w:r>
                </w:p>
              </w:tc>
            </w:tr>
            <w:tr w14:paraId="6E6C4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0" w:hRule="atLeast"/>
                <w:tblHeader/>
              </w:trPr>
              <w:tc>
                <w:tcPr>
                  <w:tcW w:w="967" w:type="dxa"/>
                  <w:vMerge w:val="continue"/>
                  <w:tcBorders>
                    <w:left w:val="single" w:color="auto" w:sz="6" w:space="0"/>
                    <w:bottom w:val="single" w:color="auto" w:sz="6" w:space="0"/>
                    <w:right w:val="single" w:color="auto" w:sz="6" w:space="0"/>
                  </w:tcBorders>
                  <w:noWrap w:val="0"/>
                  <w:vAlign w:val="center"/>
                </w:tcPr>
                <w:p w14:paraId="54EA75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p>
              </w:tc>
              <w:tc>
                <w:tcPr>
                  <w:tcW w:w="3242" w:type="dxa"/>
                  <w:vMerge w:val="continue"/>
                  <w:tcBorders>
                    <w:left w:val="single" w:color="auto" w:sz="6" w:space="0"/>
                    <w:bottom w:val="single" w:color="auto" w:sz="6" w:space="0"/>
                    <w:right w:val="single" w:color="auto" w:sz="6" w:space="0"/>
                  </w:tcBorders>
                  <w:noWrap w:val="0"/>
                  <w:vAlign w:val="center"/>
                </w:tcPr>
                <w:p w14:paraId="5C373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p>
              </w:tc>
              <w:tc>
                <w:tcPr>
                  <w:tcW w:w="2049" w:type="dxa"/>
                  <w:vMerge w:val="continue"/>
                  <w:tcBorders>
                    <w:left w:val="single" w:color="auto" w:sz="6" w:space="0"/>
                    <w:bottom w:val="single" w:color="auto" w:sz="6" w:space="0"/>
                    <w:right w:val="single" w:color="auto" w:sz="6" w:space="0"/>
                  </w:tcBorders>
                  <w:noWrap w:val="0"/>
                  <w:vAlign w:val="center"/>
                </w:tcPr>
                <w:p w14:paraId="48666C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p>
              </w:tc>
              <w:tc>
                <w:tcPr>
                  <w:tcW w:w="1544" w:type="dxa"/>
                  <w:vMerge w:val="continue"/>
                  <w:tcBorders>
                    <w:left w:val="single" w:color="auto" w:sz="6" w:space="0"/>
                    <w:bottom w:val="single" w:color="auto" w:sz="6" w:space="0"/>
                    <w:right w:val="single" w:color="auto" w:sz="6" w:space="0"/>
                  </w:tcBorders>
                  <w:noWrap w:val="0"/>
                  <w:vAlign w:val="center"/>
                </w:tcPr>
                <w:p w14:paraId="4AC9A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aps w:val="0"/>
                      <w:color w:val="auto"/>
                      <w:sz w:val="21"/>
                      <w:szCs w:val="21"/>
                      <w:highlight w:val="none"/>
                      <w:u w:val="none" w:color="auto"/>
                    </w:rPr>
                  </w:pPr>
                </w:p>
              </w:tc>
            </w:tr>
            <w:tr w14:paraId="13E5F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vMerge w:val="restart"/>
                  <w:tcBorders>
                    <w:top w:val="single" w:color="auto" w:sz="6" w:space="0"/>
                    <w:left w:val="single" w:color="auto" w:sz="6" w:space="0"/>
                    <w:right w:val="single" w:color="auto" w:sz="6" w:space="0"/>
                  </w:tcBorders>
                  <w:noWrap w:val="0"/>
                  <w:vAlign w:val="center"/>
                </w:tcPr>
                <w:p w14:paraId="68087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1</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47AB5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设计集装箱吞吐量</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40CF92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万</w:t>
                  </w:r>
                  <w:r>
                    <w:rPr>
                      <w:rFonts w:hint="default" w:ascii="Times New Roman" w:hAnsi="Times New Roman" w:eastAsia="宋体" w:cs="Times New Roman"/>
                      <w:caps w:val="0"/>
                      <w:color w:val="auto"/>
                      <w:sz w:val="21"/>
                      <w:szCs w:val="21"/>
                      <w:highlight w:val="none"/>
                      <w:u w:val="none" w:color="auto"/>
                    </w:rPr>
                    <w:t>TEU/年</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624EB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rPr>
                  </w:pPr>
                  <w:r>
                    <w:rPr>
                      <w:rFonts w:hint="default" w:ascii="Times New Roman" w:hAnsi="Times New Roman" w:eastAsia="宋体" w:cs="Times New Roman"/>
                      <w:caps w:val="0"/>
                      <w:color w:val="auto"/>
                      <w:sz w:val="21"/>
                      <w:szCs w:val="21"/>
                      <w:highlight w:val="none"/>
                      <w:u w:val="none" w:color="auto"/>
                      <w:lang w:val="en-US" w:eastAsia="zh-CN"/>
                    </w:rPr>
                    <w:t>320</w:t>
                  </w:r>
                </w:p>
              </w:tc>
            </w:tr>
            <w:tr w14:paraId="06ED5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7" w:type="dxa"/>
                  <w:vMerge w:val="continue"/>
                  <w:tcBorders>
                    <w:left w:val="single" w:color="auto" w:sz="6" w:space="0"/>
                    <w:bottom w:val="single" w:color="auto" w:sz="6" w:space="0"/>
                    <w:right w:val="single" w:color="auto" w:sz="6" w:space="0"/>
                  </w:tcBorders>
                  <w:noWrap w:val="0"/>
                  <w:vAlign w:val="center"/>
                </w:tcPr>
                <w:p w14:paraId="6CA57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p>
              </w:tc>
              <w:tc>
                <w:tcPr>
                  <w:tcW w:w="3242" w:type="dxa"/>
                  <w:tcBorders>
                    <w:top w:val="single" w:color="auto" w:sz="6" w:space="0"/>
                    <w:left w:val="single" w:color="auto" w:sz="6" w:space="0"/>
                    <w:bottom w:val="single" w:color="auto" w:sz="6" w:space="0"/>
                    <w:right w:val="single" w:color="auto" w:sz="6" w:space="0"/>
                  </w:tcBorders>
                  <w:noWrap w:val="0"/>
                  <w:vAlign w:val="center"/>
                </w:tcPr>
                <w:p w14:paraId="2D59B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其中普通货物集装箱</w:t>
                  </w:r>
                  <w:r>
                    <w:rPr>
                      <w:rFonts w:hint="default" w:ascii="Times New Roman" w:hAnsi="Times New Roman" w:eastAsia="宋体" w:cs="Times New Roman"/>
                      <w:caps w:val="0"/>
                      <w:color w:val="auto"/>
                      <w:sz w:val="21"/>
                      <w:szCs w:val="21"/>
                      <w:highlight w:val="none"/>
                      <w:u w:val="none" w:color="auto"/>
                    </w:rPr>
                    <w:t>吞吐量</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02543B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万</w:t>
                  </w:r>
                  <w:r>
                    <w:rPr>
                      <w:rFonts w:hint="default" w:ascii="Times New Roman" w:hAnsi="Times New Roman" w:eastAsia="宋体" w:cs="Times New Roman"/>
                      <w:caps w:val="0"/>
                      <w:color w:val="auto"/>
                      <w:sz w:val="21"/>
                      <w:szCs w:val="21"/>
                      <w:highlight w:val="none"/>
                      <w:u w:val="none" w:color="auto"/>
                    </w:rPr>
                    <w:t>TEU/年</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007AD4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310</w:t>
                  </w:r>
                </w:p>
              </w:tc>
            </w:tr>
            <w:tr w14:paraId="69977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7" w:type="dxa"/>
                  <w:vMerge w:val="continue"/>
                  <w:tcBorders>
                    <w:left w:val="single" w:color="auto" w:sz="6" w:space="0"/>
                    <w:bottom w:val="single" w:color="auto" w:sz="6" w:space="0"/>
                    <w:right w:val="single" w:color="auto" w:sz="6" w:space="0"/>
                  </w:tcBorders>
                  <w:noWrap w:val="0"/>
                  <w:vAlign w:val="center"/>
                </w:tcPr>
                <w:p w14:paraId="2B017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p>
              </w:tc>
              <w:tc>
                <w:tcPr>
                  <w:tcW w:w="3242" w:type="dxa"/>
                  <w:tcBorders>
                    <w:top w:val="single" w:color="auto" w:sz="6" w:space="0"/>
                    <w:left w:val="single" w:color="auto" w:sz="6" w:space="0"/>
                    <w:bottom w:val="single" w:color="auto" w:sz="6" w:space="0"/>
                    <w:right w:val="single" w:color="auto" w:sz="6" w:space="0"/>
                  </w:tcBorders>
                  <w:noWrap w:val="0"/>
                  <w:vAlign w:val="center"/>
                </w:tcPr>
                <w:p w14:paraId="6A9935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其中危险货物集装箱</w:t>
                  </w:r>
                  <w:r>
                    <w:rPr>
                      <w:rFonts w:hint="default" w:ascii="Times New Roman" w:hAnsi="Times New Roman" w:eastAsia="宋体" w:cs="Times New Roman"/>
                      <w:caps w:val="0"/>
                      <w:color w:val="auto"/>
                      <w:sz w:val="21"/>
                      <w:szCs w:val="21"/>
                      <w:highlight w:val="none"/>
                      <w:u w:val="none" w:color="auto"/>
                    </w:rPr>
                    <w:t>吞吐量</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72183E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万</w:t>
                  </w:r>
                  <w:r>
                    <w:rPr>
                      <w:rFonts w:hint="default" w:ascii="Times New Roman" w:hAnsi="Times New Roman" w:eastAsia="宋体" w:cs="Times New Roman"/>
                      <w:caps w:val="0"/>
                      <w:color w:val="auto"/>
                      <w:sz w:val="21"/>
                      <w:szCs w:val="21"/>
                      <w:highlight w:val="none"/>
                      <w:u w:val="none" w:color="auto"/>
                    </w:rPr>
                    <w:t>TEU/年</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435F20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10</w:t>
                  </w:r>
                </w:p>
              </w:tc>
            </w:tr>
            <w:tr w14:paraId="6C84A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2633C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2</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32D86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泊位数</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215693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个</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1C169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6</w:t>
                  </w:r>
                </w:p>
              </w:tc>
            </w:tr>
            <w:tr w14:paraId="0B3C5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620F1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3</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6F56D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泊位岸线总长度</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10F94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m</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565B89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1808</w:t>
                  </w:r>
                </w:p>
              </w:tc>
            </w:tr>
            <w:tr w14:paraId="65C4A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49818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4</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490C9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陆域总面积</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79ECB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万m</w:t>
                  </w:r>
                  <w:r>
                    <w:rPr>
                      <w:rFonts w:hint="default" w:ascii="Times New Roman" w:hAnsi="Times New Roman" w:eastAsia="宋体" w:cs="Times New Roman"/>
                      <w:caps w:val="0"/>
                      <w:color w:val="auto"/>
                      <w:sz w:val="21"/>
                      <w:szCs w:val="21"/>
                      <w:highlight w:val="none"/>
                      <w:u w:val="none" w:color="auto"/>
                      <w:vertAlign w:val="superscript"/>
                    </w:rPr>
                    <w:t>2</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3ABFB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135.64</w:t>
                  </w:r>
                </w:p>
              </w:tc>
            </w:tr>
            <w:tr w14:paraId="2B8DA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vMerge w:val="restart"/>
                  <w:tcBorders>
                    <w:top w:val="single" w:color="auto" w:sz="6" w:space="0"/>
                    <w:left w:val="single" w:color="auto" w:sz="6" w:space="0"/>
                    <w:right w:val="single" w:color="auto" w:sz="6" w:space="0"/>
                  </w:tcBorders>
                  <w:noWrap w:val="0"/>
                  <w:vAlign w:val="center"/>
                </w:tcPr>
                <w:p w14:paraId="0B094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eastAsia="zh-CN"/>
                    </w:rPr>
                  </w:pPr>
                  <w:r>
                    <w:rPr>
                      <w:rFonts w:hint="default" w:ascii="Times New Roman" w:hAnsi="Times New Roman" w:eastAsia="宋体" w:cs="Times New Roman"/>
                      <w:caps w:val="0"/>
                      <w:color w:val="auto"/>
                      <w:sz w:val="21"/>
                      <w:szCs w:val="21"/>
                      <w:highlight w:val="none"/>
                      <w:u w:val="none" w:color="auto"/>
                      <w:lang w:val="en-US" w:eastAsia="zh-CN"/>
                    </w:rPr>
                    <w:t>5</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0DC94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堆场面积</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77086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41343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988747</w:t>
                  </w:r>
                </w:p>
              </w:tc>
            </w:tr>
            <w:tr w14:paraId="6C032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967" w:type="dxa"/>
                  <w:vMerge w:val="continue"/>
                  <w:tcBorders>
                    <w:left w:val="single" w:color="auto" w:sz="6" w:space="0"/>
                    <w:bottom w:val="single" w:color="auto" w:sz="6" w:space="0"/>
                    <w:right w:val="single" w:color="auto" w:sz="6" w:space="0"/>
                  </w:tcBorders>
                  <w:noWrap w:val="0"/>
                  <w:vAlign w:val="center"/>
                </w:tcPr>
                <w:p w14:paraId="380A6F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p>
              </w:tc>
              <w:tc>
                <w:tcPr>
                  <w:tcW w:w="3242" w:type="dxa"/>
                  <w:tcBorders>
                    <w:top w:val="single" w:color="auto" w:sz="6" w:space="0"/>
                    <w:left w:val="single" w:color="auto" w:sz="6" w:space="0"/>
                    <w:bottom w:val="single" w:color="auto" w:sz="6" w:space="0"/>
                    <w:right w:val="single" w:color="auto" w:sz="6" w:space="0"/>
                  </w:tcBorders>
                  <w:noWrap w:val="0"/>
                  <w:vAlign w:val="center"/>
                </w:tcPr>
                <w:p w14:paraId="623CE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lang w:val="en-US" w:eastAsia="zh-CN"/>
                    </w:rPr>
                    <w:t>其中危险货物集装箱堆场</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20C82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m</w:t>
                  </w:r>
                  <w:r>
                    <w:rPr>
                      <w:rFonts w:hint="default" w:ascii="Times New Roman" w:hAnsi="Times New Roman" w:eastAsia="宋体" w:cs="Times New Roman"/>
                      <w:caps w:val="0"/>
                      <w:color w:val="auto"/>
                      <w:sz w:val="21"/>
                      <w:szCs w:val="21"/>
                      <w:highlight w:val="none"/>
                      <w:u w:val="none" w:color="auto"/>
                      <w:vertAlign w:val="superscript"/>
                    </w:rPr>
                    <w:t>2</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522214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5000</w:t>
                  </w:r>
                </w:p>
              </w:tc>
            </w:tr>
            <w:tr w14:paraId="287EA6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2A7F7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6</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4B9CC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rPr>
                  </w:pPr>
                  <w:r>
                    <w:rPr>
                      <w:rFonts w:hint="default" w:ascii="Times New Roman" w:hAnsi="Times New Roman" w:eastAsia="宋体" w:cs="Times New Roman"/>
                      <w:caps w:val="0"/>
                      <w:color w:val="auto"/>
                      <w:sz w:val="21"/>
                      <w:szCs w:val="21"/>
                      <w:highlight w:val="none"/>
                      <w:u w:val="none" w:color="auto"/>
                      <w:lang w:val="en-US" w:eastAsia="zh-CN"/>
                    </w:rPr>
                    <w:t>危险货物作业种类</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5CB4C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种</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52BEE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1869</w:t>
                  </w:r>
                </w:p>
              </w:tc>
            </w:tr>
            <w:tr w14:paraId="64C12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52EFC4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7</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5530D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普货拆装箱场</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5CA88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TEU/a</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38398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rPr>
                    <w:t>5515</w:t>
                  </w:r>
                </w:p>
              </w:tc>
            </w:tr>
            <w:tr w14:paraId="0C186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39864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8</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6EEC9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eastAsia" w:ascii="Times New Roman" w:hAnsi="Times New Roman" w:eastAsia="宋体" w:cs="Times New Roman"/>
                      <w:caps w:val="0"/>
                      <w:color w:val="auto"/>
                      <w:sz w:val="21"/>
                      <w:szCs w:val="21"/>
                      <w:highlight w:val="none"/>
                      <w:u w:val="none" w:color="auto"/>
                      <w:lang w:val="en-US" w:eastAsia="zh-CN"/>
                    </w:rPr>
                    <w:t>维修集装箱</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4319A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eastAsia" w:ascii="Times New Roman" w:hAnsi="Times New Roman" w:eastAsia="宋体" w:cs="Times New Roman"/>
                      <w:caps w:val="0"/>
                      <w:color w:val="auto"/>
                      <w:sz w:val="21"/>
                      <w:szCs w:val="21"/>
                      <w:highlight w:val="none"/>
                      <w:u w:val="none" w:color="auto"/>
                      <w:lang w:val="en-US" w:eastAsia="zh-CN"/>
                    </w:rPr>
                    <w:t>个/年</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686B2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12000</w:t>
                  </w:r>
                </w:p>
              </w:tc>
            </w:tr>
            <w:tr w14:paraId="0A26A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3BD4E8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eastAsia" w:ascii="Times New Roman" w:hAnsi="Times New Roman" w:eastAsia="宋体" w:cs="Times New Roman"/>
                      <w:caps w:val="0"/>
                      <w:color w:val="auto"/>
                      <w:sz w:val="21"/>
                      <w:szCs w:val="21"/>
                      <w:highlight w:val="none"/>
                      <w:u w:val="none" w:color="auto"/>
                      <w:lang w:val="en-US" w:eastAsia="zh-CN"/>
                    </w:rPr>
                    <w:t>9</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659438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含油污水处理站</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74175B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m</w:t>
                  </w:r>
                  <w:r>
                    <w:rPr>
                      <w:rFonts w:hint="default" w:ascii="Times New Roman" w:hAnsi="Times New Roman" w:eastAsia="宋体" w:cs="Times New Roman"/>
                      <w:caps w:val="0"/>
                      <w:color w:val="auto"/>
                      <w:sz w:val="21"/>
                      <w:szCs w:val="21"/>
                      <w:highlight w:val="none"/>
                      <w:u w:val="none" w:color="auto"/>
                      <w:vertAlign w:val="superscript"/>
                      <w:lang w:val="en-US" w:eastAsia="zh-CN"/>
                    </w:rPr>
                    <w:t>3</w:t>
                  </w:r>
                  <w:r>
                    <w:rPr>
                      <w:rFonts w:hint="default" w:ascii="Times New Roman" w:hAnsi="Times New Roman" w:eastAsia="宋体" w:cs="Times New Roman"/>
                      <w:caps w:val="0"/>
                      <w:color w:val="auto"/>
                      <w:sz w:val="21"/>
                      <w:szCs w:val="21"/>
                      <w:highlight w:val="none"/>
                      <w:u w:val="none" w:color="auto"/>
                      <w:lang w:val="en-US" w:eastAsia="zh-CN"/>
                    </w:rPr>
                    <w:t>/h</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79927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20</w:t>
                  </w:r>
                </w:p>
              </w:tc>
            </w:tr>
            <w:tr w14:paraId="26698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67" w:type="dxa"/>
                  <w:tcBorders>
                    <w:top w:val="single" w:color="auto" w:sz="6" w:space="0"/>
                    <w:left w:val="single" w:color="auto" w:sz="6" w:space="0"/>
                    <w:bottom w:val="single" w:color="auto" w:sz="6" w:space="0"/>
                    <w:right w:val="single" w:color="auto" w:sz="6" w:space="0"/>
                  </w:tcBorders>
                  <w:noWrap w:val="0"/>
                  <w:vAlign w:val="center"/>
                </w:tcPr>
                <w:p w14:paraId="292F0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eastAsia" w:ascii="Times New Roman" w:hAnsi="Times New Roman" w:eastAsia="宋体" w:cs="Times New Roman"/>
                      <w:caps w:val="0"/>
                      <w:color w:val="auto"/>
                      <w:sz w:val="21"/>
                      <w:szCs w:val="21"/>
                      <w:highlight w:val="none"/>
                      <w:u w:val="none" w:color="auto"/>
                      <w:lang w:val="en-US" w:eastAsia="zh-CN"/>
                    </w:rPr>
                    <w:t>10</w:t>
                  </w:r>
                </w:p>
              </w:tc>
              <w:tc>
                <w:tcPr>
                  <w:tcW w:w="3242" w:type="dxa"/>
                  <w:tcBorders>
                    <w:top w:val="single" w:color="auto" w:sz="6" w:space="0"/>
                    <w:left w:val="single" w:color="auto" w:sz="6" w:space="0"/>
                    <w:bottom w:val="single" w:color="auto" w:sz="6" w:space="0"/>
                    <w:right w:val="single" w:color="auto" w:sz="6" w:space="0"/>
                  </w:tcBorders>
                  <w:noWrap w:val="0"/>
                  <w:vAlign w:val="center"/>
                </w:tcPr>
                <w:p w14:paraId="4B87C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作业员工</w:t>
                  </w:r>
                </w:p>
              </w:tc>
              <w:tc>
                <w:tcPr>
                  <w:tcW w:w="2049" w:type="dxa"/>
                  <w:tcBorders>
                    <w:top w:val="single" w:color="auto" w:sz="6" w:space="0"/>
                    <w:left w:val="single" w:color="auto" w:sz="6" w:space="0"/>
                    <w:bottom w:val="single" w:color="auto" w:sz="6" w:space="0"/>
                    <w:right w:val="single" w:color="auto" w:sz="6" w:space="0"/>
                  </w:tcBorders>
                  <w:noWrap w:val="0"/>
                  <w:vAlign w:val="center"/>
                </w:tcPr>
                <w:p w14:paraId="7D7CC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rPr>
                  </w:pPr>
                  <w:r>
                    <w:rPr>
                      <w:rFonts w:hint="default" w:ascii="Times New Roman" w:hAnsi="Times New Roman" w:eastAsia="宋体" w:cs="Times New Roman"/>
                      <w:caps w:val="0"/>
                      <w:color w:val="auto"/>
                      <w:sz w:val="21"/>
                      <w:szCs w:val="21"/>
                      <w:highlight w:val="none"/>
                      <w:u w:val="none" w:color="auto"/>
                    </w:rPr>
                    <w:t>人</w:t>
                  </w:r>
                </w:p>
              </w:tc>
              <w:tc>
                <w:tcPr>
                  <w:tcW w:w="1544" w:type="dxa"/>
                  <w:tcBorders>
                    <w:top w:val="single" w:color="auto" w:sz="6" w:space="0"/>
                    <w:left w:val="single" w:color="auto" w:sz="6" w:space="0"/>
                    <w:bottom w:val="single" w:color="auto" w:sz="6" w:space="0"/>
                    <w:right w:val="single" w:color="auto" w:sz="6" w:space="0"/>
                  </w:tcBorders>
                  <w:noWrap w:val="0"/>
                  <w:vAlign w:val="center"/>
                </w:tcPr>
                <w:p w14:paraId="05ABAB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none" w:color="auto"/>
                      <w:lang w:val="en-US" w:eastAsia="zh-CN"/>
                    </w:rPr>
                  </w:pPr>
                  <w:r>
                    <w:rPr>
                      <w:rFonts w:hint="default" w:ascii="Times New Roman" w:hAnsi="Times New Roman" w:eastAsia="宋体" w:cs="Times New Roman"/>
                      <w:caps w:val="0"/>
                      <w:color w:val="auto"/>
                      <w:sz w:val="21"/>
                      <w:szCs w:val="21"/>
                      <w:highlight w:val="none"/>
                      <w:u w:val="none" w:color="auto"/>
                      <w:lang w:val="en-US" w:eastAsia="zh-CN"/>
                    </w:rPr>
                    <w:t>488</w:t>
                  </w:r>
                </w:p>
              </w:tc>
            </w:tr>
          </w:tbl>
          <w:p w14:paraId="1E4880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val="0"/>
                <w:color w:val="auto"/>
                <w:sz w:val="24"/>
                <w:szCs w:val="24"/>
                <w:highlight w:val="none"/>
                <w:u w:val="none" w:color="auto"/>
                <w:vertAlign w:val="baseline"/>
                <w:lang w:val="en-US" w:eastAsia="zh-CN"/>
              </w:rPr>
            </w:pPr>
            <w:r>
              <w:rPr>
                <w:rFonts w:hint="default" w:ascii="Times New Roman" w:hAnsi="Times New Roman" w:eastAsia="宋体" w:cs="Times New Roman"/>
                <w:b/>
                <w:bCs w:val="0"/>
                <w:color w:val="auto"/>
                <w:sz w:val="24"/>
                <w:szCs w:val="24"/>
                <w:highlight w:val="none"/>
                <w:u w:val="none" w:color="auto"/>
                <w:vertAlign w:val="baseline"/>
                <w:lang w:val="en-US" w:eastAsia="zh-CN"/>
              </w:rPr>
              <w:t>2、主要设备</w:t>
            </w:r>
          </w:p>
          <w:p w14:paraId="35A51B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highlight w:val="none"/>
                <w:u w:val="none" w:color="auto"/>
                <w:vertAlign w:val="baseline"/>
                <w:lang w:val="en-US" w:eastAsia="zh-CN"/>
              </w:rPr>
            </w:pPr>
            <w:r>
              <w:rPr>
                <w:rFonts w:hint="default" w:ascii="Times New Roman" w:hAnsi="Times New Roman" w:eastAsia="宋体" w:cs="Times New Roman"/>
                <w:b w:val="0"/>
                <w:bCs/>
                <w:color w:val="auto"/>
                <w:sz w:val="24"/>
                <w:szCs w:val="24"/>
                <w:highlight w:val="none"/>
                <w:u w:val="none" w:color="auto"/>
                <w:vertAlign w:val="baseline"/>
                <w:lang w:val="en-US" w:eastAsia="zh-CN"/>
              </w:rPr>
              <w:t>现有工程主要装卸设备清单见下表。</w:t>
            </w:r>
          </w:p>
          <w:p w14:paraId="7A59A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color="auto"/>
                <w:vertAlign w:val="baseline"/>
                <w:lang w:val="en-US" w:eastAsia="zh-CN"/>
              </w:rPr>
            </w:pPr>
          </w:p>
          <w:p w14:paraId="513B9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u w:val="none" w:color="auto"/>
                <w:vertAlign w:val="baseline"/>
                <w:lang w:val="en-US" w:eastAsia="zh-CN"/>
              </w:rPr>
            </w:pPr>
          </w:p>
          <w:p w14:paraId="3BB2C6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eastAsia="宋体" w:cs="Times New Roman"/>
                <w:b/>
                <w:bCs w:val="0"/>
                <w:color w:val="auto"/>
                <w:sz w:val="21"/>
                <w:szCs w:val="21"/>
                <w:highlight w:val="none"/>
                <w:u w:val="none" w:color="auto"/>
                <w:vertAlign w:val="baseline"/>
                <w:lang w:val="en-US" w:eastAsia="zh-CN"/>
              </w:rPr>
              <w:t>表2-</w:t>
            </w:r>
            <w:r>
              <w:rPr>
                <w:rFonts w:hint="eastAsia" w:ascii="Times New Roman" w:hAnsi="Times New Roman" w:eastAsia="宋体" w:cs="Times New Roman"/>
                <w:b/>
                <w:bCs w:val="0"/>
                <w:color w:val="auto"/>
                <w:sz w:val="21"/>
                <w:szCs w:val="21"/>
                <w:highlight w:val="none"/>
                <w:u w:val="none" w:color="auto"/>
                <w:vertAlign w:val="baseline"/>
                <w:lang w:val="en-US" w:eastAsia="zh-CN"/>
              </w:rPr>
              <w:t>7</w:t>
            </w:r>
            <w:r>
              <w:rPr>
                <w:rFonts w:hint="default" w:ascii="Times New Roman" w:hAnsi="Times New Roman" w:eastAsia="宋体" w:cs="Times New Roman"/>
                <w:b/>
                <w:bCs w:val="0"/>
                <w:color w:val="auto"/>
                <w:sz w:val="21"/>
                <w:szCs w:val="21"/>
                <w:highlight w:val="none"/>
                <w:u w:val="none" w:color="auto"/>
                <w:vertAlign w:val="baseline"/>
                <w:lang w:val="en-US" w:eastAsia="zh-CN"/>
              </w:rPr>
              <w:t>现有工程装卸设备一览表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8"/>
              <w:gridCol w:w="2761"/>
              <w:gridCol w:w="1746"/>
              <w:gridCol w:w="1384"/>
            </w:tblGrid>
            <w:tr w14:paraId="5C70E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top w:val="single" w:color="auto" w:sz="6" w:space="0"/>
                    <w:left w:val="single" w:color="auto" w:sz="6" w:space="0"/>
                    <w:right w:val="single" w:color="auto" w:sz="4" w:space="0"/>
                  </w:tcBorders>
                  <w:noWrap w:val="0"/>
                  <w:vAlign w:val="center"/>
                </w:tcPr>
                <w:p w14:paraId="3430A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vertAlign w:val="baseline"/>
                      <w:lang w:val="en-US" w:eastAsia="zh-CN"/>
                    </w:rPr>
                    <w:t>序号</w:t>
                  </w:r>
                </w:p>
              </w:tc>
              <w:tc>
                <w:tcPr>
                  <w:tcW w:w="2761" w:type="dxa"/>
                  <w:tcBorders>
                    <w:top w:val="single" w:color="auto" w:sz="6" w:space="0"/>
                    <w:left w:val="single" w:color="auto" w:sz="4" w:space="0"/>
                  </w:tcBorders>
                  <w:noWrap w:val="0"/>
                  <w:vAlign w:val="center"/>
                </w:tcPr>
                <w:p w14:paraId="6DBB5C68">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caps w:val="0"/>
                      <w:color w:val="auto"/>
                      <w:sz w:val="21"/>
                      <w:szCs w:val="21"/>
                      <w:highlight w:val="none"/>
                      <w:u w:val="none" w:color="auto"/>
                    </w:rPr>
                    <w:t>名称</w:t>
                  </w:r>
                </w:p>
              </w:tc>
              <w:tc>
                <w:tcPr>
                  <w:tcW w:w="1746" w:type="dxa"/>
                  <w:tcBorders>
                    <w:top w:val="single" w:color="auto" w:sz="6" w:space="0"/>
                    <w:right w:val="single" w:color="auto" w:sz="4" w:space="0"/>
                  </w:tcBorders>
                  <w:noWrap w:val="0"/>
                  <w:vAlign w:val="center"/>
                </w:tcPr>
                <w:p w14:paraId="627F710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caps w:val="0"/>
                      <w:color w:val="auto"/>
                      <w:sz w:val="21"/>
                      <w:szCs w:val="21"/>
                      <w:highlight w:val="none"/>
                      <w:u w:val="none" w:color="auto"/>
                      <w:lang w:val="en-US" w:eastAsia="zh-CN"/>
                    </w:rPr>
                    <w:t>现有工程</w:t>
                  </w:r>
                  <w:r>
                    <w:rPr>
                      <w:rFonts w:hint="default" w:ascii="Times New Roman" w:hAnsi="Times New Roman" w:eastAsia="宋体" w:cs="Times New Roman"/>
                      <w:b/>
                      <w:bCs/>
                      <w:caps w:val="0"/>
                      <w:color w:val="auto"/>
                      <w:sz w:val="21"/>
                      <w:szCs w:val="21"/>
                      <w:highlight w:val="none"/>
                      <w:u w:val="none" w:color="auto"/>
                    </w:rPr>
                    <w:t>数量</w:t>
                  </w:r>
                </w:p>
              </w:tc>
              <w:tc>
                <w:tcPr>
                  <w:tcW w:w="1384" w:type="dxa"/>
                  <w:tcBorders>
                    <w:top w:val="single" w:color="auto" w:sz="6" w:space="0"/>
                    <w:left w:val="single" w:color="auto" w:sz="4" w:space="0"/>
                    <w:right w:val="single" w:color="auto" w:sz="4" w:space="0"/>
                  </w:tcBorders>
                  <w:noWrap w:val="0"/>
                  <w:vAlign w:val="center"/>
                </w:tcPr>
                <w:p w14:paraId="2F71487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vertAlign w:val="baseline"/>
                      <w:lang w:val="en-US" w:eastAsia="zh-CN"/>
                    </w:rPr>
                    <w:t>单位</w:t>
                  </w:r>
                </w:p>
              </w:tc>
            </w:tr>
            <w:tr w14:paraId="6AC6E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45A93B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1</w:t>
                  </w:r>
                </w:p>
              </w:tc>
              <w:tc>
                <w:tcPr>
                  <w:tcW w:w="2761" w:type="dxa"/>
                  <w:tcBorders>
                    <w:left w:val="single" w:color="auto" w:sz="4" w:space="0"/>
                  </w:tcBorders>
                  <w:shd w:val="clear" w:color="auto" w:fill="auto"/>
                  <w:noWrap w:val="0"/>
                  <w:vAlign w:val="center"/>
                </w:tcPr>
                <w:p w14:paraId="02563AED">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岸边集装箱起重机</w:t>
                  </w:r>
                </w:p>
              </w:tc>
              <w:tc>
                <w:tcPr>
                  <w:tcW w:w="1746" w:type="dxa"/>
                  <w:tcBorders>
                    <w:right w:val="single" w:color="auto" w:sz="6" w:space="0"/>
                  </w:tcBorders>
                  <w:shd w:val="clear" w:color="auto" w:fill="auto"/>
                  <w:noWrap w:val="0"/>
                  <w:vAlign w:val="center"/>
                </w:tcPr>
                <w:p w14:paraId="77B92839">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22</w:t>
                  </w:r>
                </w:p>
              </w:tc>
              <w:tc>
                <w:tcPr>
                  <w:tcW w:w="1384" w:type="dxa"/>
                  <w:tcBorders>
                    <w:right w:val="single" w:color="auto" w:sz="6" w:space="0"/>
                  </w:tcBorders>
                  <w:shd w:val="clear" w:color="auto" w:fill="auto"/>
                  <w:noWrap w:val="0"/>
                  <w:vAlign w:val="center"/>
                </w:tcPr>
                <w:p w14:paraId="1972C87C">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7B177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1FB98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2</w:t>
                  </w:r>
                </w:p>
              </w:tc>
              <w:tc>
                <w:tcPr>
                  <w:tcW w:w="2761" w:type="dxa"/>
                  <w:tcBorders>
                    <w:left w:val="single" w:color="auto" w:sz="4" w:space="0"/>
                  </w:tcBorders>
                  <w:shd w:val="clear" w:color="auto" w:fill="auto"/>
                  <w:noWrap w:val="0"/>
                  <w:vAlign w:val="center"/>
                </w:tcPr>
                <w:p w14:paraId="237BEE91">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轨道式集装箱门式起重机</w:t>
                  </w:r>
                </w:p>
              </w:tc>
              <w:tc>
                <w:tcPr>
                  <w:tcW w:w="1746" w:type="dxa"/>
                  <w:tcBorders>
                    <w:right w:val="single" w:color="auto" w:sz="6" w:space="0"/>
                  </w:tcBorders>
                  <w:shd w:val="clear" w:color="auto" w:fill="auto"/>
                  <w:noWrap w:val="0"/>
                  <w:vAlign w:val="center"/>
                </w:tcPr>
                <w:p w14:paraId="2FEFED8B">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30</w:t>
                  </w:r>
                </w:p>
              </w:tc>
              <w:tc>
                <w:tcPr>
                  <w:tcW w:w="1384" w:type="dxa"/>
                  <w:tcBorders>
                    <w:right w:val="single" w:color="auto" w:sz="6" w:space="0"/>
                  </w:tcBorders>
                  <w:shd w:val="clear" w:color="auto" w:fill="auto"/>
                  <w:noWrap w:val="0"/>
                  <w:vAlign w:val="center"/>
                </w:tcPr>
                <w:p w14:paraId="6826E85B">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38AA8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2C494A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3</w:t>
                  </w:r>
                </w:p>
              </w:tc>
              <w:tc>
                <w:tcPr>
                  <w:tcW w:w="2761" w:type="dxa"/>
                  <w:tcBorders>
                    <w:left w:val="single" w:color="auto" w:sz="4" w:space="0"/>
                  </w:tcBorders>
                  <w:shd w:val="clear" w:color="auto" w:fill="auto"/>
                  <w:noWrap w:val="0"/>
                  <w:vAlign w:val="center"/>
                </w:tcPr>
                <w:p w14:paraId="2CCE49A6">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轮胎式龙门起重机</w:t>
                  </w:r>
                </w:p>
              </w:tc>
              <w:tc>
                <w:tcPr>
                  <w:tcW w:w="1746" w:type="dxa"/>
                  <w:tcBorders>
                    <w:right w:val="single" w:color="auto" w:sz="6" w:space="0"/>
                  </w:tcBorders>
                  <w:shd w:val="clear" w:color="auto" w:fill="auto"/>
                  <w:noWrap w:val="0"/>
                  <w:vAlign w:val="center"/>
                </w:tcPr>
                <w:p w14:paraId="58EC8FAA">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34</w:t>
                  </w:r>
                </w:p>
              </w:tc>
              <w:tc>
                <w:tcPr>
                  <w:tcW w:w="1384" w:type="dxa"/>
                  <w:tcBorders>
                    <w:right w:val="single" w:color="auto" w:sz="6" w:space="0"/>
                  </w:tcBorders>
                  <w:shd w:val="clear" w:color="auto" w:fill="auto"/>
                  <w:noWrap w:val="0"/>
                  <w:vAlign w:val="center"/>
                </w:tcPr>
                <w:p w14:paraId="1AEDB02B">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586EC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09037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4</w:t>
                  </w:r>
                </w:p>
              </w:tc>
              <w:tc>
                <w:tcPr>
                  <w:tcW w:w="2761" w:type="dxa"/>
                  <w:tcBorders>
                    <w:left w:val="single" w:color="auto" w:sz="4" w:space="0"/>
                  </w:tcBorders>
                  <w:shd w:val="clear" w:color="auto" w:fill="auto"/>
                  <w:noWrap w:val="0"/>
                  <w:vAlign w:val="center"/>
                </w:tcPr>
                <w:p w14:paraId="78468783">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集装箱正面</w:t>
                  </w:r>
                  <w:r>
                    <w:rPr>
                      <w:rFonts w:hint="eastAsia" w:cs="Times New Roman"/>
                      <w:caps w:val="0"/>
                      <w:color w:val="auto"/>
                      <w:sz w:val="21"/>
                      <w:szCs w:val="21"/>
                      <w:highlight w:val="none"/>
                      <w:u w:val="none" w:color="auto"/>
                      <w:lang w:val="en-US" w:eastAsia="zh-CN"/>
                    </w:rPr>
                    <w:t>吊运机</w:t>
                  </w:r>
                </w:p>
              </w:tc>
              <w:tc>
                <w:tcPr>
                  <w:tcW w:w="1746" w:type="dxa"/>
                  <w:tcBorders>
                    <w:right w:val="single" w:color="auto" w:sz="6" w:space="0"/>
                  </w:tcBorders>
                  <w:shd w:val="clear" w:color="auto" w:fill="auto"/>
                  <w:noWrap w:val="0"/>
                  <w:vAlign w:val="center"/>
                </w:tcPr>
                <w:p w14:paraId="089457CD">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7</w:t>
                  </w:r>
                </w:p>
              </w:tc>
              <w:tc>
                <w:tcPr>
                  <w:tcW w:w="1384" w:type="dxa"/>
                  <w:tcBorders>
                    <w:right w:val="single" w:color="auto" w:sz="6" w:space="0"/>
                  </w:tcBorders>
                  <w:shd w:val="clear" w:color="auto" w:fill="auto"/>
                  <w:noWrap w:val="0"/>
                  <w:vAlign w:val="center"/>
                </w:tcPr>
                <w:p w14:paraId="35192F02">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154B8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4FC5D9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vertAlign w:val="baseline"/>
                      <w:lang w:val="en-US" w:eastAsia="zh-CN"/>
                    </w:rPr>
                    <w:t>5</w:t>
                  </w:r>
                </w:p>
              </w:tc>
              <w:tc>
                <w:tcPr>
                  <w:tcW w:w="2761" w:type="dxa"/>
                  <w:tcBorders>
                    <w:left w:val="single" w:color="auto" w:sz="4" w:space="0"/>
                  </w:tcBorders>
                  <w:shd w:val="clear" w:color="auto" w:fill="auto"/>
                  <w:noWrap w:val="0"/>
                  <w:vAlign w:val="center"/>
                </w:tcPr>
                <w:p w14:paraId="3E316857">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空箱堆高机</w:t>
                  </w:r>
                </w:p>
              </w:tc>
              <w:tc>
                <w:tcPr>
                  <w:tcW w:w="1746" w:type="dxa"/>
                  <w:tcBorders>
                    <w:right w:val="single" w:color="auto" w:sz="6" w:space="0"/>
                  </w:tcBorders>
                  <w:shd w:val="clear" w:color="auto" w:fill="auto"/>
                  <w:noWrap w:val="0"/>
                  <w:vAlign w:val="center"/>
                </w:tcPr>
                <w:p w14:paraId="4E56DCDD">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13</w:t>
                  </w:r>
                </w:p>
              </w:tc>
              <w:tc>
                <w:tcPr>
                  <w:tcW w:w="1384" w:type="dxa"/>
                  <w:tcBorders>
                    <w:right w:val="single" w:color="auto" w:sz="6" w:space="0"/>
                  </w:tcBorders>
                  <w:shd w:val="clear" w:color="auto" w:fill="auto"/>
                  <w:noWrap w:val="0"/>
                  <w:vAlign w:val="center"/>
                </w:tcPr>
                <w:p w14:paraId="7B5368AC">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533CE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6650F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u w:val="none" w:color="auto"/>
                      <w:vertAlign w:val="baseline"/>
                      <w:lang w:val="en-US" w:eastAsia="zh-CN" w:bidi="ar-SA"/>
                    </w:rPr>
                  </w:pPr>
                  <w:r>
                    <w:rPr>
                      <w:rFonts w:hint="eastAsia" w:cs="Times New Roman"/>
                      <w:bCs/>
                      <w:color w:val="auto"/>
                      <w:sz w:val="21"/>
                      <w:szCs w:val="21"/>
                      <w:highlight w:val="none"/>
                      <w:u w:val="none" w:color="auto"/>
                      <w:vertAlign w:val="baseline"/>
                      <w:lang w:val="en-US" w:eastAsia="zh-CN"/>
                    </w:rPr>
                    <w:t>6</w:t>
                  </w:r>
                </w:p>
              </w:tc>
              <w:tc>
                <w:tcPr>
                  <w:tcW w:w="2761" w:type="dxa"/>
                  <w:tcBorders>
                    <w:left w:val="single" w:color="auto" w:sz="4" w:space="0"/>
                  </w:tcBorders>
                  <w:shd w:val="clear" w:color="auto" w:fill="auto"/>
                  <w:noWrap w:val="0"/>
                  <w:vAlign w:val="center"/>
                </w:tcPr>
                <w:p w14:paraId="0D66E8CD">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caps w:val="0"/>
                      <w:color w:val="auto"/>
                      <w:sz w:val="21"/>
                      <w:szCs w:val="21"/>
                      <w:highlight w:val="none"/>
                      <w:u w:val="none" w:color="auto"/>
                      <w:lang w:val="en-US" w:eastAsia="zh-CN"/>
                    </w:rPr>
                    <w:t>电动空箱堆高机</w:t>
                  </w:r>
                </w:p>
              </w:tc>
              <w:tc>
                <w:tcPr>
                  <w:tcW w:w="1746" w:type="dxa"/>
                  <w:tcBorders>
                    <w:right w:val="single" w:color="auto" w:sz="6" w:space="0"/>
                  </w:tcBorders>
                  <w:shd w:val="clear" w:color="auto" w:fill="auto"/>
                  <w:noWrap w:val="0"/>
                  <w:vAlign w:val="center"/>
                </w:tcPr>
                <w:p w14:paraId="5EDBBFEE">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caps w:val="0"/>
                      <w:color w:val="auto"/>
                      <w:sz w:val="21"/>
                      <w:szCs w:val="21"/>
                      <w:highlight w:val="none"/>
                      <w:u w:val="none" w:color="auto"/>
                      <w:lang w:val="en-US" w:eastAsia="zh-CN"/>
                    </w:rPr>
                    <w:t>2</w:t>
                  </w:r>
                </w:p>
              </w:tc>
              <w:tc>
                <w:tcPr>
                  <w:tcW w:w="1384" w:type="dxa"/>
                  <w:tcBorders>
                    <w:right w:val="single" w:color="auto" w:sz="6" w:space="0"/>
                  </w:tcBorders>
                  <w:shd w:val="clear" w:color="auto" w:fill="auto"/>
                  <w:noWrap w:val="0"/>
                  <w:vAlign w:val="center"/>
                </w:tcPr>
                <w:p w14:paraId="7C2A353E">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eastAsia" w:cs="Times New Roman"/>
                      <w:b w:val="0"/>
                      <w:bCs w:val="0"/>
                      <w:caps w:val="0"/>
                      <w:color w:val="auto"/>
                      <w:sz w:val="21"/>
                      <w:szCs w:val="21"/>
                      <w:highlight w:val="none"/>
                      <w:u w:val="none" w:color="auto"/>
                      <w:lang w:val="en-US" w:eastAsia="zh-CN"/>
                    </w:rPr>
                    <w:t>台</w:t>
                  </w:r>
                </w:p>
              </w:tc>
            </w:tr>
            <w:tr w14:paraId="651E45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1A49D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bCs/>
                      <w:color w:val="auto"/>
                      <w:sz w:val="21"/>
                      <w:szCs w:val="21"/>
                      <w:highlight w:val="none"/>
                      <w:u w:val="none" w:color="auto"/>
                      <w:vertAlign w:val="baseline"/>
                      <w:lang w:val="en-US" w:eastAsia="zh-CN"/>
                    </w:rPr>
                    <w:t>7</w:t>
                  </w:r>
                </w:p>
              </w:tc>
              <w:tc>
                <w:tcPr>
                  <w:tcW w:w="2761" w:type="dxa"/>
                  <w:tcBorders>
                    <w:left w:val="single" w:color="auto" w:sz="4" w:space="0"/>
                  </w:tcBorders>
                  <w:shd w:val="clear" w:color="auto" w:fill="auto"/>
                  <w:noWrap w:val="0"/>
                  <w:vAlign w:val="center"/>
                </w:tcPr>
                <w:p w14:paraId="6A540CB7">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caps w:val="0"/>
                      <w:color w:val="auto"/>
                      <w:sz w:val="21"/>
                      <w:szCs w:val="21"/>
                      <w:highlight w:val="none"/>
                      <w:u w:val="none" w:color="auto"/>
                      <w:lang w:val="en-US" w:eastAsia="zh-CN"/>
                    </w:rPr>
                    <w:t>电动</w:t>
                  </w:r>
                  <w:r>
                    <w:rPr>
                      <w:rFonts w:hint="default" w:ascii="Times New Roman" w:hAnsi="Times New Roman" w:eastAsia="宋体" w:cs="Times New Roman"/>
                      <w:caps w:val="0"/>
                      <w:color w:val="auto"/>
                      <w:sz w:val="21"/>
                      <w:szCs w:val="21"/>
                      <w:highlight w:val="none"/>
                      <w:u w:val="none" w:color="auto"/>
                      <w:lang w:eastAsia="zh-CN"/>
                    </w:rPr>
                    <w:t>集装箱牵引挂车</w:t>
                  </w:r>
                </w:p>
              </w:tc>
              <w:tc>
                <w:tcPr>
                  <w:tcW w:w="1746" w:type="dxa"/>
                  <w:tcBorders>
                    <w:right w:val="single" w:color="auto" w:sz="6" w:space="0"/>
                  </w:tcBorders>
                  <w:shd w:val="clear" w:color="auto" w:fill="auto"/>
                  <w:noWrap w:val="0"/>
                  <w:vAlign w:val="center"/>
                </w:tcPr>
                <w:p w14:paraId="7B8D0685">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caps w:val="0"/>
                      <w:color w:val="auto"/>
                      <w:sz w:val="21"/>
                      <w:szCs w:val="21"/>
                      <w:highlight w:val="none"/>
                      <w:u w:val="none" w:color="auto"/>
                      <w:lang w:val="en-US" w:eastAsia="zh-CN"/>
                    </w:rPr>
                    <w:t>20</w:t>
                  </w:r>
                </w:p>
              </w:tc>
              <w:tc>
                <w:tcPr>
                  <w:tcW w:w="1384" w:type="dxa"/>
                  <w:tcBorders>
                    <w:right w:val="single" w:color="auto" w:sz="6" w:space="0"/>
                  </w:tcBorders>
                  <w:shd w:val="clear" w:color="auto" w:fill="auto"/>
                  <w:noWrap w:val="0"/>
                  <w:vAlign w:val="center"/>
                </w:tcPr>
                <w:p w14:paraId="70193B59">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6C0A7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7FC2C1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bCs/>
                      <w:color w:val="auto"/>
                      <w:sz w:val="21"/>
                      <w:szCs w:val="21"/>
                      <w:highlight w:val="none"/>
                      <w:u w:val="none" w:color="auto"/>
                      <w:vertAlign w:val="baseline"/>
                      <w:lang w:val="en-US" w:eastAsia="zh-CN"/>
                    </w:rPr>
                    <w:t>8</w:t>
                  </w:r>
                </w:p>
              </w:tc>
              <w:tc>
                <w:tcPr>
                  <w:tcW w:w="2761" w:type="dxa"/>
                  <w:tcBorders>
                    <w:left w:val="single" w:color="auto" w:sz="4" w:space="0"/>
                  </w:tcBorders>
                  <w:shd w:val="clear" w:color="auto" w:fill="auto"/>
                  <w:noWrap w:val="0"/>
                  <w:vAlign w:val="center"/>
                </w:tcPr>
                <w:p w14:paraId="039E0519">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柴油平衡式叉车（</w:t>
                  </w:r>
                  <w:r>
                    <w:rPr>
                      <w:rFonts w:hint="default" w:ascii="Times New Roman" w:hAnsi="Times New Roman" w:eastAsia="宋体" w:cs="Times New Roman"/>
                      <w:caps w:val="0"/>
                      <w:color w:val="auto"/>
                      <w:sz w:val="21"/>
                      <w:szCs w:val="21"/>
                      <w:highlight w:val="none"/>
                      <w:u w:val="none" w:color="auto"/>
                      <w:lang w:val="en-US" w:eastAsia="zh-CN"/>
                    </w:rPr>
                    <w:t>16</w:t>
                  </w:r>
                  <w:r>
                    <w:rPr>
                      <w:rFonts w:hint="default" w:ascii="Times New Roman" w:hAnsi="Times New Roman" w:eastAsia="宋体" w:cs="Times New Roman"/>
                      <w:caps w:val="0"/>
                      <w:color w:val="auto"/>
                      <w:sz w:val="21"/>
                      <w:szCs w:val="21"/>
                      <w:highlight w:val="none"/>
                      <w:u w:val="none" w:color="auto"/>
                    </w:rPr>
                    <w:t>吨）</w:t>
                  </w:r>
                </w:p>
              </w:tc>
              <w:tc>
                <w:tcPr>
                  <w:tcW w:w="1746" w:type="dxa"/>
                  <w:tcBorders>
                    <w:right w:val="single" w:color="auto" w:sz="6" w:space="0"/>
                  </w:tcBorders>
                  <w:shd w:val="clear" w:color="auto" w:fill="auto"/>
                  <w:noWrap w:val="0"/>
                  <w:vAlign w:val="center"/>
                </w:tcPr>
                <w:p w14:paraId="52905D2D">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1</w:t>
                  </w:r>
                </w:p>
              </w:tc>
              <w:tc>
                <w:tcPr>
                  <w:tcW w:w="1384" w:type="dxa"/>
                  <w:tcBorders>
                    <w:right w:val="single" w:color="auto" w:sz="6" w:space="0"/>
                  </w:tcBorders>
                  <w:shd w:val="clear" w:color="auto" w:fill="auto"/>
                  <w:noWrap w:val="0"/>
                  <w:vAlign w:val="center"/>
                </w:tcPr>
                <w:p w14:paraId="71042C2B">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39A3F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6A92F2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bCs/>
                      <w:color w:val="auto"/>
                      <w:sz w:val="21"/>
                      <w:szCs w:val="21"/>
                      <w:highlight w:val="none"/>
                      <w:u w:val="none" w:color="auto"/>
                      <w:vertAlign w:val="baseline"/>
                      <w:lang w:val="en-US" w:eastAsia="zh-CN"/>
                    </w:rPr>
                    <w:t>9</w:t>
                  </w:r>
                </w:p>
              </w:tc>
              <w:tc>
                <w:tcPr>
                  <w:tcW w:w="2761" w:type="dxa"/>
                  <w:tcBorders>
                    <w:left w:val="single" w:color="auto" w:sz="4" w:space="0"/>
                  </w:tcBorders>
                  <w:shd w:val="clear" w:color="auto" w:fill="auto"/>
                  <w:noWrap w:val="0"/>
                  <w:vAlign w:val="center"/>
                </w:tcPr>
                <w:p w14:paraId="32122A4E">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柴油平衡式叉车（5吨）</w:t>
                  </w:r>
                </w:p>
              </w:tc>
              <w:tc>
                <w:tcPr>
                  <w:tcW w:w="1746" w:type="dxa"/>
                  <w:tcBorders>
                    <w:right w:val="single" w:color="auto" w:sz="6" w:space="0"/>
                  </w:tcBorders>
                  <w:shd w:val="clear" w:color="auto" w:fill="auto"/>
                  <w:noWrap w:val="0"/>
                  <w:vAlign w:val="center"/>
                </w:tcPr>
                <w:p w14:paraId="4243FA2B">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2</w:t>
                  </w:r>
                </w:p>
              </w:tc>
              <w:tc>
                <w:tcPr>
                  <w:tcW w:w="1384" w:type="dxa"/>
                  <w:tcBorders>
                    <w:right w:val="single" w:color="auto" w:sz="6" w:space="0"/>
                  </w:tcBorders>
                  <w:shd w:val="clear" w:color="auto" w:fill="auto"/>
                  <w:noWrap w:val="0"/>
                  <w:vAlign w:val="center"/>
                </w:tcPr>
                <w:p w14:paraId="32BE1236">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34286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848" w:type="dxa"/>
                  <w:tcBorders>
                    <w:left w:val="single" w:color="auto" w:sz="6" w:space="0"/>
                    <w:right w:val="single" w:color="auto" w:sz="4" w:space="0"/>
                  </w:tcBorders>
                  <w:shd w:val="clear" w:color="auto" w:fill="auto"/>
                  <w:noWrap w:val="0"/>
                  <w:vAlign w:val="center"/>
                </w:tcPr>
                <w:p w14:paraId="27EB90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bCs/>
                      <w:color w:val="auto"/>
                      <w:sz w:val="21"/>
                      <w:szCs w:val="21"/>
                      <w:highlight w:val="none"/>
                      <w:u w:val="none" w:color="auto"/>
                      <w:vertAlign w:val="baseline"/>
                      <w:lang w:val="en-US" w:eastAsia="zh-CN"/>
                    </w:rPr>
                    <w:t>10</w:t>
                  </w:r>
                </w:p>
              </w:tc>
              <w:tc>
                <w:tcPr>
                  <w:tcW w:w="2761" w:type="dxa"/>
                  <w:tcBorders>
                    <w:left w:val="single" w:color="auto" w:sz="4" w:space="0"/>
                  </w:tcBorders>
                  <w:shd w:val="clear" w:color="auto" w:fill="auto"/>
                  <w:noWrap w:val="0"/>
                  <w:vAlign w:val="center"/>
                </w:tcPr>
                <w:p w14:paraId="6103AD9F">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柴油平衡式叉车（3.5吨）</w:t>
                  </w:r>
                </w:p>
              </w:tc>
              <w:tc>
                <w:tcPr>
                  <w:tcW w:w="1746" w:type="dxa"/>
                  <w:tcBorders>
                    <w:right w:val="single" w:color="auto" w:sz="6" w:space="0"/>
                  </w:tcBorders>
                  <w:shd w:val="clear" w:color="auto" w:fill="auto"/>
                  <w:noWrap w:val="0"/>
                  <w:vAlign w:val="center"/>
                </w:tcPr>
                <w:p w14:paraId="0E951652">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6</w:t>
                  </w:r>
                </w:p>
              </w:tc>
              <w:tc>
                <w:tcPr>
                  <w:tcW w:w="1384" w:type="dxa"/>
                  <w:tcBorders>
                    <w:right w:val="single" w:color="auto" w:sz="6" w:space="0"/>
                  </w:tcBorders>
                  <w:shd w:val="clear" w:color="auto" w:fill="auto"/>
                  <w:noWrap w:val="0"/>
                  <w:vAlign w:val="center"/>
                </w:tcPr>
                <w:p w14:paraId="1370E9BB">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7B6ED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shd w:val="clear" w:color="auto" w:fill="auto"/>
                  <w:noWrap w:val="0"/>
                  <w:vAlign w:val="center"/>
                </w:tcPr>
                <w:p w14:paraId="7B64C418">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caps w:val="0"/>
                      <w:color w:val="auto"/>
                      <w:sz w:val="21"/>
                      <w:szCs w:val="21"/>
                      <w:highlight w:val="none"/>
                      <w:u w:val="none" w:color="auto"/>
                      <w:lang w:val="en-US" w:eastAsia="zh-CN"/>
                    </w:rPr>
                    <w:t>11</w:t>
                  </w:r>
                </w:p>
              </w:tc>
              <w:tc>
                <w:tcPr>
                  <w:tcW w:w="2761" w:type="dxa"/>
                  <w:tcBorders>
                    <w:left w:val="single" w:color="auto" w:sz="4" w:space="0"/>
                  </w:tcBorders>
                  <w:shd w:val="clear" w:color="auto" w:fill="auto"/>
                  <w:noWrap w:val="0"/>
                  <w:vAlign w:val="center"/>
                </w:tcPr>
                <w:p w14:paraId="001A4C31">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柴油平衡式叉车（8吨）</w:t>
                  </w:r>
                </w:p>
              </w:tc>
              <w:tc>
                <w:tcPr>
                  <w:tcW w:w="1746" w:type="dxa"/>
                  <w:tcBorders>
                    <w:right w:val="single" w:color="auto" w:sz="6" w:space="0"/>
                  </w:tcBorders>
                  <w:shd w:val="clear" w:color="auto" w:fill="auto"/>
                  <w:noWrap w:val="0"/>
                  <w:vAlign w:val="center"/>
                </w:tcPr>
                <w:p w14:paraId="7985406B">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1</w:t>
                  </w:r>
                </w:p>
              </w:tc>
              <w:tc>
                <w:tcPr>
                  <w:tcW w:w="1384" w:type="dxa"/>
                  <w:tcBorders>
                    <w:right w:val="single" w:color="auto" w:sz="6" w:space="0"/>
                  </w:tcBorders>
                  <w:shd w:val="clear" w:color="auto" w:fill="auto"/>
                  <w:noWrap w:val="0"/>
                  <w:vAlign w:val="center"/>
                </w:tcPr>
                <w:p w14:paraId="0D577B42">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r w14:paraId="07417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848" w:type="dxa"/>
                  <w:tcBorders>
                    <w:left w:val="single" w:color="auto" w:sz="6" w:space="0"/>
                    <w:right w:val="single" w:color="auto" w:sz="4" w:space="0"/>
                  </w:tcBorders>
                  <w:shd w:val="clear" w:color="auto" w:fill="auto"/>
                  <w:noWrap w:val="0"/>
                  <w:vAlign w:val="top"/>
                </w:tcPr>
                <w:p w14:paraId="0D702431">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cs="Times New Roman"/>
                      <w:caps w:val="0"/>
                      <w:color w:val="auto"/>
                      <w:sz w:val="21"/>
                      <w:szCs w:val="21"/>
                      <w:highlight w:val="none"/>
                      <w:u w:val="none" w:color="auto"/>
                      <w:lang w:val="en-US" w:eastAsia="zh-CN"/>
                    </w:rPr>
                    <w:t>12</w:t>
                  </w:r>
                </w:p>
              </w:tc>
              <w:tc>
                <w:tcPr>
                  <w:tcW w:w="2761" w:type="dxa"/>
                  <w:tcBorders>
                    <w:left w:val="single" w:color="auto" w:sz="4" w:space="0"/>
                  </w:tcBorders>
                  <w:shd w:val="clear" w:color="auto" w:fill="auto"/>
                  <w:noWrap w:val="0"/>
                  <w:vAlign w:val="top"/>
                </w:tcPr>
                <w:p w14:paraId="07AB9D87">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电动叉车（3.5吨）</w:t>
                  </w:r>
                </w:p>
              </w:tc>
              <w:tc>
                <w:tcPr>
                  <w:tcW w:w="1746" w:type="dxa"/>
                  <w:tcBorders>
                    <w:right w:val="single" w:color="auto" w:sz="6" w:space="0"/>
                  </w:tcBorders>
                  <w:shd w:val="clear" w:color="auto" w:fill="auto"/>
                  <w:noWrap w:val="0"/>
                  <w:vAlign w:val="center"/>
                </w:tcPr>
                <w:p w14:paraId="52929A6D">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lang w:val="en-US" w:eastAsia="zh-CN"/>
                    </w:rPr>
                    <w:t>8</w:t>
                  </w:r>
                </w:p>
              </w:tc>
              <w:tc>
                <w:tcPr>
                  <w:tcW w:w="1384" w:type="dxa"/>
                  <w:tcBorders>
                    <w:right w:val="single" w:color="auto" w:sz="6" w:space="0"/>
                  </w:tcBorders>
                  <w:shd w:val="clear" w:color="auto" w:fill="auto"/>
                  <w:noWrap w:val="0"/>
                  <w:vAlign w:val="center"/>
                </w:tcPr>
                <w:p w14:paraId="07F06F11">
                  <w:pPr>
                    <w:keepNext w:val="0"/>
                    <w:keepLines w:val="0"/>
                    <w:suppressLineNumbers w:val="0"/>
                    <w:spacing w:before="0" w:beforeAutospacing="0" w:after="0" w:afterAutospacing="0" w:line="280" w:lineRule="exact"/>
                    <w:ind w:left="0" w:leftChars="0" w:right="0" w:rightChars="0" w:firstLine="0" w:firstLineChars="0"/>
                    <w:jc w:val="center"/>
                    <w:rPr>
                      <w:rFonts w:hint="default" w:ascii="Times New Roman" w:hAnsi="Times New Roman" w:eastAsia="宋体" w:cs="Times New Roman"/>
                      <w:b w:val="0"/>
                      <w:bCs w:val="0"/>
                      <w:cap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caps w:val="0"/>
                      <w:color w:val="auto"/>
                      <w:sz w:val="21"/>
                      <w:szCs w:val="21"/>
                      <w:highlight w:val="none"/>
                      <w:u w:val="none" w:color="auto"/>
                    </w:rPr>
                    <w:t>台</w:t>
                  </w:r>
                </w:p>
              </w:tc>
            </w:tr>
          </w:tbl>
          <w:p w14:paraId="17424E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4"/>
                <w:szCs w:val="24"/>
                <w:highlight w:val="none"/>
                <w:u w:val="none" w:color="auto"/>
                <w:vertAlign w:val="baseline"/>
                <w:lang w:val="en-US" w:eastAsia="zh-CN"/>
              </w:rPr>
            </w:pPr>
          </w:p>
          <w:p w14:paraId="59771292">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val="0"/>
                <w:color w:val="auto"/>
                <w:sz w:val="24"/>
                <w:szCs w:val="24"/>
                <w:highlight w:val="none"/>
                <w:u w:val="none" w:color="auto"/>
                <w:lang w:val="en-US" w:eastAsia="zh-CN"/>
              </w:rPr>
            </w:pPr>
            <w:r>
              <w:rPr>
                <w:rFonts w:hint="default" w:ascii="Times New Roman" w:hAnsi="Times New Roman" w:eastAsia="宋体" w:cs="Times New Roman"/>
                <w:b/>
                <w:bCs w:val="0"/>
                <w:color w:val="auto"/>
                <w:sz w:val="24"/>
                <w:szCs w:val="24"/>
                <w:highlight w:val="none"/>
                <w:u w:val="none" w:color="auto"/>
                <w:lang w:val="en-US" w:eastAsia="zh-CN"/>
              </w:rPr>
              <w:t>生产制度和劳动定员</w:t>
            </w:r>
          </w:p>
          <w:p w14:paraId="16D86C5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auto"/>
                <w:sz w:val="24"/>
                <w:szCs w:val="24"/>
                <w:highlight w:val="none"/>
                <w:u w:val="none" w:color="auto"/>
                <w:lang w:val="en-US" w:eastAsia="zh-CN"/>
              </w:rPr>
            </w:pPr>
            <w:r>
              <w:rPr>
                <w:rFonts w:hint="default" w:ascii="Times New Roman" w:hAnsi="Times New Roman" w:eastAsia="宋体" w:cs="Times New Roman"/>
                <w:b w:val="0"/>
                <w:bCs/>
                <w:color w:val="auto"/>
                <w:sz w:val="24"/>
                <w:szCs w:val="24"/>
                <w:highlight w:val="none"/>
                <w:u w:val="none" w:color="auto"/>
                <w:lang w:val="en-US" w:eastAsia="zh-CN"/>
              </w:rPr>
              <w:t>现有工程工作人员488人，年生产365天，每天生产24小时，4班3倒制。</w:t>
            </w:r>
          </w:p>
          <w:p w14:paraId="17FAEB8A">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val="0"/>
                <w:color w:val="auto"/>
                <w:sz w:val="24"/>
                <w:szCs w:val="24"/>
                <w:highlight w:val="none"/>
                <w:u w:val="none" w:color="auto"/>
                <w:lang w:val="en-US" w:eastAsia="zh-CN"/>
              </w:rPr>
            </w:pPr>
            <w:r>
              <w:rPr>
                <w:rFonts w:hint="default" w:ascii="Times New Roman" w:hAnsi="Times New Roman" w:eastAsia="宋体" w:cs="Times New Roman"/>
                <w:b/>
                <w:bCs w:val="0"/>
                <w:color w:val="auto"/>
                <w:sz w:val="24"/>
                <w:szCs w:val="24"/>
                <w:highlight w:val="none"/>
                <w:u w:val="none" w:color="auto"/>
                <w:lang w:val="en-US" w:eastAsia="zh-CN"/>
              </w:rPr>
              <w:t>现有工程环保措施情况</w:t>
            </w:r>
          </w:p>
          <w:p w14:paraId="626BFA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根据《</w:t>
            </w:r>
            <w:r>
              <w:rPr>
                <w:rFonts w:hint="default" w:ascii="Times New Roman" w:hAnsi="Times New Roman" w:eastAsia="宋体" w:cs="Times New Roman"/>
                <w:color w:val="auto"/>
                <w:spacing w:val="1"/>
                <w:sz w:val="24"/>
                <w:szCs w:val="24"/>
                <w:highlight w:val="none"/>
                <w:u w:val="none" w:color="auto"/>
              </w:rPr>
              <w:t>钦州港大榄坪南作业区1#-6#泊位新增危险货物集装</w:t>
            </w:r>
            <w:r>
              <w:rPr>
                <w:rFonts w:hint="default" w:ascii="Times New Roman" w:hAnsi="Times New Roman" w:eastAsia="宋体" w:cs="Times New Roman"/>
                <w:color w:val="auto"/>
                <w:sz w:val="24"/>
                <w:szCs w:val="24"/>
                <w:highlight w:val="none"/>
                <w:u w:val="none" w:color="auto"/>
              </w:rPr>
              <w:t>箱项目（重大变</w:t>
            </w:r>
            <w:r>
              <w:rPr>
                <w:rFonts w:hint="default" w:ascii="Times New Roman" w:hAnsi="Times New Roman" w:eastAsia="宋体" w:cs="Times New Roman"/>
                <w:color w:val="auto"/>
                <w:spacing w:val="-6"/>
                <w:sz w:val="24"/>
                <w:szCs w:val="24"/>
                <w:highlight w:val="none"/>
                <w:u w:val="none" w:color="auto"/>
              </w:rPr>
              <w:t>动）</w:t>
            </w:r>
            <w:r>
              <w:rPr>
                <w:rFonts w:hint="default" w:ascii="Times New Roman" w:hAnsi="Times New Roman" w:eastAsia="宋体" w:cs="Times New Roman"/>
                <w:caps w:val="0"/>
                <w:color w:val="auto"/>
                <w:sz w:val="24"/>
                <w:szCs w:val="24"/>
                <w:highlight w:val="none"/>
                <w:u w:val="none" w:color="auto"/>
              </w:rPr>
              <w:t>竣工环境保护验收调查报告》</w:t>
            </w:r>
            <w:r>
              <w:rPr>
                <w:rFonts w:hint="eastAsia" w:ascii="Times New Roman" w:hAnsi="Times New Roman" w:eastAsia="宋体" w:cs="Times New Roman"/>
                <w:caps w:val="0"/>
                <w:color w:val="auto"/>
                <w:sz w:val="24"/>
                <w:szCs w:val="24"/>
                <w:highlight w:val="none"/>
                <w:u w:val="none" w:color="auto"/>
                <w:lang w:val="en-US" w:eastAsia="zh-CN"/>
              </w:rPr>
              <w:t>和《广西北部湾国际集装箱码头有限公司集装箱修理项目环境影响报告表》</w:t>
            </w:r>
            <w:r>
              <w:rPr>
                <w:rFonts w:hint="default" w:ascii="Times New Roman" w:hAnsi="Times New Roman" w:eastAsia="宋体" w:cs="Times New Roman"/>
                <w:caps w:val="0"/>
                <w:color w:val="auto"/>
                <w:sz w:val="24"/>
                <w:szCs w:val="24"/>
                <w:highlight w:val="none"/>
                <w:u w:val="none" w:color="auto"/>
              </w:rPr>
              <w:t>及现场调查情况</w:t>
            </w:r>
            <w:r>
              <w:rPr>
                <w:rFonts w:hint="default" w:ascii="Times New Roman" w:hAnsi="Times New Roman" w:eastAsia="宋体" w:cs="Times New Roman"/>
                <w:caps w:val="0"/>
                <w:color w:val="auto"/>
                <w:sz w:val="24"/>
                <w:szCs w:val="24"/>
                <w:highlight w:val="none"/>
                <w:u w:val="none" w:color="auto"/>
                <w:lang w:val="en-US" w:eastAsia="zh-CN"/>
              </w:rPr>
              <w:t>，</w:t>
            </w:r>
            <w:r>
              <w:rPr>
                <w:rFonts w:hint="default" w:ascii="Times New Roman" w:hAnsi="Times New Roman" w:eastAsia="宋体" w:cs="Times New Roman"/>
                <w:caps w:val="0"/>
                <w:color w:val="auto"/>
                <w:sz w:val="24"/>
                <w:szCs w:val="24"/>
                <w:highlight w:val="none"/>
                <w:u w:val="none" w:color="auto"/>
              </w:rPr>
              <w:t>产污情况如下：</w:t>
            </w:r>
          </w:p>
          <w:p w14:paraId="367222BD">
            <w:pPr>
              <w:pStyle w:val="5"/>
              <w:pageBreakBefore w:val="0"/>
              <w:widowControl w:val="0"/>
              <w:suppressLineNumbers w:val="0"/>
              <w:kinsoku/>
              <w:wordWrap/>
              <w:overflowPunct/>
              <w:topLinePunct w:val="0"/>
              <w:autoSpaceDE/>
              <w:autoSpaceDN/>
              <w:bidi w:val="0"/>
              <w:adjustRightInd/>
              <w:spacing w:before="0" w:beforeLines="0" w:after="0" w:afterLines="0" w:line="360" w:lineRule="auto"/>
              <w:ind w:left="0" w:right="0" w:firstLine="482" w:firstLineChars="200"/>
              <w:textAlignment w:val="auto"/>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lang w:val="en-US" w:eastAsia="zh-CN"/>
              </w:rPr>
              <w:t>（1）</w:t>
            </w:r>
            <w:r>
              <w:rPr>
                <w:rFonts w:hint="default" w:ascii="Times New Roman" w:hAnsi="Times New Roman" w:eastAsia="宋体" w:cs="Times New Roman"/>
                <w:caps w:val="0"/>
                <w:color w:val="auto"/>
                <w:sz w:val="24"/>
                <w:szCs w:val="24"/>
                <w:highlight w:val="none"/>
                <w:u w:val="none" w:color="auto"/>
              </w:rPr>
              <w:t>废气</w:t>
            </w:r>
          </w:p>
          <w:p w14:paraId="78093434">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pacing w:val="-3"/>
                <w:sz w:val="24"/>
                <w:szCs w:val="24"/>
                <w:highlight w:val="none"/>
                <w:u w:val="none" w:color="auto"/>
                <w:lang w:val="en-US" w:eastAsia="zh-CN"/>
              </w:rPr>
            </w:pPr>
            <w:r>
              <w:rPr>
                <w:rFonts w:hint="eastAsia" w:ascii="Times New Roman" w:hAnsi="Times New Roman" w:eastAsia="宋体" w:cs="Times New Roman"/>
                <w:color w:val="auto"/>
                <w:spacing w:val="-3"/>
                <w:sz w:val="24"/>
                <w:szCs w:val="24"/>
                <w:highlight w:val="none"/>
                <w:u w:val="none" w:color="auto"/>
                <w:lang w:val="en-US" w:eastAsia="zh-CN"/>
              </w:rPr>
              <w:t>根据</w:t>
            </w:r>
            <w:r>
              <w:rPr>
                <w:rFonts w:hint="default" w:ascii="Times New Roman" w:hAnsi="Times New Roman" w:eastAsia="宋体" w:cs="Times New Roman"/>
                <w:color w:val="auto"/>
                <w:spacing w:val="-3"/>
                <w:sz w:val="24"/>
                <w:szCs w:val="24"/>
                <w:highlight w:val="none"/>
                <w:u w:val="none" w:color="auto"/>
              </w:rPr>
              <w:t>调查</w:t>
            </w:r>
            <w:r>
              <w:rPr>
                <w:rFonts w:hint="eastAsia" w:ascii="Times New Roman" w:hAnsi="Times New Roman" w:eastAsia="宋体" w:cs="Times New Roman"/>
                <w:color w:val="auto"/>
                <w:spacing w:val="-3"/>
                <w:sz w:val="24"/>
                <w:szCs w:val="24"/>
                <w:highlight w:val="none"/>
                <w:u w:val="none" w:color="auto"/>
                <w:lang w:eastAsia="zh-CN"/>
              </w:rPr>
              <w:t>，</w:t>
            </w:r>
            <w:r>
              <w:rPr>
                <w:rFonts w:hint="eastAsia" w:ascii="Times New Roman" w:hAnsi="Times New Roman" w:eastAsia="宋体" w:cs="Times New Roman"/>
                <w:color w:val="auto"/>
                <w:spacing w:val="-3"/>
                <w:sz w:val="24"/>
                <w:szCs w:val="24"/>
                <w:highlight w:val="none"/>
                <w:u w:val="none" w:color="auto"/>
                <w:lang w:val="en-US" w:eastAsia="zh-CN"/>
              </w:rPr>
              <w:t>港区废气主要有作业机械及运输车辆尾气，</w:t>
            </w:r>
            <w:r>
              <w:rPr>
                <w:rFonts w:hint="default" w:ascii="Times New Roman" w:hAnsi="Times New Roman" w:eastAsia="宋体" w:cs="Times New Roman"/>
                <w:color w:val="auto"/>
                <w:spacing w:val="-3"/>
                <w:sz w:val="24"/>
                <w:szCs w:val="24"/>
                <w:highlight w:val="none"/>
                <w:u w:val="none" w:color="auto"/>
              </w:rPr>
              <w:t>散装粮食拆装箱作业</w:t>
            </w:r>
            <w:r>
              <w:rPr>
                <w:rFonts w:hint="eastAsia" w:ascii="Times New Roman" w:hAnsi="Times New Roman" w:eastAsia="宋体" w:cs="Times New Roman"/>
                <w:color w:val="auto"/>
                <w:spacing w:val="-3"/>
                <w:sz w:val="24"/>
                <w:szCs w:val="24"/>
                <w:highlight w:val="none"/>
                <w:u w:val="none" w:color="auto"/>
                <w:lang w:val="en-US" w:eastAsia="zh-CN"/>
              </w:rPr>
              <w:t>扬尘，集装箱维修焊接烟尘，集装箱刷漆、晾干废气</w:t>
            </w:r>
            <w:r>
              <w:rPr>
                <w:rFonts w:hint="default" w:ascii="Times New Roman" w:hAnsi="Times New Roman" w:eastAsia="宋体" w:cs="Times New Roman"/>
                <w:color w:val="auto"/>
                <w:spacing w:val="-3"/>
                <w:sz w:val="24"/>
                <w:szCs w:val="24"/>
                <w:highlight w:val="none"/>
                <w:u w:val="none" w:color="auto"/>
              </w:rPr>
              <w:t>，</w:t>
            </w:r>
            <w:r>
              <w:rPr>
                <w:rFonts w:hint="eastAsia" w:ascii="Times New Roman" w:hAnsi="Times New Roman" w:eastAsia="宋体" w:cs="Times New Roman"/>
                <w:color w:val="auto"/>
                <w:spacing w:val="-3"/>
                <w:sz w:val="24"/>
                <w:szCs w:val="24"/>
                <w:highlight w:val="none"/>
                <w:u w:val="none" w:color="auto"/>
                <w:lang w:val="en-US" w:eastAsia="zh-CN"/>
              </w:rPr>
              <w:t>集装箱切割烟尘和木板开料废气。根据调查，项目作业机械设备和车辆选用高质量装卸机械设备和燃料，定期维护，确保运行状态良好；散货粮食拆装箱位于半封闭拆箱库内作业，</w:t>
            </w:r>
            <w:r>
              <w:rPr>
                <w:rFonts w:hint="default" w:ascii="Times New Roman" w:hAnsi="Times New Roman" w:eastAsia="宋体" w:cs="Times New Roman"/>
                <w:color w:val="auto"/>
                <w:spacing w:val="-3"/>
                <w:sz w:val="24"/>
                <w:szCs w:val="24"/>
                <w:highlight w:val="none"/>
                <w:u w:val="none" w:color="auto"/>
              </w:rPr>
              <w:t>及时清理地面积</w:t>
            </w:r>
            <w:r>
              <w:rPr>
                <w:rFonts w:hint="default" w:ascii="Times New Roman" w:hAnsi="Times New Roman" w:eastAsia="宋体" w:cs="Times New Roman"/>
                <w:color w:val="auto"/>
                <w:spacing w:val="-4"/>
                <w:sz w:val="24"/>
                <w:szCs w:val="24"/>
                <w:highlight w:val="none"/>
                <w:u w:val="none" w:color="auto"/>
              </w:rPr>
              <w:t>灰，避免扬尘</w:t>
            </w:r>
            <w:r>
              <w:rPr>
                <w:rFonts w:hint="eastAsia" w:ascii="Times New Roman" w:hAnsi="Times New Roman" w:eastAsia="宋体" w:cs="Times New Roman"/>
                <w:color w:val="auto"/>
                <w:spacing w:val="-3"/>
                <w:sz w:val="24"/>
                <w:szCs w:val="24"/>
                <w:highlight w:val="none"/>
                <w:u w:val="none" w:color="auto"/>
                <w:lang w:val="en-US" w:eastAsia="zh-CN"/>
              </w:rPr>
              <w:t>；集装箱修理焊接烟尘采用移动式焊接烟尘净化器处理后在厂房内无组织排放；集装箱修箱车间刷漆、晾干废气经过负压收集，设置二级活性炭吸附装置，处理后经1根15m排气筒排放；切割烟尘和木板开料废气通过设置排气扇等通风装置，以及厂房四周设置的轴流风机无组织排放。</w:t>
            </w:r>
          </w:p>
          <w:p w14:paraId="21D7C268">
            <w:pPr>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auto"/>
                <w:spacing w:val="-1"/>
                <w:sz w:val="24"/>
                <w:szCs w:val="24"/>
                <w:highlight w:val="none"/>
                <w:u w:val="none" w:color="auto"/>
              </w:rPr>
            </w:pPr>
            <w:r>
              <w:rPr>
                <w:rFonts w:hint="eastAsia" w:ascii="Times New Roman" w:hAnsi="Times New Roman" w:eastAsia="宋体" w:cs="Times New Roman"/>
                <w:color w:val="auto"/>
                <w:spacing w:val="-3"/>
                <w:sz w:val="24"/>
                <w:szCs w:val="24"/>
                <w:highlight w:val="none"/>
                <w:u w:val="none" w:color="auto"/>
                <w:lang w:val="en-US" w:eastAsia="zh-CN"/>
              </w:rPr>
              <w:t>钦州港大榄坪南作业区1#-6#泊位新增危险货物集装箱项目验收期间，</w:t>
            </w:r>
            <w:r>
              <w:rPr>
                <w:rFonts w:hint="default" w:ascii="Times New Roman" w:hAnsi="Times New Roman" w:eastAsia="宋体" w:cs="Times New Roman"/>
                <w:color w:val="auto"/>
                <w:spacing w:val="-3"/>
                <w:sz w:val="24"/>
                <w:szCs w:val="24"/>
                <w:highlight w:val="none"/>
                <w:u w:val="none" w:color="auto"/>
              </w:rPr>
              <w:t>运营期主要环境空气污染源为少量的装卸机械设备作业废气、运</w:t>
            </w:r>
            <w:r>
              <w:rPr>
                <w:rFonts w:hint="default" w:ascii="Times New Roman" w:hAnsi="Times New Roman" w:eastAsia="宋体" w:cs="Times New Roman"/>
                <w:color w:val="auto"/>
                <w:spacing w:val="-4"/>
                <w:sz w:val="24"/>
                <w:szCs w:val="24"/>
                <w:highlight w:val="none"/>
                <w:u w:val="none" w:color="auto"/>
              </w:rPr>
              <w:t>输车辆尾气</w:t>
            </w:r>
            <w:r>
              <w:rPr>
                <w:rFonts w:hint="default" w:ascii="Times New Roman" w:hAnsi="Times New Roman" w:eastAsia="宋体" w:cs="Times New Roman"/>
                <w:color w:val="auto"/>
                <w:sz w:val="24"/>
                <w:szCs w:val="24"/>
                <w:highlight w:val="none"/>
                <w:u w:val="none" w:color="auto"/>
              </w:rPr>
              <w:t>等，</w:t>
            </w:r>
            <w:r>
              <w:rPr>
                <w:rFonts w:hint="eastAsia" w:ascii="Times New Roman" w:hAnsi="Times New Roman" w:eastAsia="宋体" w:cs="Times New Roman"/>
                <w:color w:val="auto"/>
                <w:sz w:val="24"/>
                <w:szCs w:val="24"/>
                <w:highlight w:val="none"/>
                <w:u w:val="none" w:color="auto"/>
                <w:lang w:val="en-US" w:eastAsia="zh-CN"/>
              </w:rPr>
              <w:t>本次评价引用</w:t>
            </w:r>
            <w:r>
              <w:rPr>
                <w:rFonts w:hint="default" w:ascii="Times New Roman" w:hAnsi="Times New Roman" w:eastAsia="宋体" w:cs="Times New Roman"/>
                <w:color w:val="auto"/>
                <w:sz w:val="24"/>
                <w:szCs w:val="24"/>
                <w:highlight w:val="none"/>
                <w:u w:val="none" w:color="auto"/>
              </w:rPr>
              <w:t>《钦州港大榄坪南作业区1#-6#泊位新增危险货物集装箱项目（重大变动）竣工环境保护验收调查报告》中对厂界</w:t>
            </w:r>
            <w:r>
              <w:rPr>
                <w:rFonts w:hint="default" w:ascii="Times New Roman" w:hAnsi="Times New Roman" w:eastAsia="宋体" w:cs="Times New Roman"/>
                <w:color w:val="auto"/>
                <w:sz w:val="24"/>
                <w:szCs w:val="24"/>
                <w:highlight w:val="none"/>
                <w:u w:val="none" w:color="auto"/>
                <w:lang w:val="en-US" w:eastAsia="zh-CN"/>
              </w:rPr>
              <w:t>的</w:t>
            </w:r>
            <w:r>
              <w:rPr>
                <w:rFonts w:hint="default" w:ascii="Times New Roman" w:hAnsi="Times New Roman" w:eastAsia="宋体" w:cs="Times New Roman"/>
                <w:color w:val="auto"/>
                <w:sz w:val="24"/>
                <w:szCs w:val="24"/>
                <w:highlight w:val="none"/>
                <w:u w:val="none" w:color="auto"/>
              </w:rPr>
              <w:t>监测</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数据如下表所示</w:t>
            </w:r>
            <w:r>
              <w:rPr>
                <w:rFonts w:hint="default" w:ascii="Times New Roman" w:hAnsi="Times New Roman" w:eastAsia="宋体" w:cs="Times New Roman"/>
                <w:color w:val="auto"/>
                <w:spacing w:val="-1"/>
                <w:sz w:val="24"/>
                <w:szCs w:val="24"/>
                <w:highlight w:val="none"/>
                <w:u w:val="none" w:color="auto"/>
              </w:rPr>
              <w:t>。</w:t>
            </w:r>
          </w:p>
          <w:p w14:paraId="01C0C54D">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2052" w:right="113"/>
              <w:textAlignment w:val="auto"/>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b/>
                <w:bCs/>
                <w:color w:val="auto"/>
                <w:spacing w:val="-1"/>
                <w:sz w:val="21"/>
                <w:szCs w:val="21"/>
                <w:highlight w:val="none"/>
                <w:u w:val="none" w:color="auto"/>
              </w:rPr>
              <w:t>表</w:t>
            </w:r>
            <w:r>
              <w:rPr>
                <w:rFonts w:hint="eastAsia" w:ascii="Times New Roman" w:hAnsi="Times New Roman" w:eastAsia="宋体" w:cs="Times New Roman"/>
                <w:b/>
                <w:bCs/>
                <w:color w:val="auto"/>
                <w:spacing w:val="-1"/>
                <w:sz w:val="21"/>
                <w:szCs w:val="21"/>
                <w:highlight w:val="none"/>
                <w:u w:val="none" w:color="auto"/>
                <w:lang w:val="en-US" w:eastAsia="zh-CN"/>
              </w:rPr>
              <w:t>2-8</w:t>
            </w:r>
            <w:r>
              <w:rPr>
                <w:rFonts w:hint="default" w:ascii="Times New Roman" w:hAnsi="Times New Roman" w:eastAsia="宋体" w:cs="Times New Roman"/>
                <w:b/>
                <w:bCs/>
                <w:color w:val="auto"/>
                <w:spacing w:val="-1"/>
                <w:sz w:val="21"/>
                <w:szCs w:val="21"/>
                <w:highlight w:val="none"/>
                <w:u w:val="none" w:color="auto"/>
              </w:rPr>
              <w:t>厂界环境空气监测与</w:t>
            </w:r>
            <w:r>
              <w:rPr>
                <w:rFonts w:hint="eastAsia" w:cs="Times New Roman"/>
                <w:b/>
                <w:bCs/>
                <w:color w:val="auto"/>
                <w:spacing w:val="-1"/>
                <w:sz w:val="21"/>
                <w:szCs w:val="21"/>
                <w:highlight w:val="none"/>
                <w:u w:val="none" w:color="auto"/>
                <w:lang w:val="en-US" w:eastAsia="zh-CN"/>
              </w:rPr>
              <w:t>评价</w:t>
            </w:r>
            <w:r>
              <w:rPr>
                <w:rFonts w:hint="default" w:ascii="Times New Roman" w:hAnsi="Times New Roman" w:eastAsia="宋体" w:cs="Times New Roman"/>
                <w:b/>
                <w:bCs/>
                <w:color w:val="auto"/>
                <w:spacing w:val="-1"/>
                <w:sz w:val="21"/>
                <w:szCs w:val="21"/>
                <w:highlight w:val="none"/>
                <w:u w:val="none" w:color="auto"/>
              </w:rPr>
              <w:t>结</w:t>
            </w:r>
            <w:r>
              <w:rPr>
                <w:rFonts w:hint="default" w:ascii="Times New Roman" w:hAnsi="Times New Roman" w:eastAsia="宋体" w:cs="Times New Roman"/>
                <w:b/>
                <w:bCs/>
                <w:color w:val="auto"/>
                <w:spacing w:val="-2"/>
                <w:sz w:val="21"/>
                <w:szCs w:val="21"/>
                <w:highlight w:val="none"/>
                <w:u w:val="none" w:color="auto"/>
              </w:rPr>
              <w:t>果单位：μg/m</w:t>
            </w:r>
            <w:r>
              <w:rPr>
                <w:rFonts w:hint="eastAsia" w:ascii="Times New Roman" w:hAnsi="Times New Roman" w:eastAsia="宋体" w:cs="Times New Roman"/>
                <w:b/>
                <w:bCs/>
                <w:color w:val="auto"/>
                <w:spacing w:val="-2"/>
                <w:position w:val="8"/>
                <w:sz w:val="21"/>
                <w:szCs w:val="21"/>
                <w:highlight w:val="none"/>
                <w:u w:val="none" w:color="auto"/>
                <w:lang w:val="en-US" w:eastAsia="zh-CN"/>
              </w:rPr>
              <w:t>3</w:t>
            </w:r>
          </w:p>
          <w:tbl>
            <w:tblPr>
              <w:tblStyle w:val="143"/>
              <w:tblpPr w:leftFromText="180" w:rightFromText="180" w:vertAnchor="text" w:horzAnchor="page" w:tblpX="80" w:tblpY="53"/>
              <w:tblOverlap w:val="never"/>
              <w:tblW w:w="79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5"/>
              <w:gridCol w:w="738"/>
              <w:gridCol w:w="967"/>
              <w:gridCol w:w="1049"/>
              <w:gridCol w:w="1049"/>
              <w:gridCol w:w="1134"/>
              <w:gridCol w:w="904"/>
              <w:gridCol w:w="910"/>
            </w:tblGrid>
            <w:tr w14:paraId="02A4D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1903" w:type="dxa"/>
                  <w:gridSpan w:val="2"/>
                  <w:tcBorders>
                    <w:top w:val="single" w:color="000000" w:sz="10" w:space="0"/>
                    <w:left w:val="single" w:color="000000" w:sz="10" w:space="0"/>
                    <w:tl2br w:val="single" w:color="000000" w:sz="4" w:space="0"/>
                  </w:tcBorders>
                  <w:vAlign w:val="center"/>
                </w:tcPr>
                <w:p w14:paraId="011E6C24">
                  <w:pPr>
                    <w:spacing w:before="99" w:line="228" w:lineRule="auto"/>
                    <w:ind w:left="1557"/>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15"/>
                      <w:sz w:val="21"/>
                      <w:szCs w:val="21"/>
                      <w:highlight w:val="none"/>
                      <w:u w:val="none" w:color="auto"/>
                    </w:rPr>
                    <w:t>日期</w:t>
                  </w:r>
                </w:p>
                <w:p w14:paraId="3F4B5823">
                  <w:pPr>
                    <w:spacing w:before="24" w:line="228" w:lineRule="auto"/>
                    <w:ind w:left="116"/>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4"/>
                      <w:sz w:val="21"/>
                      <w:szCs w:val="21"/>
                      <w:highlight w:val="none"/>
                      <w:u w:val="none" w:color="auto"/>
                    </w:rPr>
                    <w:t>点位及项目</w:t>
                  </w:r>
                </w:p>
              </w:tc>
              <w:tc>
                <w:tcPr>
                  <w:tcW w:w="967" w:type="dxa"/>
                  <w:tcBorders>
                    <w:top w:val="single" w:color="000000" w:sz="10" w:space="0"/>
                  </w:tcBorders>
                  <w:vAlign w:val="center"/>
                </w:tcPr>
                <w:p w14:paraId="117C31B9">
                  <w:pPr>
                    <w:spacing w:before="156" w:beforeAutospacing="0" w:line="228"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
                      <w:bCs/>
                      <w:color w:val="auto"/>
                      <w:spacing w:val="-4"/>
                      <w:sz w:val="21"/>
                      <w:szCs w:val="21"/>
                      <w:highlight w:val="none"/>
                      <w:u w:val="none" w:color="auto"/>
                      <w:lang w:val="en-US" w:eastAsia="zh-CN"/>
                    </w:rPr>
                    <w:t>2024年</w:t>
                  </w:r>
                  <w:r>
                    <w:rPr>
                      <w:rFonts w:ascii="Times New Roman" w:hAnsi="Times New Roman" w:eastAsia="宋体" w:cs="Times New Roman"/>
                      <w:b/>
                      <w:bCs/>
                      <w:color w:val="auto"/>
                      <w:spacing w:val="-4"/>
                      <w:sz w:val="21"/>
                      <w:szCs w:val="21"/>
                      <w:highlight w:val="none"/>
                      <w:u w:val="none" w:color="auto"/>
                    </w:rPr>
                    <w:t>8月7日</w:t>
                  </w:r>
                </w:p>
              </w:tc>
              <w:tc>
                <w:tcPr>
                  <w:tcW w:w="1049" w:type="dxa"/>
                  <w:tcBorders>
                    <w:top w:val="single" w:color="000000" w:sz="10" w:space="0"/>
                  </w:tcBorders>
                  <w:vAlign w:val="center"/>
                </w:tcPr>
                <w:p w14:paraId="12CF9AC0">
                  <w:pPr>
                    <w:spacing w:before="156" w:beforeAutospacing="0" w:line="228"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
                      <w:bCs/>
                      <w:color w:val="auto"/>
                      <w:spacing w:val="-4"/>
                      <w:sz w:val="21"/>
                      <w:szCs w:val="21"/>
                      <w:highlight w:val="none"/>
                      <w:u w:val="none" w:color="auto"/>
                      <w:lang w:val="en-US" w:eastAsia="zh-CN"/>
                    </w:rPr>
                    <w:t>2024年</w:t>
                  </w:r>
                  <w:r>
                    <w:rPr>
                      <w:rFonts w:ascii="Times New Roman" w:hAnsi="Times New Roman" w:eastAsia="宋体" w:cs="Times New Roman"/>
                      <w:b/>
                      <w:bCs/>
                      <w:color w:val="auto"/>
                      <w:spacing w:val="-4"/>
                      <w:sz w:val="21"/>
                      <w:szCs w:val="21"/>
                      <w:highlight w:val="none"/>
                      <w:u w:val="none" w:color="auto"/>
                    </w:rPr>
                    <w:t>8月8日</w:t>
                  </w:r>
                </w:p>
              </w:tc>
              <w:tc>
                <w:tcPr>
                  <w:tcW w:w="1049" w:type="dxa"/>
                  <w:tcBorders>
                    <w:top w:val="single" w:color="000000" w:sz="10" w:space="0"/>
                  </w:tcBorders>
                  <w:vAlign w:val="center"/>
                </w:tcPr>
                <w:p w14:paraId="55D2ED97">
                  <w:pPr>
                    <w:spacing w:before="156" w:beforeAutospacing="0" w:line="228"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b/>
                      <w:bCs/>
                      <w:color w:val="auto"/>
                      <w:spacing w:val="-4"/>
                      <w:sz w:val="21"/>
                      <w:szCs w:val="21"/>
                      <w:highlight w:val="none"/>
                      <w:u w:val="none" w:color="auto"/>
                      <w:lang w:val="en-US" w:eastAsia="zh-CN"/>
                    </w:rPr>
                    <w:t>2024年</w:t>
                  </w:r>
                  <w:r>
                    <w:rPr>
                      <w:rFonts w:ascii="Times New Roman" w:hAnsi="Times New Roman" w:eastAsia="宋体" w:cs="Times New Roman"/>
                      <w:b/>
                      <w:bCs/>
                      <w:color w:val="auto"/>
                      <w:spacing w:val="-4"/>
                      <w:sz w:val="21"/>
                      <w:szCs w:val="21"/>
                      <w:highlight w:val="none"/>
                      <w:u w:val="none" w:color="auto"/>
                    </w:rPr>
                    <w:t>8月9日</w:t>
                  </w:r>
                </w:p>
              </w:tc>
              <w:tc>
                <w:tcPr>
                  <w:tcW w:w="1134" w:type="dxa"/>
                  <w:tcBorders>
                    <w:top w:val="single" w:color="000000" w:sz="10" w:space="0"/>
                  </w:tcBorders>
                  <w:vAlign w:val="center"/>
                </w:tcPr>
                <w:p w14:paraId="11FA1B1F">
                  <w:pPr>
                    <w:spacing w:before="156" w:beforeAutospacing="0" w:line="245" w:lineRule="auto"/>
                    <w:ind w:left="0" w:leftChars="0" w:right="159"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最大监测值</w:t>
                  </w:r>
                  <w:r>
                    <w:rPr>
                      <w:rFonts w:ascii="Times New Roman" w:hAnsi="Times New Roman" w:eastAsia="宋体" w:cs="Times New Roman"/>
                      <w:b/>
                      <w:bCs/>
                      <w:color w:val="auto"/>
                      <w:spacing w:val="5"/>
                      <w:sz w:val="21"/>
                      <w:szCs w:val="21"/>
                      <w:highlight w:val="none"/>
                      <w:u w:val="none" w:color="auto"/>
                    </w:rPr>
                    <w:t>（</w:t>
                  </w:r>
                  <w:r>
                    <w:rPr>
                      <w:rFonts w:ascii="Times New Roman" w:hAnsi="Times New Roman" w:eastAsia="宋体" w:cs="Times New Roman"/>
                      <w:b/>
                      <w:bCs/>
                      <w:color w:val="auto"/>
                      <w:sz w:val="21"/>
                      <w:szCs w:val="21"/>
                      <w:highlight w:val="none"/>
                      <w:u w:val="none" w:color="auto"/>
                    </w:rPr>
                    <w:t>Cmax</w:t>
                  </w:r>
                  <w:r>
                    <w:rPr>
                      <w:rFonts w:ascii="Times New Roman" w:hAnsi="Times New Roman" w:eastAsia="宋体" w:cs="Times New Roman"/>
                      <w:b/>
                      <w:bCs/>
                      <w:color w:val="auto"/>
                      <w:spacing w:val="5"/>
                      <w:sz w:val="21"/>
                      <w:szCs w:val="21"/>
                      <w:highlight w:val="none"/>
                      <w:u w:val="none" w:color="auto"/>
                    </w:rPr>
                    <w:t>）</w:t>
                  </w:r>
                </w:p>
              </w:tc>
              <w:tc>
                <w:tcPr>
                  <w:tcW w:w="904" w:type="dxa"/>
                  <w:tcBorders>
                    <w:top w:val="single" w:color="000000" w:sz="10" w:space="0"/>
                  </w:tcBorders>
                  <w:vAlign w:val="center"/>
                </w:tcPr>
                <w:p w14:paraId="1A6F13FA">
                  <w:pPr>
                    <w:spacing w:before="156" w:beforeAutospacing="0" w:line="236" w:lineRule="auto"/>
                    <w:ind w:left="0" w:leftChars="0" w:right="223"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标准值</w:t>
                  </w:r>
                  <w:r>
                    <w:rPr>
                      <w:rFonts w:ascii="Times New Roman" w:hAnsi="Times New Roman" w:eastAsia="宋体" w:cs="Times New Roman"/>
                      <w:b/>
                      <w:bCs/>
                      <w:color w:val="auto"/>
                      <w:spacing w:val="-2"/>
                      <w:sz w:val="21"/>
                      <w:szCs w:val="21"/>
                      <w:highlight w:val="none"/>
                      <w:u w:val="none" w:color="auto"/>
                    </w:rPr>
                    <w:t>（Sj）</w:t>
                  </w:r>
                </w:p>
              </w:tc>
              <w:tc>
                <w:tcPr>
                  <w:tcW w:w="910" w:type="dxa"/>
                  <w:tcBorders>
                    <w:top w:val="single" w:color="000000" w:sz="10" w:space="0"/>
                    <w:right w:val="single" w:color="000000" w:sz="10" w:space="0"/>
                  </w:tcBorders>
                  <w:vAlign w:val="center"/>
                </w:tcPr>
                <w:p w14:paraId="19DF1D78">
                  <w:pPr>
                    <w:spacing w:before="156" w:beforeAutospacing="0" w:line="197"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3"/>
                      <w:sz w:val="21"/>
                      <w:szCs w:val="21"/>
                      <w:highlight w:val="none"/>
                      <w:u w:val="none" w:color="auto"/>
                    </w:rPr>
                    <w:t>Cmax/Sj</w:t>
                  </w:r>
                </w:p>
              </w:tc>
            </w:tr>
            <w:tr w14:paraId="6BBD1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65" w:type="dxa"/>
                  <w:vMerge w:val="restart"/>
                  <w:tcBorders>
                    <w:left w:val="single" w:color="000000" w:sz="10" w:space="0"/>
                    <w:bottom w:val="nil"/>
                  </w:tcBorders>
                  <w:vAlign w:val="center"/>
                </w:tcPr>
                <w:p w14:paraId="5B247450">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position w:val="1"/>
                      <w:sz w:val="21"/>
                      <w:szCs w:val="21"/>
                      <w:highlight w:val="none"/>
                      <w:u w:val="none" w:color="auto"/>
                    </w:rPr>
                    <w:t>A1：</w:t>
                  </w:r>
                </w:p>
                <w:p w14:paraId="35A4B6B5">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港口集团办</w:t>
                  </w:r>
                  <w:r>
                    <w:rPr>
                      <w:rFonts w:ascii="Times New Roman" w:hAnsi="Times New Roman" w:eastAsia="宋体" w:cs="Times New Roman"/>
                      <w:color w:val="auto"/>
                      <w:spacing w:val="1"/>
                      <w:sz w:val="21"/>
                      <w:szCs w:val="21"/>
                      <w:highlight w:val="none"/>
                      <w:u w:val="none" w:color="auto"/>
                    </w:rPr>
                    <w:t>公楼</w:t>
                  </w:r>
                </w:p>
              </w:tc>
              <w:tc>
                <w:tcPr>
                  <w:tcW w:w="738" w:type="dxa"/>
                  <w:vAlign w:val="top"/>
                </w:tcPr>
                <w:p w14:paraId="71A3644F">
                  <w:pPr>
                    <w:spacing w:before="75" w:line="195" w:lineRule="auto"/>
                    <w:ind w:left="262"/>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TSP</w:t>
                  </w:r>
                </w:p>
              </w:tc>
              <w:tc>
                <w:tcPr>
                  <w:tcW w:w="967" w:type="dxa"/>
                  <w:vAlign w:val="top"/>
                </w:tcPr>
                <w:p w14:paraId="29A3DA34">
                  <w:pPr>
                    <w:spacing w:before="75"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130</w:t>
                  </w:r>
                </w:p>
              </w:tc>
              <w:tc>
                <w:tcPr>
                  <w:tcW w:w="1049" w:type="dxa"/>
                  <w:vAlign w:val="top"/>
                </w:tcPr>
                <w:p w14:paraId="0CF2589B">
                  <w:pPr>
                    <w:spacing w:before="75"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134</w:t>
                  </w:r>
                </w:p>
              </w:tc>
              <w:tc>
                <w:tcPr>
                  <w:tcW w:w="1049" w:type="dxa"/>
                  <w:vAlign w:val="top"/>
                </w:tcPr>
                <w:p w14:paraId="357250C1">
                  <w:pPr>
                    <w:spacing w:before="75"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140</w:t>
                  </w:r>
                </w:p>
              </w:tc>
              <w:tc>
                <w:tcPr>
                  <w:tcW w:w="1134" w:type="dxa"/>
                  <w:vAlign w:val="top"/>
                </w:tcPr>
                <w:p w14:paraId="22DD1C8A">
                  <w:pPr>
                    <w:spacing w:before="75"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140</w:t>
                  </w:r>
                </w:p>
              </w:tc>
              <w:tc>
                <w:tcPr>
                  <w:tcW w:w="904" w:type="dxa"/>
                  <w:vAlign w:val="top"/>
                </w:tcPr>
                <w:p w14:paraId="1EDFC8CE">
                  <w:pPr>
                    <w:spacing w:before="75"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300</w:t>
                  </w:r>
                </w:p>
              </w:tc>
              <w:tc>
                <w:tcPr>
                  <w:tcW w:w="910" w:type="dxa"/>
                  <w:tcBorders>
                    <w:right w:val="single" w:color="000000" w:sz="10" w:space="0"/>
                  </w:tcBorders>
                  <w:vAlign w:val="top"/>
                </w:tcPr>
                <w:p w14:paraId="535C1D4D">
                  <w:pPr>
                    <w:spacing w:before="75"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0.47</w:t>
                  </w:r>
                </w:p>
              </w:tc>
            </w:tr>
            <w:tr w14:paraId="0EC71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continue"/>
                  <w:tcBorders>
                    <w:top w:val="nil"/>
                    <w:left w:val="single" w:color="000000" w:sz="10" w:space="0"/>
                    <w:bottom w:val="nil"/>
                  </w:tcBorders>
                  <w:vAlign w:val="center"/>
                </w:tcPr>
                <w:p w14:paraId="18FE5BD9">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top"/>
                </w:tcPr>
                <w:p w14:paraId="7B42658A">
                  <w:pPr>
                    <w:spacing w:before="82" w:line="199" w:lineRule="auto"/>
                    <w:ind w:left="221"/>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PM</w:t>
                  </w:r>
                  <w:r>
                    <w:rPr>
                      <w:rFonts w:ascii="Times New Roman" w:hAnsi="Times New Roman" w:eastAsia="宋体" w:cs="Times New Roman"/>
                      <w:color w:val="auto"/>
                      <w:spacing w:val="8"/>
                      <w:position w:val="-1"/>
                      <w:sz w:val="21"/>
                      <w:szCs w:val="21"/>
                      <w:highlight w:val="none"/>
                      <w:u w:val="none" w:color="auto"/>
                      <w:vertAlign w:val="subscript"/>
                    </w:rPr>
                    <w:t>10</w:t>
                  </w:r>
                </w:p>
              </w:tc>
              <w:tc>
                <w:tcPr>
                  <w:tcW w:w="967" w:type="dxa"/>
                  <w:vAlign w:val="top"/>
                </w:tcPr>
                <w:p w14:paraId="227A0A83">
                  <w:pPr>
                    <w:spacing w:before="79"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58</w:t>
                  </w:r>
                </w:p>
              </w:tc>
              <w:tc>
                <w:tcPr>
                  <w:tcW w:w="1049" w:type="dxa"/>
                  <w:vAlign w:val="top"/>
                </w:tcPr>
                <w:p w14:paraId="3E5D4FF9">
                  <w:pPr>
                    <w:spacing w:before="79"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63</w:t>
                  </w:r>
                </w:p>
              </w:tc>
              <w:tc>
                <w:tcPr>
                  <w:tcW w:w="1049" w:type="dxa"/>
                  <w:vAlign w:val="top"/>
                </w:tcPr>
                <w:p w14:paraId="046C387F">
                  <w:pPr>
                    <w:spacing w:before="79"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69</w:t>
                  </w:r>
                </w:p>
              </w:tc>
              <w:tc>
                <w:tcPr>
                  <w:tcW w:w="1134" w:type="dxa"/>
                  <w:vAlign w:val="top"/>
                </w:tcPr>
                <w:p w14:paraId="6D2B7C85">
                  <w:pPr>
                    <w:spacing w:before="79"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69</w:t>
                  </w:r>
                </w:p>
              </w:tc>
              <w:tc>
                <w:tcPr>
                  <w:tcW w:w="904" w:type="dxa"/>
                  <w:vAlign w:val="top"/>
                </w:tcPr>
                <w:p w14:paraId="7E0A5793">
                  <w:pPr>
                    <w:spacing w:before="79"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150</w:t>
                  </w:r>
                </w:p>
              </w:tc>
              <w:tc>
                <w:tcPr>
                  <w:tcW w:w="910" w:type="dxa"/>
                  <w:tcBorders>
                    <w:right w:val="single" w:color="000000" w:sz="10" w:space="0"/>
                  </w:tcBorders>
                  <w:vAlign w:val="top"/>
                </w:tcPr>
                <w:p w14:paraId="403E2C45">
                  <w:pPr>
                    <w:spacing w:before="79"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0.46</w:t>
                  </w:r>
                </w:p>
              </w:tc>
            </w:tr>
            <w:tr w14:paraId="238C8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165" w:type="dxa"/>
                  <w:vMerge w:val="continue"/>
                  <w:tcBorders>
                    <w:top w:val="nil"/>
                    <w:left w:val="single" w:color="000000" w:sz="10" w:space="0"/>
                  </w:tcBorders>
                  <w:vAlign w:val="center"/>
                </w:tcPr>
                <w:p w14:paraId="520969BC">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center"/>
                </w:tcPr>
                <w:p w14:paraId="0D44FC6A">
                  <w:pPr>
                    <w:spacing w:beforeAutospacing="0" w:line="202" w:lineRule="auto"/>
                    <w:ind w:left="24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NO</w:t>
                  </w:r>
                  <w:r>
                    <w:rPr>
                      <w:rFonts w:ascii="Times New Roman" w:hAnsi="Times New Roman" w:eastAsia="宋体" w:cs="Times New Roman"/>
                      <w:color w:val="auto"/>
                      <w:spacing w:val="7"/>
                      <w:position w:val="-1"/>
                      <w:sz w:val="21"/>
                      <w:szCs w:val="21"/>
                      <w:highlight w:val="none"/>
                      <w:u w:val="none" w:color="auto"/>
                      <w:vertAlign w:val="subscript"/>
                    </w:rPr>
                    <w:t>2</w:t>
                  </w:r>
                </w:p>
              </w:tc>
              <w:tc>
                <w:tcPr>
                  <w:tcW w:w="967" w:type="dxa"/>
                  <w:vAlign w:val="center"/>
                </w:tcPr>
                <w:p w14:paraId="298142C4">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19</w:t>
                  </w:r>
                </w:p>
              </w:tc>
              <w:tc>
                <w:tcPr>
                  <w:tcW w:w="1049" w:type="dxa"/>
                  <w:vAlign w:val="center"/>
                </w:tcPr>
                <w:p w14:paraId="4C3D65A5">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22</w:t>
                  </w:r>
                </w:p>
              </w:tc>
              <w:tc>
                <w:tcPr>
                  <w:tcW w:w="1049" w:type="dxa"/>
                  <w:vAlign w:val="center"/>
                </w:tcPr>
                <w:p w14:paraId="4CE5344E">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24</w:t>
                  </w:r>
                </w:p>
              </w:tc>
              <w:tc>
                <w:tcPr>
                  <w:tcW w:w="1134" w:type="dxa"/>
                  <w:vAlign w:val="center"/>
                </w:tcPr>
                <w:p w14:paraId="42CD3FE4">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24</w:t>
                  </w:r>
                </w:p>
              </w:tc>
              <w:tc>
                <w:tcPr>
                  <w:tcW w:w="904" w:type="dxa"/>
                  <w:vAlign w:val="center"/>
                </w:tcPr>
                <w:p w14:paraId="0D4B8292">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80</w:t>
                  </w:r>
                </w:p>
              </w:tc>
              <w:tc>
                <w:tcPr>
                  <w:tcW w:w="910" w:type="dxa"/>
                  <w:tcBorders>
                    <w:right w:val="single" w:color="000000" w:sz="10" w:space="0"/>
                  </w:tcBorders>
                  <w:vAlign w:val="center"/>
                </w:tcPr>
                <w:p w14:paraId="63C35D45">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0.30</w:t>
                  </w:r>
                </w:p>
              </w:tc>
            </w:tr>
            <w:tr w14:paraId="50D3A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38FE7EFF">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A2：厂界上</w:t>
                  </w:r>
                  <w:r>
                    <w:rPr>
                      <w:rFonts w:ascii="Times New Roman" w:hAnsi="Times New Roman" w:eastAsia="宋体" w:cs="Times New Roman"/>
                      <w:color w:val="auto"/>
                      <w:spacing w:val="4"/>
                      <w:sz w:val="21"/>
                      <w:szCs w:val="21"/>
                      <w:highlight w:val="none"/>
                      <w:u w:val="none" w:color="auto"/>
                    </w:rPr>
                    <w:t>风向</w:t>
                  </w:r>
                </w:p>
              </w:tc>
              <w:tc>
                <w:tcPr>
                  <w:tcW w:w="738" w:type="dxa"/>
                  <w:vAlign w:val="center"/>
                </w:tcPr>
                <w:p w14:paraId="7BCA85B3">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TSP</w:t>
                  </w:r>
                </w:p>
              </w:tc>
              <w:tc>
                <w:tcPr>
                  <w:tcW w:w="967" w:type="dxa"/>
                  <w:vAlign w:val="center"/>
                </w:tcPr>
                <w:p w14:paraId="520F6B0B">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143</w:t>
                  </w:r>
                </w:p>
              </w:tc>
              <w:tc>
                <w:tcPr>
                  <w:tcW w:w="1049" w:type="dxa"/>
                  <w:vAlign w:val="center"/>
                </w:tcPr>
                <w:p w14:paraId="3B01303E">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145</w:t>
                  </w:r>
                </w:p>
              </w:tc>
              <w:tc>
                <w:tcPr>
                  <w:tcW w:w="1049" w:type="dxa"/>
                  <w:vAlign w:val="center"/>
                </w:tcPr>
                <w:p w14:paraId="0B8BF316">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140</w:t>
                  </w:r>
                </w:p>
              </w:tc>
              <w:tc>
                <w:tcPr>
                  <w:tcW w:w="1134" w:type="dxa"/>
                  <w:vAlign w:val="center"/>
                </w:tcPr>
                <w:p w14:paraId="46326931">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145</w:t>
                  </w:r>
                </w:p>
              </w:tc>
              <w:tc>
                <w:tcPr>
                  <w:tcW w:w="904" w:type="dxa"/>
                  <w:vAlign w:val="center"/>
                </w:tcPr>
                <w:p w14:paraId="05BCE9AD">
                  <w:pPr>
                    <w:spacing w:beforeAutospacing="0" w:line="199"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c>
                <w:tcPr>
                  <w:tcW w:w="910" w:type="dxa"/>
                  <w:tcBorders>
                    <w:right w:val="single" w:color="000000" w:sz="10" w:space="0"/>
                  </w:tcBorders>
                  <w:vAlign w:val="center"/>
                </w:tcPr>
                <w:p w14:paraId="1AA4161C">
                  <w:pPr>
                    <w:spacing w:beforeAutospacing="0" w:line="199"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r>
            <w:tr w14:paraId="54EAA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16AA6C64">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center"/>
                </w:tcPr>
                <w:p w14:paraId="3FD654E9">
                  <w:pPr>
                    <w:spacing w:beforeAutospacing="0" w:line="199"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PM</w:t>
                  </w:r>
                  <w:r>
                    <w:rPr>
                      <w:rFonts w:ascii="Times New Roman" w:hAnsi="Times New Roman" w:eastAsia="宋体" w:cs="Times New Roman"/>
                      <w:color w:val="auto"/>
                      <w:spacing w:val="8"/>
                      <w:position w:val="-1"/>
                      <w:sz w:val="21"/>
                      <w:szCs w:val="21"/>
                      <w:highlight w:val="none"/>
                      <w:u w:val="none" w:color="auto"/>
                      <w:vertAlign w:val="subscript"/>
                    </w:rPr>
                    <w:t>10</w:t>
                  </w:r>
                </w:p>
              </w:tc>
              <w:tc>
                <w:tcPr>
                  <w:tcW w:w="967" w:type="dxa"/>
                  <w:vAlign w:val="center"/>
                </w:tcPr>
                <w:p w14:paraId="4614556B">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64</w:t>
                  </w:r>
                </w:p>
              </w:tc>
              <w:tc>
                <w:tcPr>
                  <w:tcW w:w="1049" w:type="dxa"/>
                  <w:vAlign w:val="center"/>
                </w:tcPr>
                <w:p w14:paraId="5D46C6C2">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67</w:t>
                  </w:r>
                </w:p>
              </w:tc>
              <w:tc>
                <w:tcPr>
                  <w:tcW w:w="1049" w:type="dxa"/>
                  <w:vAlign w:val="center"/>
                </w:tcPr>
                <w:p w14:paraId="71E11D3A">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61</w:t>
                  </w:r>
                </w:p>
              </w:tc>
              <w:tc>
                <w:tcPr>
                  <w:tcW w:w="1134" w:type="dxa"/>
                  <w:vAlign w:val="center"/>
                </w:tcPr>
                <w:p w14:paraId="203F7205">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67</w:t>
                  </w:r>
                </w:p>
              </w:tc>
              <w:tc>
                <w:tcPr>
                  <w:tcW w:w="904" w:type="dxa"/>
                  <w:vAlign w:val="center"/>
                </w:tcPr>
                <w:p w14:paraId="0AB9E15E">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1000</w:t>
                  </w:r>
                </w:p>
              </w:tc>
              <w:tc>
                <w:tcPr>
                  <w:tcW w:w="910" w:type="dxa"/>
                  <w:tcBorders>
                    <w:right w:val="single" w:color="000000" w:sz="10" w:space="0"/>
                  </w:tcBorders>
                  <w:vAlign w:val="center"/>
                </w:tcPr>
                <w:p w14:paraId="2F1FE7C5">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0.07</w:t>
                  </w:r>
                </w:p>
              </w:tc>
            </w:tr>
            <w:tr w14:paraId="72510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165" w:type="dxa"/>
                  <w:vMerge w:val="continue"/>
                  <w:tcBorders>
                    <w:top w:val="nil"/>
                    <w:left w:val="single" w:color="000000" w:sz="10" w:space="0"/>
                  </w:tcBorders>
                  <w:vAlign w:val="center"/>
                </w:tcPr>
                <w:p w14:paraId="3ABE6F21">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center"/>
                </w:tcPr>
                <w:p w14:paraId="1FCDF1F3">
                  <w:pPr>
                    <w:spacing w:beforeAutospacing="0" w:line="202"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NO</w:t>
                  </w:r>
                  <w:r>
                    <w:rPr>
                      <w:rFonts w:ascii="Times New Roman" w:hAnsi="Times New Roman" w:eastAsia="宋体" w:cs="Times New Roman"/>
                      <w:color w:val="auto"/>
                      <w:spacing w:val="7"/>
                      <w:position w:val="-1"/>
                      <w:sz w:val="21"/>
                      <w:szCs w:val="21"/>
                      <w:highlight w:val="none"/>
                      <w:u w:val="none" w:color="auto"/>
                      <w:vertAlign w:val="subscript"/>
                    </w:rPr>
                    <w:t>2</w:t>
                  </w:r>
                </w:p>
              </w:tc>
              <w:tc>
                <w:tcPr>
                  <w:tcW w:w="967" w:type="dxa"/>
                  <w:vAlign w:val="center"/>
                </w:tcPr>
                <w:p w14:paraId="56A4DE45">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24</w:t>
                  </w:r>
                </w:p>
              </w:tc>
              <w:tc>
                <w:tcPr>
                  <w:tcW w:w="1049" w:type="dxa"/>
                  <w:vAlign w:val="center"/>
                </w:tcPr>
                <w:p w14:paraId="6F63B510">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27</w:t>
                  </w:r>
                </w:p>
              </w:tc>
              <w:tc>
                <w:tcPr>
                  <w:tcW w:w="1049" w:type="dxa"/>
                  <w:vAlign w:val="center"/>
                </w:tcPr>
                <w:p w14:paraId="5C3A3D2C">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24</w:t>
                  </w:r>
                </w:p>
              </w:tc>
              <w:tc>
                <w:tcPr>
                  <w:tcW w:w="1134" w:type="dxa"/>
                  <w:vAlign w:val="center"/>
                </w:tcPr>
                <w:p w14:paraId="21B5EF39">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27</w:t>
                  </w:r>
                </w:p>
              </w:tc>
              <w:tc>
                <w:tcPr>
                  <w:tcW w:w="904" w:type="dxa"/>
                  <w:vAlign w:val="center"/>
                </w:tcPr>
                <w:p w14:paraId="4F33BD58">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120</w:t>
                  </w:r>
                </w:p>
              </w:tc>
              <w:tc>
                <w:tcPr>
                  <w:tcW w:w="910" w:type="dxa"/>
                  <w:tcBorders>
                    <w:right w:val="single" w:color="000000" w:sz="10" w:space="0"/>
                  </w:tcBorders>
                  <w:vAlign w:val="center"/>
                </w:tcPr>
                <w:p w14:paraId="4D72552C">
                  <w:pPr>
                    <w:spacing w:beforeAutospacing="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0.23</w:t>
                  </w:r>
                </w:p>
              </w:tc>
            </w:tr>
            <w:tr w14:paraId="39FB1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13AE05E4">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position w:val="1"/>
                      <w:sz w:val="21"/>
                      <w:szCs w:val="21"/>
                      <w:highlight w:val="none"/>
                      <w:u w:val="none" w:color="auto"/>
                    </w:rPr>
                    <w:t>A3：</w:t>
                  </w:r>
                </w:p>
                <w:p w14:paraId="44A307F8">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厂界下风向1</w:t>
                  </w:r>
                </w:p>
              </w:tc>
              <w:tc>
                <w:tcPr>
                  <w:tcW w:w="738" w:type="dxa"/>
                  <w:vAlign w:val="center"/>
                </w:tcPr>
                <w:p w14:paraId="6E73004F">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TSP</w:t>
                  </w:r>
                </w:p>
              </w:tc>
              <w:tc>
                <w:tcPr>
                  <w:tcW w:w="967" w:type="dxa"/>
                  <w:vAlign w:val="center"/>
                </w:tcPr>
                <w:p w14:paraId="4E2EF2FB">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157</w:t>
                  </w:r>
                </w:p>
              </w:tc>
              <w:tc>
                <w:tcPr>
                  <w:tcW w:w="1049" w:type="dxa"/>
                  <w:vAlign w:val="center"/>
                </w:tcPr>
                <w:p w14:paraId="7EE63B8F">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169</w:t>
                  </w:r>
                </w:p>
              </w:tc>
              <w:tc>
                <w:tcPr>
                  <w:tcW w:w="1049" w:type="dxa"/>
                  <w:vAlign w:val="center"/>
                </w:tcPr>
                <w:p w14:paraId="0BF56D7B">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165</w:t>
                  </w:r>
                </w:p>
              </w:tc>
              <w:tc>
                <w:tcPr>
                  <w:tcW w:w="1134" w:type="dxa"/>
                  <w:vAlign w:val="center"/>
                </w:tcPr>
                <w:p w14:paraId="5FA373AC">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169</w:t>
                  </w:r>
                </w:p>
              </w:tc>
              <w:tc>
                <w:tcPr>
                  <w:tcW w:w="904" w:type="dxa"/>
                  <w:vAlign w:val="center"/>
                </w:tcPr>
                <w:p w14:paraId="7965A569">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c>
                <w:tcPr>
                  <w:tcW w:w="910" w:type="dxa"/>
                  <w:tcBorders>
                    <w:right w:val="single" w:color="000000" w:sz="10" w:space="0"/>
                  </w:tcBorders>
                  <w:vAlign w:val="center"/>
                </w:tcPr>
                <w:p w14:paraId="3D9C025C">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r>
            <w:tr w14:paraId="74BC8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26CEFD48">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center"/>
                </w:tcPr>
                <w:p w14:paraId="72C10697">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PM</w:t>
                  </w:r>
                  <w:r>
                    <w:rPr>
                      <w:rFonts w:ascii="Times New Roman" w:hAnsi="Times New Roman" w:eastAsia="宋体" w:cs="Times New Roman"/>
                      <w:color w:val="auto"/>
                      <w:spacing w:val="8"/>
                      <w:position w:val="-1"/>
                      <w:sz w:val="21"/>
                      <w:szCs w:val="21"/>
                      <w:highlight w:val="none"/>
                      <w:u w:val="none" w:color="auto"/>
                      <w:vertAlign w:val="subscript"/>
                    </w:rPr>
                    <w:t>10</w:t>
                  </w:r>
                </w:p>
              </w:tc>
              <w:tc>
                <w:tcPr>
                  <w:tcW w:w="967" w:type="dxa"/>
                  <w:vAlign w:val="center"/>
                </w:tcPr>
                <w:p w14:paraId="031B298F">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72</w:t>
                  </w:r>
                </w:p>
              </w:tc>
              <w:tc>
                <w:tcPr>
                  <w:tcW w:w="1049" w:type="dxa"/>
                  <w:vAlign w:val="center"/>
                </w:tcPr>
                <w:p w14:paraId="61C15632">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79</w:t>
                  </w:r>
                </w:p>
              </w:tc>
              <w:tc>
                <w:tcPr>
                  <w:tcW w:w="1049" w:type="dxa"/>
                  <w:vAlign w:val="center"/>
                </w:tcPr>
                <w:p w14:paraId="0EEDFD50">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76</w:t>
                  </w:r>
                </w:p>
              </w:tc>
              <w:tc>
                <w:tcPr>
                  <w:tcW w:w="1134" w:type="dxa"/>
                  <w:vAlign w:val="center"/>
                </w:tcPr>
                <w:p w14:paraId="3A87EFF9">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79</w:t>
                  </w:r>
                </w:p>
              </w:tc>
              <w:tc>
                <w:tcPr>
                  <w:tcW w:w="904" w:type="dxa"/>
                  <w:vAlign w:val="center"/>
                </w:tcPr>
                <w:p w14:paraId="78317B0A">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1000</w:t>
                  </w:r>
                </w:p>
              </w:tc>
              <w:tc>
                <w:tcPr>
                  <w:tcW w:w="910" w:type="dxa"/>
                  <w:tcBorders>
                    <w:right w:val="single" w:color="000000" w:sz="10" w:space="0"/>
                  </w:tcBorders>
                  <w:vAlign w:val="center"/>
                </w:tcPr>
                <w:p w14:paraId="5862C0DF">
                  <w:pPr>
                    <w:spacing w:beforeAutospacing="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0.08</w:t>
                  </w:r>
                </w:p>
              </w:tc>
            </w:tr>
            <w:tr w14:paraId="5160E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65" w:type="dxa"/>
                  <w:vMerge w:val="continue"/>
                  <w:tcBorders>
                    <w:top w:val="nil"/>
                    <w:left w:val="single" w:color="000000" w:sz="10" w:space="0"/>
                  </w:tcBorders>
                  <w:vAlign w:val="center"/>
                </w:tcPr>
                <w:p w14:paraId="5616CA86">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center"/>
                </w:tcPr>
                <w:p w14:paraId="40E60E80">
                  <w:pPr>
                    <w:spacing w:before="89"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NO</w:t>
                  </w:r>
                  <w:r>
                    <w:rPr>
                      <w:rFonts w:ascii="Times New Roman" w:hAnsi="Times New Roman" w:eastAsia="宋体" w:cs="Times New Roman"/>
                      <w:color w:val="auto"/>
                      <w:spacing w:val="7"/>
                      <w:position w:val="-1"/>
                      <w:sz w:val="21"/>
                      <w:szCs w:val="21"/>
                      <w:highlight w:val="none"/>
                      <w:u w:val="none" w:color="auto"/>
                      <w:vertAlign w:val="subscript"/>
                    </w:rPr>
                    <w:t>2</w:t>
                  </w:r>
                </w:p>
              </w:tc>
              <w:tc>
                <w:tcPr>
                  <w:tcW w:w="967" w:type="dxa"/>
                  <w:vAlign w:val="center"/>
                </w:tcPr>
                <w:p w14:paraId="528B3A38">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28</w:t>
                  </w:r>
                </w:p>
              </w:tc>
              <w:tc>
                <w:tcPr>
                  <w:tcW w:w="1049" w:type="dxa"/>
                  <w:vAlign w:val="center"/>
                </w:tcPr>
                <w:p w14:paraId="2904E830">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33</w:t>
                  </w:r>
                </w:p>
              </w:tc>
              <w:tc>
                <w:tcPr>
                  <w:tcW w:w="1049" w:type="dxa"/>
                  <w:vAlign w:val="center"/>
                </w:tcPr>
                <w:p w14:paraId="2D4EF815">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32</w:t>
                  </w:r>
                </w:p>
              </w:tc>
              <w:tc>
                <w:tcPr>
                  <w:tcW w:w="1134" w:type="dxa"/>
                  <w:vAlign w:val="center"/>
                </w:tcPr>
                <w:p w14:paraId="10DA8800">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33</w:t>
                  </w:r>
                </w:p>
              </w:tc>
              <w:tc>
                <w:tcPr>
                  <w:tcW w:w="904" w:type="dxa"/>
                  <w:vAlign w:val="center"/>
                </w:tcPr>
                <w:p w14:paraId="72B82EC7">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120</w:t>
                  </w:r>
                </w:p>
              </w:tc>
              <w:tc>
                <w:tcPr>
                  <w:tcW w:w="910" w:type="dxa"/>
                  <w:tcBorders>
                    <w:right w:val="single" w:color="000000" w:sz="10" w:space="0"/>
                  </w:tcBorders>
                  <w:vAlign w:val="center"/>
                </w:tcPr>
                <w:p w14:paraId="581C85C6">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0.28</w:t>
                  </w:r>
                </w:p>
              </w:tc>
            </w:tr>
            <w:tr w14:paraId="4C087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65" w:type="dxa"/>
                  <w:vMerge w:val="restart"/>
                  <w:tcBorders>
                    <w:left w:val="single" w:color="000000" w:sz="10" w:space="0"/>
                    <w:bottom w:val="nil"/>
                  </w:tcBorders>
                  <w:vAlign w:val="center"/>
                </w:tcPr>
                <w:p w14:paraId="7399A970">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position w:val="1"/>
                      <w:sz w:val="21"/>
                      <w:szCs w:val="21"/>
                      <w:highlight w:val="none"/>
                      <w:u w:val="none" w:color="auto"/>
                    </w:rPr>
                    <w:t>A4：</w:t>
                  </w:r>
                </w:p>
                <w:p w14:paraId="1A85BC5F">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厂界下风向2</w:t>
                  </w:r>
                </w:p>
              </w:tc>
              <w:tc>
                <w:tcPr>
                  <w:tcW w:w="738" w:type="dxa"/>
                  <w:vAlign w:val="center"/>
                </w:tcPr>
                <w:p w14:paraId="28C1727E">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TSP</w:t>
                  </w:r>
                </w:p>
              </w:tc>
              <w:tc>
                <w:tcPr>
                  <w:tcW w:w="967" w:type="dxa"/>
                  <w:vAlign w:val="center"/>
                </w:tcPr>
                <w:p w14:paraId="3FE081B9">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155</w:t>
                  </w:r>
                </w:p>
              </w:tc>
              <w:tc>
                <w:tcPr>
                  <w:tcW w:w="1049" w:type="dxa"/>
                  <w:vAlign w:val="center"/>
                </w:tcPr>
                <w:p w14:paraId="3F5DE080">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167</w:t>
                  </w:r>
                </w:p>
              </w:tc>
              <w:tc>
                <w:tcPr>
                  <w:tcW w:w="1049" w:type="dxa"/>
                  <w:vAlign w:val="center"/>
                </w:tcPr>
                <w:p w14:paraId="61535099">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152</w:t>
                  </w:r>
                </w:p>
              </w:tc>
              <w:tc>
                <w:tcPr>
                  <w:tcW w:w="1134" w:type="dxa"/>
                  <w:vAlign w:val="center"/>
                </w:tcPr>
                <w:p w14:paraId="1DEA04D9">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167</w:t>
                  </w:r>
                </w:p>
              </w:tc>
              <w:tc>
                <w:tcPr>
                  <w:tcW w:w="904" w:type="dxa"/>
                  <w:vAlign w:val="center"/>
                </w:tcPr>
                <w:p w14:paraId="182C6EDA">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c>
                <w:tcPr>
                  <w:tcW w:w="910" w:type="dxa"/>
                  <w:tcBorders>
                    <w:right w:val="single" w:color="000000" w:sz="10" w:space="0"/>
                  </w:tcBorders>
                  <w:vAlign w:val="center"/>
                </w:tcPr>
                <w:p w14:paraId="68505BAF">
                  <w:pPr>
                    <w:spacing w:before="88"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r>
            <w:tr w14:paraId="21166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center"/>
                </w:tcPr>
                <w:p w14:paraId="0B2DF8E0">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center"/>
                </w:tcPr>
                <w:p w14:paraId="4BA09CA5">
                  <w:pPr>
                    <w:spacing w:before="96"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PM</w:t>
                  </w:r>
                  <w:r>
                    <w:rPr>
                      <w:rFonts w:ascii="Times New Roman" w:hAnsi="Times New Roman" w:eastAsia="宋体" w:cs="Times New Roman"/>
                      <w:color w:val="auto"/>
                      <w:spacing w:val="8"/>
                      <w:position w:val="-1"/>
                      <w:sz w:val="21"/>
                      <w:szCs w:val="21"/>
                      <w:highlight w:val="none"/>
                      <w:u w:val="none" w:color="auto"/>
                      <w:vertAlign w:val="subscript"/>
                    </w:rPr>
                    <w:t>10</w:t>
                  </w:r>
                </w:p>
              </w:tc>
              <w:tc>
                <w:tcPr>
                  <w:tcW w:w="967" w:type="dxa"/>
                  <w:vAlign w:val="center"/>
                </w:tcPr>
                <w:p w14:paraId="40BDB06E">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70</w:t>
                  </w:r>
                </w:p>
              </w:tc>
              <w:tc>
                <w:tcPr>
                  <w:tcW w:w="1049" w:type="dxa"/>
                  <w:vAlign w:val="center"/>
                </w:tcPr>
                <w:p w14:paraId="66B54AF4">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75</w:t>
                  </w:r>
                </w:p>
              </w:tc>
              <w:tc>
                <w:tcPr>
                  <w:tcW w:w="1049" w:type="dxa"/>
                  <w:vAlign w:val="center"/>
                </w:tcPr>
                <w:p w14:paraId="04BCE5C9">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67</w:t>
                  </w:r>
                </w:p>
              </w:tc>
              <w:tc>
                <w:tcPr>
                  <w:tcW w:w="1134" w:type="dxa"/>
                  <w:vAlign w:val="center"/>
                </w:tcPr>
                <w:p w14:paraId="76B610F0">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75</w:t>
                  </w:r>
                </w:p>
              </w:tc>
              <w:tc>
                <w:tcPr>
                  <w:tcW w:w="904" w:type="dxa"/>
                  <w:vAlign w:val="center"/>
                </w:tcPr>
                <w:p w14:paraId="1F768504">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1000</w:t>
                  </w:r>
                </w:p>
              </w:tc>
              <w:tc>
                <w:tcPr>
                  <w:tcW w:w="910" w:type="dxa"/>
                  <w:tcBorders>
                    <w:right w:val="single" w:color="000000" w:sz="10" w:space="0"/>
                  </w:tcBorders>
                  <w:vAlign w:val="center"/>
                </w:tcPr>
                <w:p w14:paraId="3B00E047">
                  <w:pPr>
                    <w:spacing w:before="92"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0.08</w:t>
                  </w:r>
                </w:p>
              </w:tc>
            </w:tr>
            <w:tr w14:paraId="76248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165" w:type="dxa"/>
                  <w:vMerge w:val="continue"/>
                  <w:tcBorders>
                    <w:top w:val="nil"/>
                    <w:left w:val="single" w:color="000000" w:sz="10" w:space="0"/>
                  </w:tcBorders>
                  <w:vAlign w:val="center"/>
                </w:tcPr>
                <w:p w14:paraId="5E76A3AA">
                  <w:pPr>
                    <w:spacing w:line="240" w:lineRule="auto"/>
                    <w:ind w:left="0" w:right="0" w:firstLine="0"/>
                    <w:jc w:val="center"/>
                    <w:rPr>
                      <w:rFonts w:ascii="Times New Roman" w:hAnsi="Times New Roman" w:eastAsia="宋体" w:cs="Times New Roman"/>
                      <w:color w:val="auto"/>
                      <w:sz w:val="21"/>
                      <w:szCs w:val="21"/>
                      <w:highlight w:val="none"/>
                      <w:u w:val="none" w:color="auto"/>
                    </w:rPr>
                  </w:pPr>
                </w:p>
              </w:tc>
              <w:tc>
                <w:tcPr>
                  <w:tcW w:w="738" w:type="dxa"/>
                  <w:vAlign w:val="center"/>
                </w:tcPr>
                <w:p w14:paraId="23D8329C">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NO</w:t>
                  </w:r>
                  <w:r>
                    <w:rPr>
                      <w:rFonts w:ascii="Times New Roman" w:hAnsi="Times New Roman" w:eastAsia="宋体" w:cs="Times New Roman"/>
                      <w:color w:val="auto"/>
                      <w:spacing w:val="7"/>
                      <w:position w:val="-1"/>
                      <w:sz w:val="21"/>
                      <w:szCs w:val="21"/>
                      <w:highlight w:val="none"/>
                      <w:u w:val="none" w:color="auto"/>
                      <w:vertAlign w:val="subscript"/>
                    </w:rPr>
                    <w:t>2</w:t>
                  </w:r>
                </w:p>
              </w:tc>
              <w:tc>
                <w:tcPr>
                  <w:tcW w:w="967" w:type="dxa"/>
                  <w:vAlign w:val="center"/>
                </w:tcPr>
                <w:p w14:paraId="32206771">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28</w:t>
                  </w:r>
                </w:p>
              </w:tc>
              <w:tc>
                <w:tcPr>
                  <w:tcW w:w="1049" w:type="dxa"/>
                  <w:vAlign w:val="center"/>
                </w:tcPr>
                <w:p w14:paraId="41FBC152">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28</w:t>
                  </w:r>
                </w:p>
              </w:tc>
              <w:tc>
                <w:tcPr>
                  <w:tcW w:w="1049" w:type="dxa"/>
                  <w:vAlign w:val="center"/>
                </w:tcPr>
                <w:p w14:paraId="45CD3C69">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31</w:t>
                  </w:r>
                </w:p>
              </w:tc>
              <w:tc>
                <w:tcPr>
                  <w:tcW w:w="1134" w:type="dxa"/>
                  <w:vAlign w:val="center"/>
                </w:tcPr>
                <w:p w14:paraId="55E0893A">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31</w:t>
                  </w:r>
                </w:p>
              </w:tc>
              <w:tc>
                <w:tcPr>
                  <w:tcW w:w="904" w:type="dxa"/>
                  <w:vAlign w:val="center"/>
                </w:tcPr>
                <w:p w14:paraId="421CF90C">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120</w:t>
                  </w:r>
                </w:p>
              </w:tc>
              <w:tc>
                <w:tcPr>
                  <w:tcW w:w="910" w:type="dxa"/>
                  <w:tcBorders>
                    <w:right w:val="single" w:color="000000" w:sz="10" w:space="0"/>
                  </w:tcBorders>
                  <w:vAlign w:val="center"/>
                </w:tcPr>
                <w:p w14:paraId="206BBE9E">
                  <w:pPr>
                    <w:spacing w:before="95"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0.26</w:t>
                  </w:r>
                </w:p>
              </w:tc>
            </w:tr>
            <w:tr w14:paraId="0CAE3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restart"/>
                  <w:tcBorders>
                    <w:left w:val="single" w:color="000000" w:sz="10" w:space="0"/>
                    <w:bottom w:val="nil"/>
                  </w:tcBorders>
                  <w:vAlign w:val="center"/>
                </w:tcPr>
                <w:p w14:paraId="7AA26D36">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position w:val="1"/>
                      <w:sz w:val="21"/>
                      <w:szCs w:val="21"/>
                      <w:highlight w:val="none"/>
                      <w:u w:val="none" w:color="auto"/>
                    </w:rPr>
                    <w:t>A5：</w:t>
                  </w:r>
                </w:p>
                <w:p w14:paraId="784BCBD5">
                  <w:pPr>
                    <w:spacing w:line="240" w:lineRule="auto"/>
                    <w:ind w:left="0" w:right="0" w:firstLine="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厂界下风向3</w:t>
                  </w:r>
                </w:p>
              </w:tc>
              <w:tc>
                <w:tcPr>
                  <w:tcW w:w="738" w:type="dxa"/>
                  <w:vAlign w:val="center"/>
                </w:tcPr>
                <w:p w14:paraId="22D94019">
                  <w:pPr>
                    <w:spacing w:before="94"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TSP</w:t>
                  </w:r>
                </w:p>
              </w:tc>
              <w:tc>
                <w:tcPr>
                  <w:tcW w:w="967" w:type="dxa"/>
                  <w:vAlign w:val="center"/>
                </w:tcPr>
                <w:p w14:paraId="1A4A2063">
                  <w:pPr>
                    <w:spacing w:before="94"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169</w:t>
                  </w:r>
                </w:p>
              </w:tc>
              <w:tc>
                <w:tcPr>
                  <w:tcW w:w="1049" w:type="dxa"/>
                  <w:vAlign w:val="center"/>
                </w:tcPr>
                <w:p w14:paraId="7229DC12">
                  <w:pPr>
                    <w:spacing w:before="94"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159</w:t>
                  </w:r>
                </w:p>
              </w:tc>
              <w:tc>
                <w:tcPr>
                  <w:tcW w:w="1049" w:type="dxa"/>
                  <w:vAlign w:val="center"/>
                </w:tcPr>
                <w:p w14:paraId="623E290F">
                  <w:pPr>
                    <w:spacing w:before="94"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153</w:t>
                  </w:r>
                </w:p>
              </w:tc>
              <w:tc>
                <w:tcPr>
                  <w:tcW w:w="1134" w:type="dxa"/>
                  <w:vAlign w:val="center"/>
                </w:tcPr>
                <w:p w14:paraId="65ED85C3">
                  <w:pPr>
                    <w:spacing w:before="94"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169</w:t>
                  </w:r>
                </w:p>
              </w:tc>
              <w:tc>
                <w:tcPr>
                  <w:tcW w:w="904" w:type="dxa"/>
                  <w:vAlign w:val="center"/>
                </w:tcPr>
                <w:p w14:paraId="7BB3D920">
                  <w:pPr>
                    <w:spacing w:before="91"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c>
                <w:tcPr>
                  <w:tcW w:w="910" w:type="dxa"/>
                  <w:tcBorders>
                    <w:right w:val="single" w:color="000000" w:sz="10" w:space="0"/>
                  </w:tcBorders>
                  <w:vAlign w:val="center"/>
                </w:tcPr>
                <w:p w14:paraId="03BD08C2">
                  <w:pPr>
                    <w:spacing w:before="91"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r>
            <w:tr w14:paraId="2BDB1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165" w:type="dxa"/>
                  <w:vMerge w:val="continue"/>
                  <w:tcBorders>
                    <w:top w:val="nil"/>
                    <w:left w:val="single" w:color="000000" w:sz="10" w:space="0"/>
                    <w:bottom w:val="nil"/>
                  </w:tcBorders>
                  <w:vAlign w:val="top"/>
                </w:tcPr>
                <w:p w14:paraId="32C5F2A9">
                  <w:pPr>
                    <w:rPr>
                      <w:rFonts w:ascii="Times New Roman" w:hAnsi="Times New Roman" w:eastAsia="宋体" w:cs="Times New Roman"/>
                      <w:color w:val="auto"/>
                      <w:sz w:val="21"/>
                      <w:szCs w:val="21"/>
                      <w:highlight w:val="none"/>
                      <w:u w:val="none" w:color="auto"/>
                    </w:rPr>
                  </w:pPr>
                </w:p>
              </w:tc>
              <w:tc>
                <w:tcPr>
                  <w:tcW w:w="738" w:type="dxa"/>
                  <w:vAlign w:val="center"/>
                </w:tcPr>
                <w:p w14:paraId="0EAC273B">
                  <w:pPr>
                    <w:spacing w:before="10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PM</w:t>
                  </w:r>
                  <w:r>
                    <w:rPr>
                      <w:rFonts w:ascii="Times New Roman" w:hAnsi="Times New Roman" w:eastAsia="宋体" w:cs="Times New Roman"/>
                      <w:color w:val="auto"/>
                      <w:spacing w:val="8"/>
                      <w:position w:val="-1"/>
                      <w:sz w:val="21"/>
                      <w:szCs w:val="21"/>
                      <w:highlight w:val="none"/>
                      <w:u w:val="none" w:color="auto"/>
                      <w:vertAlign w:val="subscript"/>
                    </w:rPr>
                    <w:t>10</w:t>
                  </w:r>
                </w:p>
              </w:tc>
              <w:tc>
                <w:tcPr>
                  <w:tcW w:w="967" w:type="dxa"/>
                  <w:vAlign w:val="center"/>
                </w:tcPr>
                <w:p w14:paraId="3742590D">
                  <w:pPr>
                    <w:spacing w:before="10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77</w:t>
                  </w:r>
                </w:p>
              </w:tc>
              <w:tc>
                <w:tcPr>
                  <w:tcW w:w="1049" w:type="dxa"/>
                  <w:vAlign w:val="center"/>
                </w:tcPr>
                <w:p w14:paraId="084B64A8">
                  <w:pPr>
                    <w:spacing w:before="97"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71</w:t>
                  </w:r>
                </w:p>
              </w:tc>
              <w:tc>
                <w:tcPr>
                  <w:tcW w:w="1049" w:type="dxa"/>
                  <w:vAlign w:val="center"/>
                </w:tcPr>
                <w:p w14:paraId="255C342D">
                  <w:pPr>
                    <w:spacing w:before="97"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68</w:t>
                  </w:r>
                </w:p>
              </w:tc>
              <w:tc>
                <w:tcPr>
                  <w:tcW w:w="1134" w:type="dxa"/>
                  <w:vAlign w:val="center"/>
                </w:tcPr>
                <w:p w14:paraId="1B774448">
                  <w:pPr>
                    <w:spacing w:before="100"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77</w:t>
                  </w:r>
                </w:p>
              </w:tc>
              <w:tc>
                <w:tcPr>
                  <w:tcW w:w="904" w:type="dxa"/>
                  <w:vAlign w:val="center"/>
                </w:tcPr>
                <w:p w14:paraId="69075314">
                  <w:pPr>
                    <w:spacing w:before="97"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1000</w:t>
                  </w:r>
                </w:p>
              </w:tc>
              <w:tc>
                <w:tcPr>
                  <w:tcW w:w="910" w:type="dxa"/>
                  <w:tcBorders>
                    <w:right w:val="single" w:color="000000" w:sz="10" w:space="0"/>
                  </w:tcBorders>
                  <w:vAlign w:val="center"/>
                </w:tcPr>
                <w:p w14:paraId="3FF8E300">
                  <w:pPr>
                    <w:spacing w:before="97"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0.08</w:t>
                  </w:r>
                </w:p>
              </w:tc>
            </w:tr>
            <w:tr w14:paraId="4440A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165" w:type="dxa"/>
                  <w:vMerge w:val="continue"/>
                  <w:tcBorders>
                    <w:top w:val="nil"/>
                    <w:left w:val="single" w:color="000000" w:sz="10" w:space="0"/>
                    <w:bottom w:val="single" w:color="000000" w:sz="10" w:space="0"/>
                  </w:tcBorders>
                  <w:vAlign w:val="top"/>
                </w:tcPr>
                <w:p w14:paraId="70195991">
                  <w:pPr>
                    <w:rPr>
                      <w:rFonts w:ascii="Times New Roman" w:hAnsi="Times New Roman" w:eastAsia="宋体" w:cs="Times New Roman"/>
                      <w:color w:val="auto"/>
                      <w:sz w:val="21"/>
                      <w:szCs w:val="21"/>
                      <w:highlight w:val="none"/>
                      <w:u w:val="none" w:color="auto"/>
                    </w:rPr>
                  </w:pPr>
                </w:p>
              </w:tc>
              <w:tc>
                <w:tcPr>
                  <w:tcW w:w="738" w:type="dxa"/>
                  <w:tcBorders>
                    <w:bottom w:val="single" w:color="000000" w:sz="10" w:space="0"/>
                  </w:tcBorders>
                  <w:vAlign w:val="center"/>
                </w:tcPr>
                <w:p w14:paraId="759E8687">
                  <w:pPr>
                    <w:spacing w:before="97"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NO</w:t>
                  </w:r>
                  <w:r>
                    <w:rPr>
                      <w:rFonts w:ascii="Times New Roman" w:hAnsi="Times New Roman" w:eastAsia="宋体" w:cs="Times New Roman"/>
                      <w:color w:val="auto"/>
                      <w:spacing w:val="7"/>
                      <w:position w:val="-1"/>
                      <w:sz w:val="21"/>
                      <w:szCs w:val="21"/>
                      <w:highlight w:val="none"/>
                      <w:u w:val="none" w:color="auto"/>
                      <w:vertAlign w:val="subscript"/>
                    </w:rPr>
                    <w:t>2</w:t>
                  </w:r>
                </w:p>
              </w:tc>
              <w:tc>
                <w:tcPr>
                  <w:tcW w:w="967" w:type="dxa"/>
                  <w:tcBorders>
                    <w:bottom w:val="single" w:color="000000" w:sz="10" w:space="0"/>
                  </w:tcBorders>
                  <w:vAlign w:val="center"/>
                </w:tcPr>
                <w:p w14:paraId="7CFEC090">
                  <w:pPr>
                    <w:spacing w:before="96"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29</w:t>
                  </w:r>
                </w:p>
              </w:tc>
              <w:tc>
                <w:tcPr>
                  <w:tcW w:w="1049" w:type="dxa"/>
                  <w:tcBorders>
                    <w:bottom w:val="single" w:color="000000" w:sz="10" w:space="0"/>
                  </w:tcBorders>
                  <w:vAlign w:val="center"/>
                </w:tcPr>
                <w:p w14:paraId="178CC5DB">
                  <w:pPr>
                    <w:spacing w:before="96"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30</w:t>
                  </w:r>
                </w:p>
              </w:tc>
              <w:tc>
                <w:tcPr>
                  <w:tcW w:w="1049" w:type="dxa"/>
                  <w:tcBorders>
                    <w:bottom w:val="single" w:color="000000" w:sz="10" w:space="0"/>
                  </w:tcBorders>
                  <w:vAlign w:val="center"/>
                </w:tcPr>
                <w:p w14:paraId="0906A958">
                  <w:pPr>
                    <w:spacing w:before="96"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32</w:t>
                  </w:r>
                </w:p>
              </w:tc>
              <w:tc>
                <w:tcPr>
                  <w:tcW w:w="1134" w:type="dxa"/>
                  <w:tcBorders>
                    <w:bottom w:val="single" w:color="000000" w:sz="10" w:space="0"/>
                  </w:tcBorders>
                  <w:vAlign w:val="center"/>
                </w:tcPr>
                <w:p w14:paraId="0183093D">
                  <w:pPr>
                    <w:spacing w:before="96"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32</w:t>
                  </w:r>
                </w:p>
              </w:tc>
              <w:tc>
                <w:tcPr>
                  <w:tcW w:w="904" w:type="dxa"/>
                  <w:tcBorders>
                    <w:bottom w:val="single" w:color="000000" w:sz="10" w:space="0"/>
                  </w:tcBorders>
                  <w:vAlign w:val="center"/>
                </w:tcPr>
                <w:p w14:paraId="6ECDE9E6">
                  <w:pPr>
                    <w:spacing w:before="96"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120</w:t>
                  </w:r>
                </w:p>
              </w:tc>
              <w:tc>
                <w:tcPr>
                  <w:tcW w:w="910" w:type="dxa"/>
                  <w:tcBorders>
                    <w:bottom w:val="single" w:color="000000" w:sz="10" w:space="0"/>
                    <w:right w:val="single" w:color="000000" w:sz="10" w:space="0"/>
                  </w:tcBorders>
                  <w:vAlign w:val="center"/>
                </w:tcPr>
                <w:p w14:paraId="0104D7E9">
                  <w:pPr>
                    <w:spacing w:before="96" w:line="24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0.27</w:t>
                  </w:r>
                </w:p>
              </w:tc>
            </w:tr>
          </w:tbl>
          <w:p w14:paraId="0BB61C95">
            <w:pPr>
              <w:keepNext w:val="0"/>
              <w:keepLines w:val="0"/>
              <w:suppressLineNumbers w:val="0"/>
              <w:spacing w:before="0" w:beforeAutospacing="0" w:after="0" w:afterAutospacing="0" w:line="156" w:lineRule="exact"/>
              <w:ind w:left="0" w:right="0"/>
              <w:rPr>
                <w:rFonts w:hint="default" w:ascii="Times New Roman" w:hAnsi="Times New Roman" w:eastAsia="宋体" w:cs="Times New Roman"/>
                <w:color w:val="auto"/>
                <w:highlight w:val="none"/>
                <w:u w:val="none" w:color="auto"/>
              </w:rPr>
            </w:pPr>
          </w:p>
          <w:p w14:paraId="0CF5CBCB">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2052" w:right="113"/>
              <w:textAlignment w:val="auto"/>
              <w:rPr>
                <w:rFonts w:hint="default" w:ascii="Times New Roman" w:hAnsi="Times New Roman" w:eastAsia="宋体" w:cs="Times New Roman"/>
                <w:color w:val="auto"/>
                <w:sz w:val="21"/>
                <w:szCs w:val="21"/>
                <w:highlight w:val="none"/>
                <w:u w:val="none" w:color="auto"/>
              </w:rPr>
            </w:pPr>
            <w:bookmarkStart w:id="7" w:name="bookmark92"/>
            <w:bookmarkEnd w:id="7"/>
            <w:r>
              <w:rPr>
                <w:rFonts w:hint="default" w:ascii="Times New Roman" w:hAnsi="Times New Roman" w:eastAsia="宋体" w:cs="Times New Roman"/>
                <w:b/>
                <w:bCs/>
                <w:color w:val="auto"/>
                <w:spacing w:val="-1"/>
                <w:sz w:val="21"/>
                <w:szCs w:val="21"/>
                <w:highlight w:val="none"/>
                <w:u w:val="none" w:color="auto"/>
              </w:rPr>
              <w:t>表</w:t>
            </w:r>
            <w:r>
              <w:rPr>
                <w:rFonts w:hint="eastAsia" w:ascii="Times New Roman" w:hAnsi="Times New Roman" w:eastAsia="宋体" w:cs="Times New Roman"/>
                <w:b/>
                <w:bCs/>
                <w:color w:val="auto"/>
                <w:spacing w:val="-1"/>
                <w:sz w:val="21"/>
                <w:szCs w:val="21"/>
                <w:highlight w:val="none"/>
                <w:u w:val="none" w:color="auto"/>
                <w:lang w:val="en-US" w:eastAsia="zh-CN"/>
              </w:rPr>
              <w:t>2</w:t>
            </w:r>
            <w:r>
              <w:rPr>
                <w:rFonts w:hint="default" w:ascii="Times New Roman" w:hAnsi="Times New Roman" w:eastAsia="宋体" w:cs="Times New Roman"/>
                <w:b/>
                <w:bCs/>
                <w:color w:val="auto"/>
                <w:spacing w:val="-1"/>
                <w:sz w:val="21"/>
                <w:szCs w:val="21"/>
                <w:highlight w:val="none"/>
                <w:u w:val="none" w:color="auto"/>
              </w:rPr>
              <w:t>-</w:t>
            </w:r>
            <w:r>
              <w:rPr>
                <w:rFonts w:hint="eastAsia" w:ascii="Times New Roman" w:hAnsi="Times New Roman" w:eastAsia="宋体" w:cs="Times New Roman"/>
                <w:b/>
                <w:bCs/>
                <w:color w:val="auto"/>
                <w:spacing w:val="-1"/>
                <w:sz w:val="21"/>
                <w:szCs w:val="21"/>
                <w:highlight w:val="none"/>
                <w:u w:val="none" w:color="auto"/>
                <w:lang w:val="en-US" w:eastAsia="zh-CN"/>
              </w:rPr>
              <w:t>9</w:t>
            </w:r>
            <w:r>
              <w:rPr>
                <w:rFonts w:hint="default" w:ascii="Times New Roman" w:hAnsi="Times New Roman" w:eastAsia="宋体" w:cs="Times New Roman"/>
                <w:b/>
                <w:bCs/>
                <w:color w:val="auto"/>
                <w:spacing w:val="-1"/>
                <w:sz w:val="21"/>
                <w:szCs w:val="21"/>
                <w:highlight w:val="none"/>
                <w:u w:val="none" w:color="auto"/>
              </w:rPr>
              <w:t>厂界环境空气监测与</w:t>
            </w:r>
            <w:r>
              <w:rPr>
                <w:rFonts w:hint="eastAsia" w:cs="Times New Roman"/>
                <w:b/>
                <w:bCs/>
                <w:color w:val="auto"/>
                <w:spacing w:val="-1"/>
                <w:sz w:val="21"/>
                <w:szCs w:val="21"/>
                <w:highlight w:val="none"/>
                <w:u w:val="none" w:color="auto"/>
                <w:lang w:val="en-US" w:eastAsia="zh-CN"/>
              </w:rPr>
              <w:t>评价</w:t>
            </w:r>
            <w:r>
              <w:rPr>
                <w:rFonts w:hint="default" w:ascii="Times New Roman" w:hAnsi="Times New Roman" w:eastAsia="宋体" w:cs="Times New Roman"/>
                <w:b/>
                <w:bCs/>
                <w:color w:val="auto"/>
                <w:spacing w:val="-1"/>
                <w:sz w:val="21"/>
                <w:szCs w:val="21"/>
                <w:highlight w:val="none"/>
                <w:u w:val="none" w:color="auto"/>
              </w:rPr>
              <w:t>结</w:t>
            </w:r>
            <w:r>
              <w:rPr>
                <w:rFonts w:hint="default" w:ascii="Times New Roman" w:hAnsi="Times New Roman" w:eastAsia="宋体" w:cs="Times New Roman"/>
                <w:b/>
                <w:bCs/>
                <w:color w:val="auto"/>
                <w:spacing w:val="-2"/>
                <w:sz w:val="21"/>
                <w:szCs w:val="21"/>
                <w:highlight w:val="none"/>
                <w:u w:val="none" w:color="auto"/>
              </w:rPr>
              <w:t>果单位：μg/m</w:t>
            </w:r>
            <w:r>
              <w:rPr>
                <w:rFonts w:hint="default" w:ascii="Times New Roman" w:hAnsi="Times New Roman" w:eastAsia="宋体" w:cs="Times New Roman"/>
                <w:b/>
                <w:bCs/>
                <w:color w:val="auto"/>
                <w:spacing w:val="-2"/>
                <w:position w:val="8"/>
                <w:sz w:val="21"/>
                <w:szCs w:val="21"/>
                <w:highlight w:val="none"/>
                <w:u w:val="none" w:color="auto"/>
              </w:rPr>
              <w:t>3</w:t>
            </w:r>
          </w:p>
          <w:p w14:paraId="240141DD">
            <w:pPr>
              <w:keepNext w:val="0"/>
              <w:keepLines w:val="0"/>
              <w:suppressLineNumbers w:val="0"/>
              <w:spacing w:before="0" w:beforeAutospacing="0" w:after="0" w:afterAutospacing="0" w:line="156" w:lineRule="exact"/>
              <w:ind w:left="0" w:right="0"/>
              <w:rPr>
                <w:rFonts w:hint="default" w:ascii="Times New Roman" w:hAnsi="Times New Roman" w:eastAsia="宋体" w:cs="Times New Roman"/>
                <w:color w:val="auto"/>
                <w:highlight w:val="none"/>
                <w:u w:val="none" w:color="auto"/>
              </w:rPr>
            </w:pPr>
          </w:p>
          <w:tbl>
            <w:tblPr>
              <w:tblStyle w:val="143"/>
              <w:tblpPr w:leftFromText="180" w:rightFromText="180" w:vertAnchor="text" w:tblpXSpec="left"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0"/>
              <w:gridCol w:w="1256"/>
              <w:gridCol w:w="1530"/>
              <w:gridCol w:w="1355"/>
              <w:gridCol w:w="1430"/>
              <w:gridCol w:w="1538"/>
            </w:tblGrid>
            <w:tr w14:paraId="0D4B4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180" w:type="dxa"/>
                  <w:gridSpan w:val="2"/>
                  <w:vMerge w:val="restart"/>
                  <w:tcBorders>
                    <w:bottom w:val="nil"/>
                  </w:tcBorders>
                  <w:vAlign w:val="top"/>
                </w:tcPr>
                <w:p w14:paraId="309DE966">
                  <w:pPr>
                    <w:spacing w:before="36" w:line="240" w:lineRule="auto"/>
                    <w:ind w:firstLine="840" w:firstLineChars="400"/>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drawing>
                      <wp:anchor distT="0" distB="0" distL="0" distR="0" simplePos="0" relativeHeight="251664384" behindDoc="1" locked="0" layoutInCell="1" allowOverlap="1">
                        <wp:simplePos x="0" y="0"/>
                        <wp:positionH relativeFrom="column">
                          <wp:posOffset>4445</wp:posOffset>
                        </wp:positionH>
                        <wp:positionV relativeFrom="paragraph">
                          <wp:posOffset>23495</wp:posOffset>
                        </wp:positionV>
                        <wp:extent cx="1327150" cy="612775"/>
                        <wp:effectExtent l="0" t="0" r="6350" b="15875"/>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23"/>
                                <a:stretch>
                                  <a:fillRect/>
                                </a:stretch>
                              </pic:blipFill>
                              <pic:spPr>
                                <a:xfrm>
                                  <a:off x="0" y="0"/>
                                  <a:ext cx="1327150" cy="612775"/>
                                </a:xfrm>
                                <a:prstGeom prst="rect">
                                  <a:avLst/>
                                </a:prstGeom>
                              </pic:spPr>
                            </pic:pic>
                          </a:graphicData>
                        </a:graphic>
                      </wp:anchor>
                    </w:drawing>
                  </w:r>
                  <w:r>
                    <w:rPr>
                      <w:rFonts w:ascii="Times New Roman" w:hAnsi="Times New Roman" w:eastAsia="宋体" w:cs="Times New Roman"/>
                      <w:b/>
                      <w:bCs/>
                      <w:color w:val="auto"/>
                      <w:spacing w:val="4"/>
                      <w:sz w:val="21"/>
                      <w:szCs w:val="21"/>
                      <w:highlight w:val="none"/>
                      <w:u w:val="none" w:color="auto"/>
                    </w:rPr>
                    <w:t>点位及项目</w:t>
                  </w:r>
                </w:p>
                <w:p w14:paraId="070FABA9">
                  <w:pPr>
                    <w:spacing w:before="265" w:line="240" w:lineRule="auto"/>
                    <w:ind w:left="1224" w:firstLine="904" w:firstLineChars="500"/>
                    <w:rPr>
                      <w:rFonts w:ascii="Times New Roman" w:hAnsi="Times New Roman" w:eastAsia="宋体" w:cs="Times New Roman"/>
                      <w:color w:val="auto"/>
                      <w:sz w:val="21"/>
                      <w:szCs w:val="21"/>
                      <w:highlight w:val="none"/>
                      <w:u w:val="none" w:color="auto"/>
                    </w:rPr>
                  </w:pPr>
                  <w:r>
                    <w:rPr>
                      <w:rFonts w:hint="eastAsia" w:cs="Times New Roman"/>
                      <w:b/>
                      <w:bCs/>
                      <w:color w:val="auto"/>
                      <w:spacing w:val="-15"/>
                      <w:sz w:val="21"/>
                      <w:szCs w:val="21"/>
                      <w:highlight w:val="none"/>
                      <w:u w:val="none" w:color="auto"/>
                      <w:lang w:val="en-US" w:eastAsia="zh-CN"/>
                    </w:rPr>
                    <w:t xml:space="preserve"> </w:t>
                  </w:r>
                  <w:r>
                    <w:rPr>
                      <w:rFonts w:ascii="Times New Roman" w:hAnsi="Times New Roman" w:eastAsia="宋体" w:cs="Times New Roman"/>
                      <w:b/>
                      <w:bCs/>
                      <w:color w:val="auto"/>
                      <w:spacing w:val="-15"/>
                      <w:sz w:val="21"/>
                      <w:szCs w:val="21"/>
                      <w:highlight w:val="none"/>
                      <w:u w:val="none" w:color="auto"/>
                    </w:rPr>
                    <w:t>日期</w:t>
                  </w:r>
                </w:p>
              </w:tc>
              <w:tc>
                <w:tcPr>
                  <w:tcW w:w="5679" w:type="dxa"/>
                  <w:gridSpan w:val="4"/>
                  <w:vAlign w:val="center"/>
                </w:tcPr>
                <w:p w14:paraId="202917E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非甲烷总烃</w:t>
                  </w:r>
                </w:p>
              </w:tc>
            </w:tr>
            <w:tr w14:paraId="37C84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2180" w:type="dxa"/>
                  <w:gridSpan w:val="2"/>
                  <w:vMerge w:val="continue"/>
                  <w:tcBorders>
                    <w:top w:val="nil"/>
                  </w:tcBorders>
                  <w:vAlign w:val="top"/>
                </w:tcPr>
                <w:p w14:paraId="72CF0068">
                  <w:pPr>
                    <w:spacing w:line="240" w:lineRule="auto"/>
                    <w:rPr>
                      <w:rFonts w:ascii="Times New Roman" w:hAnsi="Times New Roman" w:eastAsia="宋体" w:cs="Times New Roman"/>
                      <w:color w:val="auto"/>
                      <w:sz w:val="21"/>
                      <w:szCs w:val="21"/>
                      <w:highlight w:val="none"/>
                      <w:u w:val="none" w:color="auto"/>
                    </w:rPr>
                  </w:pPr>
                </w:p>
              </w:tc>
              <w:tc>
                <w:tcPr>
                  <w:tcW w:w="1485" w:type="dxa"/>
                  <w:vAlign w:val="center"/>
                </w:tcPr>
                <w:p w14:paraId="7A1B21B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厂界上风向</w:t>
                  </w:r>
                </w:p>
              </w:tc>
              <w:tc>
                <w:tcPr>
                  <w:tcW w:w="1315" w:type="dxa"/>
                  <w:vAlign w:val="center"/>
                </w:tcPr>
                <w:p w14:paraId="1D9EB5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厂界下风向1</w:t>
                  </w:r>
                </w:p>
              </w:tc>
              <w:tc>
                <w:tcPr>
                  <w:tcW w:w="1388" w:type="dxa"/>
                  <w:vAlign w:val="center"/>
                </w:tcPr>
                <w:p w14:paraId="605559C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厂界下风向2</w:t>
                  </w:r>
                </w:p>
              </w:tc>
              <w:tc>
                <w:tcPr>
                  <w:tcW w:w="1491" w:type="dxa"/>
                  <w:vAlign w:val="center"/>
                </w:tcPr>
                <w:p w14:paraId="2EB726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厂界下风向3</w:t>
                  </w:r>
                </w:p>
              </w:tc>
            </w:tr>
            <w:tr w14:paraId="30E45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61" w:type="dxa"/>
                  <w:vMerge w:val="restart"/>
                  <w:tcBorders>
                    <w:bottom w:val="nil"/>
                  </w:tcBorders>
                  <w:vAlign w:val="center"/>
                </w:tcPr>
                <w:p w14:paraId="269F65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pacing w:val="-5"/>
                      <w:sz w:val="21"/>
                      <w:szCs w:val="21"/>
                      <w:highlight w:val="none"/>
                      <w:u w:val="none" w:color="auto"/>
                      <w:lang w:val="en-US" w:eastAsia="zh-CN"/>
                    </w:rPr>
                    <w:t>2024年</w:t>
                  </w:r>
                  <w:r>
                    <w:rPr>
                      <w:rFonts w:ascii="Times New Roman" w:hAnsi="Times New Roman" w:eastAsia="宋体" w:cs="Times New Roman"/>
                      <w:color w:val="auto"/>
                      <w:spacing w:val="-5"/>
                      <w:sz w:val="21"/>
                      <w:szCs w:val="21"/>
                      <w:highlight w:val="none"/>
                      <w:u w:val="none" w:color="auto"/>
                    </w:rPr>
                    <w:t>10月16日</w:t>
                  </w:r>
                </w:p>
              </w:tc>
              <w:tc>
                <w:tcPr>
                  <w:tcW w:w="1219" w:type="dxa"/>
                  <w:vAlign w:val="center"/>
                </w:tcPr>
                <w:p w14:paraId="545DB30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第一时段</w:t>
                  </w:r>
                </w:p>
              </w:tc>
              <w:tc>
                <w:tcPr>
                  <w:tcW w:w="1485" w:type="dxa"/>
                  <w:vAlign w:val="center"/>
                </w:tcPr>
                <w:p w14:paraId="4263517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0.49</w:t>
                  </w:r>
                </w:p>
              </w:tc>
              <w:tc>
                <w:tcPr>
                  <w:tcW w:w="1315" w:type="dxa"/>
                  <w:vAlign w:val="center"/>
                </w:tcPr>
                <w:p w14:paraId="56B11D9E">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0.58</w:t>
                  </w:r>
                </w:p>
              </w:tc>
              <w:tc>
                <w:tcPr>
                  <w:tcW w:w="1388" w:type="dxa"/>
                  <w:vAlign w:val="center"/>
                </w:tcPr>
                <w:p w14:paraId="19AAB8D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0.62</w:t>
                  </w:r>
                </w:p>
              </w:tc>
              <w:tc>
                <w:tcPr>
                  <w:tcW w:w="1491" w:type="dxa"/>
                  <w:vAlign w:val="center"/>
                </w:tcPr>
                <w:p w14:paraId="1D17D7A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0.65</w:t>
                  </w:r>
                </w:p>
              </w:tc>
            </w:tr>
            <w:tr w14:paraId="140AB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61" w:type="dxa"/>
                  <w:vMerge w:val="continue"/>
                  <w:tcBorders>
                    <w:top w:val="nil"/>
                    <w:bottom w:val="nil"/>
                  </w:tcBorders>
                  <w:vAlign w:val="center"/>
                </w:tcPr>
                <w:p w14:paraId="6B0A5D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26EB18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第二时段</w:t>
                  </w:r>
                </w:p>
              </w:tc>
              <w:tc>
                <w:tcPr>
                  <w:tcW w:w="1485" w:type="dxa"/>
                  <w:vAlign w:val="center"/>
                </w:tcPr>
                <w:p w14:paraId="3D0E655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0.47</w:t>
                  </w:r>
                </w:p>
              </w:tc>
              <w:tc>
                <w:tcPr>
                  <w:tcW w:w="1315" w:type="dxa"/>
                  <w:vAlign w:val="center"/>
                </w:tcPr>
                <w:p w14:paraId="777D20D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0.53</w:t>
                  </w:r>
                </w:p>
              </w:tc>
              <w:tc>
                <w:tcPr>
                  <w:tcW w:w="1388" w:type="dxa"/>
                  <w:vAlign w:val="center"/>
                </w:tcPr>
                <w:p w14:paraId="1E09498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0.59</w:t>
                  </w:r>
                </w:p>
              </w:tc>
              <w:tc>
                <w:tcPr>
                  <w:tcW w:w="1491" w:type="dxa"/>
                  <w:vAlign w:val="center"/>
                </w:tcPr>
                <w:p w14:paraId="2B72BAF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0.62</w:t>
                  </w:r>
                </w:p>
              </w:tc>
            </w:tr>
            <w:tr w14:paraId="118F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61" w:type="dxa"/>
                  <w:vMerge w:val="continue"/>
                  <w:tcBorders>
                    <w:top w:val="nil"/>
                    <w:bottom w:val="nil"/>
                  </w:tcBorders>
                  <w:vAlign w:val="center"/>
                </w:tcPr>
                <w:p w14:paraId="0A0346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126321A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第三时段</w:t>
                  </w:r>
                </w:p>
              </w:tc>
              <w:tc>
                <w:tcPr>
                  <w:tcW w:w="1485" w:type="dxa"/>
                  <w:vAlign w:val="center"/>
                </w:tcPr>
                <w:p w14:paraId="278BBD6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0.44</w:t>
                  </w:r>
                </w:p>
              </w:tc>
              <w:tc>
                <w:tcPr>
                  <w:tcW w:w="1315" w:type="dxa"/>
                  <w:vAlign w:val="center"/>
                </w:tcPr>
                <w:p w14:paraId="58EC2691">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0.6</w:t>
                  </w:r>
                </w:p>
              </w:tc>
              <w:tc>
                <w:tcPr>
                  <w:tcW w:w="1388" w:type="dxa"/>
                  <w:vAlign w:val="center"/>
                </w:tcPr>
                <w:p w14:paraId="786829F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0.62</w:t>
                  </w:r>
                </w:p>
              </w:tc>
              <w:tc>
                <w:tcPr>
                  <w:tcW w:w="1491" w:type="dxa"/>
                  <w:vAlign w:val="center"/>
                </w:tcPr>
                <w:p w14:paraId="5B052063">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0.63</w:t>
                  </w:r>
                </w:p>
              </w:tc>
            </w:tr>
            <w:tr w14:paraId="3B7B4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61" w:type="dxa"/>
                  <w:vMerge w:val="continue"/>
                  <w:tcBorders>
                    <w:top w:val="nil"/>
                  </w:tcBorders>
                  <w:vAlign w:val="center"/>
                </w:tcPr>
                <w:p w14:paraId="3E2B7D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737657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第四时段</w:t>
                  </w:r>
                </w:p>
              </w:tc>
              <w:tc>
                <w:tcPr>
                  <w:tcW w:w="1485" w:type="dxa"/>
                  <w:vAlign w:val="center"/>
                </w:tcPr>
                <w:p w14:paraId="62FEB0A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0.43</w:t>
                  </w:r>
                </w:p>
              </w:tc>
              <w:tc>
                <w:tcPr>
                  <w:tcW w:w="1315" w:type="dxa"/>
                  <w:vAlign w:val="center"/>
                </w:tcPr>
                <w:p w14:paraId="04DA9D8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0.51</w:t>
                  </w:r>
                </w:p>
              </w:tc>
              <w:tc>
                <w:tcPr>
                  <w:tcW w:w="1388" w:type="dxa"/>
                  <w:vAlign w:val="center"/>
                </w:tcPr>
                <w:p w14:paraId="62B063CB">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0.6</w:t>
                  </w:r>
                </w:p>
              </w:tc>
              <w:tc>
                <w:tcPr>
                  <w:tcW w:w="1491" w:type="dxa"/>
                  <w:vAlign w:val="center"/>
                </w:tcPr>
                <w:p w14:paraId="308CB13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0.68</w:t>
                  </w:r>
                </w:p>
              </w:tc>
            </w:tr>
            <w:tr w14:paraId="5B51B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61" w:type="dxa"/>
                  <w:vMerge w:val="restart"/>
                  <w:tcBorders>
                    <w:bottom w:val="nil"/>
                  </w:tcBorders>
                  <w:vAlign w:val="center"/>
                </w:tcPr>
                <w:p w14:paraId="20000A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pacing w:val="-5"/>
                      <w:sz w:val="21"/>
                      <w:szCs w:val="21"/>
                      <w:highlight w:val="none"/>
                      <w:u w:val="none" w:color="auto"/>
                      <w:lang w:val="en-US" w:eastAsia="zh-CN"/>
                    </w:rPr>
                    <w:t>2024年</w:t>
                  </w:r>
                  <w:r>
                    <w:rPr>
                      <w:rFonts w:ascii="Times New Roman" w:hAnsi="Times New Roman" w:eastAsia="宋体" w:cs="Times New Roman"/>
                      <w:color w:val="auto"/>
                      <w:spacing w:val="-5"/>
                      <w:sz w:val="21"/>
                      <w:szCs w:val="21"/>
                      <w:highlight w:val="none"/>
                      <w:u w:val="none" w:color="auto"/>
                    </w:rPr>
                    <w:t>10月17日</w:t>
                  </w:r>
                </w:p>
              </w:tc>
              <w:tc>
                <w:tcPr>
                  <w:tcW w:w="1219" w:type="dxa"/>
                  <w:vAlign w:val="center"/>
                </w:tcPr>
                <w:p w14:paraId="417429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第一时段</w:t>
                  </w:r>
                </w:p>
              </w:tc>
              <w:tc>
                <w:tcPr>
                  <w:tcW w:w="1485" w:type="dxa"/>
                  <w:vAlign w:val="center"/>
                </w:tcPr>
                <w:p w14:paraId="120ACA4C">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0.48</w:t>
                  </w:r>
                </w:p>
              </w:tc>
              <w:tc>
                <w:tcPr>
                  <w:tcW w:w="1315" w:type="dxa"/>
                  <w:vAlign w:val="center"/>
                </w:tcPr>
                <w:p w14:paraId="412FF54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0.59</w:t>
                  </w:r>
                </w:p>
              </w:tc>
              <w:tc>
                <w:tcPr>
                  <w:tcW w:w="1388" w:type="dxa"/>
                  <w:vAlign w:val="center"/>
                </w:tcPr>
                <w:p w14:paraId="7EC4A11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0.61</w:t>
                  </w:r>
                </w:p>
              </w:tc>
              <w:tc>
                <w:tcPr>
                  <w:tcW w:w="1491" w:type="dxa"/>
                  <w:vAlign w:val="center"/>
                </w:tcPr>
                <w:p w14:paraId="355861E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0.62</w:t>
                  </w:r>
                </w:p>
              </w:tc>
            </w:tr>
            <w:tr w14:paraId="7BE7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61" w:type="dxa"/>
                  <w:vMerge w:val="continue"/>
                  <w:tcBorders>
                    <w:top w:val="nil"/>
                    <w:bottom w:val="nil"/>
                  </w:tcBorders>
                  <w:vAlign w:val="center"/>
                </w:tcPr>
                <w:p w14:paraId="7384D9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07EB4C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第二时段</w:t>
                  </w:r>
                </w:p>
              </w:tc>
              <w:tc>
                <w:tcPr>
                  <w:tcW w:w="1485" w:type="dxa"/>
                  <w:vAlign w:val="center"/>
                </w:tcPr>
                <w:p w14:paraId="1156DCCD">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0.47</w:t>
                  </w:r>
                </w:p>
              </w:tc>
              <w:tc>
                <w:tcPr>
                  <w:tcW w:w="1315" w:type="dxa"/>
                  <w:vAlign w:val="center"/>
                </w:tcPr>
                <w:p w14:paraId="5655568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0.57</w:t>
                  </w:r>
                </w:p>
              </w:tc>
              <w:tc>
                <w:tcPr>
                  <w:tcW w:w="1388" w:type="dxa"/>
                  <w:vAlign w:val="center"/>
                </w:tcPr>
                <w:p w14:paraId="0F9420B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0.64</w:t>
                  </w:r>
                </w:p>
              </w:tc>
              <w:tc>
                <w:tcPr>
                  <w:tcW w:w="1491" w:type="dxa"/>
                  <w:vAlign w:val="center"/>
                </w:tcPr>
                <w:p w14:paraId="035A39C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0.65</w:t>
                  </w:r>
                </w:p>
              </w:tc>
            </w:tr>
            <w:tr w14:paraId="395DA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61" w:type="dxa"/>
                  <w:vMerge w:val="continue"/>
                  <w:tcBorders>
                    <w:top w:val="nil"/>
                    <w:bottom w:val="nil"/>
                  </w:tcBorders>
                  <w:vAlign w:val="center"/>
                </w:tcPr>
                <w:p w14:paraId="065C7E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1F3BF54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第三时段</w:t>
                  </w:r>
                </w:p>
              </w:tc>
              <w:tc>
                <w:tcPr>
                  <w:tcW w:w="1485" w:type="dxa"/>
                  <w:vAlign w:val="center"/>
                </w:tcPr>
                <w:p w14:paraId="2DBAD01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0.47</w:t>
                  </w:r>
                </w:p>
              </w:tc>
              <w:tc>
                <w:tcPr>
                  <w:tcW w:w="1315" w:type="dxa"/>
                  <w:vAlign w:val="center"/>
                </w:tcPr>
                <w:p w14:paraId="4B718BDD">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0.58</w:t>
                  </w:r>
                </w:p>
              </w:tc>
              <w:tc>
                <w:tcPr>
                  <w:tcW w:w="1388" w:type="dxa"/>
                  <w:vAlign w:val="center"/>
                </w:tcPr>
                <w:p w14:paraId="5972783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0.62</w:t>
                  </w:r>
                </w:p>
              </w:tc>
              <w:tc>
                <w:tcPr>
                  <w:tcW w:w="1491" w:type="dxa"/>
                  <w:vAlign w:val="center"/>
                </w:tcPr>
                <w:p w14:paraId="091E97D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0.62</w:t>
                  </w:r>
                </w:p>
              </w:tc>
            </w:tr>
            <w:tr w14:paraId="2CCAE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961" w:type="dxa"/>
                  <w:vMerge w:val="continue"/>
                  <w:tcBorders>
                    <w:top w:val="nil"/>
                  </w:tcBorders>
                  <w:vAlign w:val="center"/>
                </w:tcPr>
                <w:p w14:paraId="302E23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2E97D1F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第四时段</w:t>
                  </w:r>
                </w:p>
              </w:tc>
              <w:tc>
                <w:tcPr>
                  <w:tcW w:w="1485" w:type="dxa"/>
                  <w:vAlign w:val="center"/>
                </w:tcPr>
                <w:p w14:paraId="78059C9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0.45</w:t>
                  </w:r>
                </w:p>
              </w:tc>
              <w:tc>
                <w:tcPr>
                  <w:tcW w:w="1315" w:type="dxa"/>
                  <w:vAlign w:val="center"/>
                </w:tcPr>
                <w:p w14:paraId="1C9B75C9">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0.59</w:t>
                  </w:r>
                </w:p>
              </w:tc>
              <w:tc>
                <w:tcPr>
                  <w:tcW w:w="1388" w:type="dxa"/>
                  <w:vAlign w:val="center"/>
                </w:tcPr>
                <w:p w14:paraId="44ECBE29">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0.63</w:t>
                  </w:r>
                </w:p>
              </w:tc>
              <w:tc>
                <w:tcPr>
                  <w:tcW w:w="1491" w:type="dxa"/>
                  <w:vAlign w:val="center"/>
                </w:tcPr>
                <w:p w14:paraId="7123558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0.63</w:t>
                  </w:r>
                </w:p>
              </w:tc>
            </w:tr>
            <w:tr w14:paraId="7ED95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61" w:type="dxa"/>
                  <w:vMerge w:val="restart"/>
                  <w:tcBorders>
                    <w:bottom w:val="nil"/>
                  </w:tcBorders>
                  <w:vAlign w:val="center"/>
                </w:tcPr>
                <w:p w14:paraId="4AB872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pacing w:val="-5"/>
                      <w:sz w:val="21"/>
                      <w:szCs w:val="21"/>
                      <w:highlight w:val="none"/>
                      <w:u w:val="none" w:color="auto"/>
                      <w:lang w:val="en-US" w:eastAsia="zh-CN"/>
                    </w:rPr>
                    <w:t>2024年</w:t>
                  </w:r>
                  <w:r>
                    <w:rPr>
                      <w:rFonts w:ascii="Times New Roman" w:hAnsi="Times New Roman" w:eastAsia="宋体" w:cs="Times New Roman"/>
                      <w:color w:val="auto"/>
                      <w:spacing w:val="-5"/>
                      <w:sz w:val="21"/>
                      <w:szCs w:val="21"/>
                      <w:highlight w:val="none"/>
                      <w:u w:val="none" w:color="auto"/>
                    </w:rPr>
                    <w:t>10月18日</w:t>
                  </w:r>
                </w:p>
              </w:tc>
              <w:tc>
                <w:tcPr>
                  <w:tcW w:w="1219" w:type="dxa"/>
                  <w:vAlign w:val="center"/>
                </w:tcPr>
                <w:p w14:paraId="4482C8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第一时段</w:t>
                  </w:r>
                </w:p>
              </w:tc>
              <w:tc>
                <w:tcPr>
                  <w:tcW w:w="1485" w:type="dxa"/>
                  <w:vAlign w:val="center"/>
                </w:tcPr>
                <w:p w14:paraId="76D13AFC">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0.45</w:t>
                  </w:r>
                </w:p>
              </w:tc>
              <w:tc>
                <w:tcPr>
                  <w:tcW w:w="1315" w:type="dxa"/>
                  <w:vAlign w:val="center"/>
                </w:tcPr>
                <w:p w14:paraId="5FFE3C0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0.57</w:t>
                  </w:r>
                </w:p>
              </w:tc>
              <w:tc>
                <w:tcPr>
                  <w:tcW w:w="1388" w:type="dxa"/>
                  <w:vAlign w:val="center"/>
                </w:tcPr>
                <w:p w14:paraId="3A857BE0">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0.6</w:t>
                  </w:r>
                </w:p>
              </w:tc>
              <w:tc>
                <w:tcPr>
                  <w:tcW w:w="1491" w:type="dxa"/>
                  <w:vAlign w:val="center"/>
                </w:tcPr>
                <w:p w14:paraId="7EC2E221">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0.61</w:t>
                  </w:r>
                </w:p>
              </w:tc>
            </w:tr>
            <w:tr w14:paraId="1905C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61" w:type="dxa"/>
                  <w:vMerge w:val="continue"/>
                  <w:tcBorders>
                    <w:top w:val="nil"/>
                    <w:bottom w:val="nil"/>
                  </w:tcBorders>
                  <w:vAlign w:val="top"/>
                </w:tcPr>
                <w:p w14:paraId="6E0B5A23">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2AF2A67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第二时段</w:t>
                  </w:r>
                </w:p>
              </w:tc>
              <w:tc>
                <w:tcPr>
                  <w:tcW w:w="1485" w:type="dxa"/>
                  <w:vAlign w:val="center"/>
                </w:tcPr>
                <w:p w14:paraId="60047EE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0.43</w:t>
                  </w:r>
                </w:p>
              </w:tc>
              <w:tc>
                <w:tcPr>
                  <w:tcW w:w="1315" w:type="dxa"/>
                  <w:vAlign w:val="center"/>
                </w:tcPr>
                <w:p w14:paraId="1620620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0.59</w:t>
                  </w:r>
                </w:p>
              </w:tc>
              <w:tc>
                <w:tcPr>
                  <w:tcW w:w="1388" w:type="dxa"/>
                  <w:vAlign w:val="center"/>
                </w:tcPr>
                <w:p w14:paraId="2B32234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0.63</w:t>
                  </w:r>
                </w:p>
              </w:tc>
              <w:tc>
                <w:tcPr>
                  <w:tcW w:w="1491" w:type="dxa"/>
                  <w:vAlign w:val="center"/>
                </w:tcPr>
                <w:p w14:paraId="53336D3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0.64</w:t>
                  </w:r>
                </w:p>
              </w:tc>
            </w:tr>
            <w:tr w14:paraId="3C9F6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61" w:type="dxa"/>
                  <w:vMerge w:val="continue"/>
                  <w:tcBorders>
                    <w:top w:val="nil"/>
                    <w:bottom w:val="nil"/>
                  </w:tcBorders>
                  <w:vAlign w:val="top"/>
                </w:tcPr>
                <w:p w14:paraId="799C1A96">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667C50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第三时段</w:t>
                  </w:r>
                </w:p>
              </w:tc>
              <w:tc>
                <w:tcPr>
                  <w:tcW w:w="1485" w:type="dxa"/>
                  <w:vAlign w:val="center"/>
                </w:tcPr>
                <w:p w14:paraId="131F67D4">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0.44</w:t>
                  </w:r>
                </w:p>
              </w:tc>
              <w:tc>
                <w:tcPr>
                  <w:tcW w:w="1315" w:type="dxa"/>
                  <w:vAlign w:val="center"/>
                </w:tcPr>
                <w:p w14:paraId="11DC55FF">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0.57</w:t>
                  </w:r>
                </w:p>
              </w:tc>
              <w:tc>
                <w:tcPr>
                  <w:tcW w:w="1388" w:type="dxa"/>
                  <w:vAlign w:val="center"/>
                </w:tcPr>
                <w:p w14:paraId="52869700">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0.65</w:t>
                  </w:r>
                </w:p>
              </w:tc>
              <w:tc>
                <w:tcPr>
                  <w:tcW w:w="1491" w:type="dxa"/>
                  <w:vAlign w:val="center"/>
                </w:tcPr>
                <w:p w14:paraId="54040815">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0.65</w:t>
                  </w:r>
                </w:p>
              </w:tc>
            </w:tr>
            <w:tr w14:paraId="4F1AF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61" w:type="dxa"/>
                  <w:vMerge w:val="continue"/>
                  <w:tcBorders>
                    <w:top w:val="nil"/>
                  </w:tcBorders>
                  <w:vAlign w:val="top"/>
                </w:tcPr>
                <w:p w14:paraId="12A6103D">
                  <w:pPr>
                    <w:keepNext w:val="0"/>
                    <w:keepLines w:val="0"/>
                    <w:pageBreakBefore w:val="0"/>
                    <w:widowControl w:val="0"/>
                    <w:kinsoku/>
                    <w:wordWrap/>
                    <w:overflowPunct/>
                    <w:topLinePunct w:val="0"/>
                    <w:autoSpaceDE/>
                    <w:autoSpaceDN/>
                    <w:bidi w:val="0"/>
                    <w:adjustRightInd/>
                    <w:snapToGrid/>
                    <w:spacing w:line="240" w:lineRule="auto"/>
                    <w:ind w:left="0"/>
                    <w:textAlignment w:val="auto"/>
                    <w:rPr>
                      <w:rFonts w:ascii="Times New Roman" w:hAnsi="Times New Roman" w:eastAsia="宋体" w:cs="Times New Roman"/>
                      <w:color w:val="auto"/>
                      <w:sz w:val="21"/>
                      <w:szCs w:val="21"/>
                      <w:highlight w:val="none"/>
                      <w:u w:val="none" w:color="auto"/>
                    </w:rPr>
                  </w:pPr>
                </w:p>
              </w:tc>
              <w:tc>
                <w:tcPr>
                  <w:tcW w:w="1219" w:type="dxa"/>
                  <w:vAlign w:val="center"/>
                </w:tcPr>
                <w:p w14:paraId="1C60131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第四时段</w:t>
                  </w:r>
                </w:p>
              </w:tc>
              <w:tc>
                <w:tcPr>
                  <w:tcW w:w="1485" w:type="dxa"/>
                  <w:vAlign w:val="center"/>
                </w:tcPr>
                <w:p w14:paraId="4CA0CA2E">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0.46</w:t>
                  </w:r>
                </w:p>
              </w:tc>
              <w:tc>
                <w:tcPr>
                  <w:tcW w:w="1315" w:type="dxa"/>
                  <w:vAlign w:val="center"/>
                </w:tcPr>
                <w:p w14:paraId="352CA364">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0.55</w:t>
                  </w:r>
                </w:p>
              </w:tc>
              <w:tc>
                <w:tcPr>
                  <w:tcW w:w="1388" w:type="dxa"/>
                  <w:vAlign w:val="center"/>
                </w:tcPr>
                <w:p w14:paraId="510E8F22">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0.61</w:t>
                  </w:r>
                </w:p>
              </w:tc>
              <w:tc>
                <w:tcPr>
                  <w:tcW w:w="1491" w:type="dxa"/>
                  <w:vAlign w:val="center"/>
                </w:tcPr>
                <w:p w14:paraId="594A51C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0.63</w:t>
                  </w:r>
                </w:p>
              </w:tc>
            </w:tr>
            <w:tr w14:paraId="1D7DB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180" w:type="dxa"/>
                  <w:gridSpan w:val="2"/>
                  <w:vAlign w:val="center"/>
                </w:tcPr>
                <w:p w14:paraId="27B3EEE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0"/>
                      <w:sz w:val="21"/>
                      <w:szCs w:val="21"/>
                      <w:highlight w:val="none"/>
                      <w:u w:val="none" w:color="auto"/>
                    </w:rPr>
                    <w:t>最大监测值（</w:t>
                  </w:r>
                  <w:r>
                    <w:rPr>
                      <w:rFonts w:ascii="Times New Roman" w:hAnsi="Times New Roman" w:eastAsia="宋体" w:cs="Times New Roman"/>
                      <w:color w:val="auto"/>
                      <w:sz w:val="21"/>
                      <w:szCs w:val="21"/>
                      <w:highlight w:val="none"/>
                      <w:u w:val="none" w:color="auto"/>
                    </w:rPr>
                    <w:t>Cmax</w:t>
                  </w:r>
                  <w:r>
                    <w:rPr>
                      <w:rFonts w:ascii="Times New Roman" w:hAnsi="Times New Roman" w:eastAsia="宋体" w:cs="Times New Roman"/>
                      <w:color w:val="auto"/>
                      <w:spacing w:val="10"/>
                      <w:sz w:val="21"/>
                      <w:szCs w:val="21"/>
                      <w:highlight w:val="none"/>
                      <w:u w:val="none" w:color="auto"/>
                    </w:rPr>
                    <w:t>）</w:t>
                  </w:r>
                </w:p>
              </w:tc>
              <w:tc>
                <w:tcPr>
                  <w:tcW w:w="1485" w:type="dxa"/>
                  <w:vAlign w:val="center"/>
                </w:tcPr>
                <w:p w14:paraId="3118D297">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0.49</w:t>
                  </w:r>
                </w:p>
              </w:tc>
              <w:tc>
                <w:tcPr>
                  <w:tcW w:w="1315" w:type="dxa"/>
                  <w:vAlign w:val="center"/>
                </w:tcPr>
                <w:p w14:paraId="50671BC1">
                  <w:pPr>
                    <w:keepNext w:val="0"/>
                    <w:keepLines w:val="0"/>
                    <w:pageBreakBefore w:val="0"/>
                    <w:widowControl w:val="0"/>
                    <w:kinsoku/>
                    <w:wordWrap/>
                    <w:overflowPunct/>
                    <w:topLinePunct w:val="0"/>
                    <w:autoSpaceDE/>
                    <w:autoSpaceDN/>
                    <w:bidi w:val="0"/>
                    <w:adjustRightInd/>
                    <w:snapToGrid/>
                    <w:spacing w:line="240" w:lineRule="auto"/>
                    <w:ind w:left="712" w:leftChars="0" w:hanging="712"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0.6</w:t>
                  </w:r>
                </w:p>
              </w:tc>
              <w:tc>
                <w:tcPr>
                  <w:tcW w:w="1388" w:type="dxa"/>
                  <w:vAlign w:val="center"/>
                </w:tcPr>
                <w:p w14:paraId="2F611266">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0.65</w:t>
                  </w:r>
                </w:p>
              </w:tc>
              <w:tc>
                <w:tcPr>
                  <w:tcW w:w="1491" w:type="dxa"/>
                  <w:vAlign w:val="center"/>
                </w:tcPr>
                <w:p w14:paraId="17EE8E08">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0.68</w:t>
                  </w:r>
                </w:p>
              </w:tc>
            </w:tr>
            <w:tr w14:paraId="6806C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2180" w:type="dxa"/>
                  <w:gridSpan w:val="2"/>
                  <w:vAlign w:val="center"/>
                </w:tcPr>
                <w:p w14:paraId="6B639E3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标准值（</w:t>
                  </w:r>
                  <w:r>
                    <w:rPr>
                      <w:rFonts w:ascii="Times New Roman" w:hAnsi="Times New Roman" w:eastAsia="宋体" w:cs="Times New Roman"/>
                      <w:color w:val="auto"/>
                      <w:sz w:val="21"/>
                      <w:szCs w:val="21"/>
                      <w:highlight w:val="none"/>
                      <w:u w:val="none" w:color="auto"/>
                    </w:rPr>
                    <w:t>Sj</w:t>
                  </w:r>
                  <w:r>
                    <w:rPr>
                      <w:rFonts w:ascii="Times New Roman" w:hAnsi="Times New Roman" w:eastAsia="宋体" w:cs="Times New Roman"/>
                      <w:color w:val="auto"/>
                      <w:spacing w:val="7"/>
                      <w:sz w:val="21"/>
                      <w:szCs w:val="21"/>
                      <w:highlight w:val="none"/>
                      <w:u w:val="none" w:color="auto"/>
                    </w:rPr>
                    <w:t>）</w:t>
                  </w:r>
                </w:p>
              </w:tc>
              <w:tc>
                <w:tcPr>
                  <w:tcW w:w="1485" w:type="dxa"/>
                  <w:vAlign w:val="center"/>
                </w:tcPr>
                <w:p w14:paraId="64171548">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w:t>
                  </w:r>
                </w:p>
              </w:tc>
              <w:tc>
                <w:tcPr>
                  <w:tcW w:w="1315" w:type="dxa"/>
                  <w:vAlign w:val="center"/>
                </w:tcPr>
                <w:p w14:paraId="7D3F3900">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w:t>
                  </w:r>
                </w:p>
              </w:tc>
              <w:tc>
                <w:tcPr>
                  <w:tcW w:w="1388" w:type="dxa"/>
                  <w:vAlign w:val="center"/>
                </w:tcPr>
                <w:p w14:paraId="49F574AE">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w:t>
                  </w:r>
                </w:p>
              </w:tc>
              <w:tc>
                <w:tcPr>
                  <w:tcW w:w="1491" w:type="dxa"/>
                  <w:vAlign w:val="center"/>
                </w:tcPr>
                <w:p w14:paraId="388B7491">
                  <w:pPr>
                    <w:keepNext w:val="0"/>
                    <w:keepLines w:val="0"/>
                    <w:pageBreakBefore w:val="0"/>
                    <w:widowControl w:val="0"/>
                    <w:kinsoku/>
                    <w:wordWrap/>
                    <w:overflowPunct/>
                    <w:topLinePunct w:val="0"/>
                    <w:autoSpaceDE/>
                    <w:autoSpaceDN/>
                    <w:bidi w:val="0"/>
                    <w:adjustRightInd/>
                    <w:snapToGrid/>
                    <w:spacing w:line="240" w:lineRule="auto"/>
                    <w:ind w:left="705" w:leftChars="0" w:hanging="705"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w:t>
                  </w:r>
                </w:p>
              </w:tc>
            </w:tr>
            <w:tr w14:paraId="5CD37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180" w:type="dxa"/>
                  <w:gridSpan w:val="2"/>
                  <w:vAlign w:val="center"/>
                </w:tcPr>
                <w:p w14:paraId="661DDF9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Cmax/Sj</w:t>
                  </w:r>
                </w:p>
              </w:tc>
              <w:tc>
                <w:tcPr>
                  <w:tcW w:w="1485" w:type="dxa"/>
                  <w:vAlign w:val="center"/>
                </w:tcPr>
                <w:p w14:paraId="1A0EE453">
                  <w:pPr>
                    <w:keepNext w:val="0"/>
                    <w:keepLines w:val="0"/>
                    <w:pageBreakBefore w:val="0"/>
                    <w:widowControl w:val="0"/>
                    <w:kinsoku/>
                    <w:wordWrap/>
                    <w:overflowPunct/>
                    <w:topLinePunct w:val="0"/>
                    <w:autoSpaceDE/>
                    <w:autoSpaceDN/>
                    <w:bidi w:val="0"/>
                    <w:adjustRightInd/>
                    <w:snapToGrid/>
                    <w:spacing w:line="240" w:lineRule="auto"/>
                    <w:ind w:left="725" w:leftChars="0" w:hanging="725"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0.098</w:t>
                  </w:r>
                </w:p>
              </w:tc>
              <w:tc>
                <w:tcPr>
                  <w:tcW w:w="1315" w:type="dxa"/>
                  <w:vAlign w:val="center"/>
                </w:tcPr>
                <w:p w14:paraId="37BD4303">
                  <w:pPr>
                    <w:keepNext w:val="0"/>
                    <w:keepLines w:val="0"/>
                    <w:pageBreakBefore w:val="0"/>
                    <w:widowControl w:val="0"/>
                    <w:kinsoku/>
                    <w:wordWrap/>
                    <w:overflowPunct/>
                    <w:topLinePunct w:val="0"/>
                    <w:autoSpaceDE/>
                    <w:autoSpaceDN/>
                    <w:bidi w:val="0"/>
                    <w:adjustRightInd/>
                    <w:snapToGrid/>
                    <w:spacing w:line="240" w:lineRule="auto"/>
                    <w:ind w:left="678" w:leftChars="0" w:hanging="678"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0.12</w:t>
                  </w:r>
                </w:p>
              </w:tc>
              <w:tc>
                <w:tcPr>
                  <w:tcW w:w="1388" w:type="dxa"/>
                  <w:vAlign w:val="center"/>
                </w:tcPr>
                <w:p w14:paraId="11A1653B">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0.13</w:t>
                  </w:r>
                </w:p>
              </w:tc>
              <w:tc>
                <w:tcPr>
                  <w:tcW w:w="1491" w:type="dxa"/>
                  <w:vAlign w:val="center"/>
                </w:tcPr>
                <w:p w14:paraId="5CCFB60A">
                  <w:pPr>
                    <w:keepNext w:val="0"/>
                    <w:keepLines w:val="0"/>
                    <w:pageBreakBefore w:val="0"/>
                    <w:widowControl w:val="0"/>
                    <w:kinsoku/>
                    <w:wordWrap/>
                    <w:overflowPunct/>
                    <w:topLinePunct w:val="0"/>
                    <w:autoSpaceDE/>
                    <w:autoSpaceDN/>
                    <w:bidi w:val="0"/>
                    <w:adjustRightInd/>
                    <w:snapToGrid/>
                    <w:spacing w:line="240" w:lineRule="auto"/>
                    <w:ind w:left="719" w:leftChars="0" w:hanging="719" w:hangingChars="336"/>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0.136</w:t>
                  </w:r>
                </w:p>
              </w:tc>
            </w:tr>
          </w:tbl>
          <w:p w14:paraId="52C875E1">
            <w:pPr>
              <w:pStyle w:val="5"/>
              <w:keepNext/>
              <w:keepLines/>
              <w:pageBreakBefore w:val="0"/>
              <w:widowControl w:val="0"/>
              <w:suppressLineNumbers w:val="0"/>
              <w:kinsoku/>
              <w:wordWrap/>
              <w:overflowPunct/>
              <w:topLinePunct w:val="0"/>
              <w:autoSpaceDE/>
              <w:autoSpaceDN/>
              <w:bidi w:val="0"/>
              <w:adjustRightInd/>
              <w:snapToGrid/>
              <w:spacing w:before="0" w:beforeLines="0" w:after="0" w:afterLines="0" w:line="360" w:lineRule="auto"/>
              <w:ind w:left="0" w:right="0" w:firstLine="492" w:firstLineChars="200"/>
              <w:textAlignment w:val="auto"/>
              <w:rPr>
                <w:rFonts w:hint="default" w:ascii="Times New Roman" w:hAnsi="Times New Roman" w:eastAsia="宋体" w:cs="Times New Roman"/>
                <w:b w:val="0"/>
                <w:color w:val="auto"/>
                <w:spacing w:val="3"/>
                <w:kern w:val="0"/>
                <w:sz w:val="24"/>
                <w:szCs w:val="24"/>
                <w:highlight w:val="none"/>
                <w:u w:val="none" w:color="auto"/>
                <w:lang w:val="en-US" w:eastAsia="zh-CN" w:bidi="ar-SA"/>
              </w:rPr>
            </w:pPr>
            <w:r>
              <w:rPr>
                <w:rFonts w:hint="eastAsia" w:ascii="Times New Roman" w:hAnsi="Times New Roman" w:eastAsia="宋体" w:cs="Times New Roman"/>
                <w:b w:val="0"/>
                <w:color w:val="auto"/>
                <w:spacing w:val="3"/>
                <w:kern w:val="0"/>
                <w:sz w:val="24"/>
                <w:szCs w:val="24"/>
                <w:highlight w:val="none"/>
                <w:u w:val="none" w:color="auto"/>
                <w:lang w:val="en-US" w:eastAsia="zh-CN" w:bidi="ar-SA"/>
              </w:rPr>
              <w:t>根据上表数据，</w:t>
            </w:r>
            <w:r>
              <w:rPr>
                <w:rFonts w:hint="default" w:ascii="Times New Roman" w:hAnsi="Times New Roman" w:eastAsia="宋体" w:cs="Times New Roman"/>
                <w:b w:val="0"/>
                <w:color w:val="auto"/>
                <w:spacing w:val="3"/>
                <w:kern w:val="0"/>
                <w:sz w:val="24"/>
                <w:szCs w:val="24"/>
                <w:highlight w:val="none"/>
                <w:u w:val="none" w:color="auto"/>
                <w:lang w:val="en-US" w:eastAsia="zh-CN" w:bidi="ar-SA"/>
              </w:rPr>
              <w:t>现有厂界各监测因子的1小时监测值满足《大气污染物综合排放标准》（GB16297-1996）无组织排放限值要求</w:t>
            </w:r>
            <w:r>
              <w:rPr>
                <w:rFonts w:hint="eastAsia" w:ascii="Times New Roman" w:hAnsi="Times New Roman" w:eastAsia="宋体" w:cs="Times New Roman"/>
                <w:b w:val="0"/>
                <w:color w:val="auto"/>
                <w:spacing w:val="3"/>
                <w:kern w:val="0"/>
                <w:sz w:val="24"/>
                <w:szCs w:val="24"/>
                <w:highlight w:val="none"/>
                <w:u w:val="none" w:color="auto"/>
                <w:lang w:val="en-US" w:eastAsia="zh-CN" w:bidi="ar-SA"/>
              </w:rPr>
              <w:t>。</w:t>
            </w:r>
          </w:p>
          <w:p w14:paraId="01B38C8E">
            <w:pPr>
              <w:pStyle w:val="5"/>
              <w:keepNext/>
              <w:keepLines/>
              <w:pageBreakBefore w:val="0"/>
              <w:widowControl w:val="0"/>
              <w:suppressLineNumbers w:val="0"/>
              <w:kinsoku/>
              <w:wordWrap/>
              <w:overflowPunct/>
              <w:topLinePunct w:val="0"/>
              <w:autoSpaceDE/>
              <w:autoSpaceDN/>
              <w:bidi w:val="0"/>
              <w:adjustRightInd/>
              <w:snapToGrid/>
              <w:spacing w:before="0" w:beforeLines="0" w:after="0" w:afterLines="0" w:line="240" w:lineRule="auto"/>
              <w:ind w:left="0" w:right="0" w:firstLine="482" w:firstLineChars="200"/>
              <w:textAlignment w:val="auto"/>
              <w:rPr>
                <w:rFonts w:hint="default" w:ascii="Times New Roman" w:hAnsi="Times New Roman" w:eastAsia="宋体" w:cs="Times New Roman"/>
                <w:caps w:val="0"/>
                <w:color w:val="auto"/>
                <w:sz w:val="24"/>
                <w:szCs w:val="24"/>
                <w:highlight w:val="none"/>
                <w:u w:val="none" w:color="auto"/>
                <w:lang w:val="en-US" w:eastAsia="zh-CN"/>
              </w:rPr>
            </w:pPr>
            <w:r>
              <w:rPr>
                <w:rFonts w:hint="default" w:ascii="Times New Roman" w:hAnsi="Times New Roman" w:eastAsia="宋体" w:cs="Times New Roman"/>
                <w:caps w:val="0"/>
                <w:color w:val="auto"/>
                <w:sz w:val="24"/>
                <w:szCs w:val="24"/>
                <w:highlight w:val="none"/>
                <w:u w:val="none" w:color="auto"/>
                <w:lang w:val="en-US" w:eastAsia="zh-CN"/>
              </w:rPr>
              <w:t>（2）废水</w:t>
            </w:r>
          </w:p>
          <w:p w14:paraId="2117F57E">
            <w:pPr>
              <w:keepNext w:val="0"/>
              <w:keepLines w:val="0"/>
              <w:suppressLineNumbers w:val="0"/>
              <w:snapToGrid w:val="0"/>
              <w:spacing w:before="0" w:beforeAutospacing="0" w:after="0" w:afterAutospacing="0" w:line="360" w:lineRule="auto"/>
              <w:ind w:left="0" w:right="0" w:firstLine="480"/>
              <w:rPr>
                <w:rFonts w:hint="eastAsia" w:ascii="Times New Roman" w:hAnsi="Times New Roman" w:eastAsia="宋体" w:cs="Times New Roman"/>
                <w:color w:val="auto"/>
                <w:spacing w:val="-3"/>
                <w:sz w:val="24"/>
                <w:szCs w:val="24"/>
                <w:highlight w:val="none"/>
                <w:u w:val="none" w:color="auto"/>
                <w:lang w:val="en-US" w:eastAsia="zh-CN"/>
              </w:rPr>
            </w:pPr>
            <w:r>
              <w:rPr>
                <w:rFonts w:hint="eastAsia" w:ascii="Times New Roman" w:hAnsi="Times New Roman" w:eastAsia="宋体" w:cs="Times New Roman"/>
                <w:color w:val="auto"/>
                <w:spacing w:val="-3"/>
                <w:sz w:val="24"/>
                <w:szCs w:val="24"/>
                <w:highlight w:val="none"/>
                <w:u w:val="none" w:color="auto"/>
                <w:lang w:val="en-US" w:eastAsia="zh-CN"/>
              </w:rPr>
              <w:t>根据调查，港区废水主要为港区人员生活污水、机修及车辆冲洗的含油污水。</w:t>
            </w:r>
          </w:p>
          <w:p w14:paraId="34811CBC">
            <w:pPr>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auto"/>
                <w:spacing w:val="-3"/>
                <w:sz w:val="24"/>
                <w:szCs w:val="24"/>
                <w:highlight w:val="none"/>
                <w:u w:val="none" w:color="auto"/>
                <w:lang w:val="en-US" w:eastAsia="zh-CN"/>
              </w:rPr>
            </w:pPr>
            <w:r>
              <w:rPr>
                <w:rFonts w:hint="default" w:ascii="Times New Roman" w:hAnsi="Times New Roman" w:eastAsia="宋体" w:cs="Times New Roman"/>
                <w:color w:val="auto"/>
                <w:spacing w:val="-3"/>
                <w:sz w:val="24"/>
                <w:szCs w:val="24"/>
                <w:highlight w:val="none"/>
                <w:u w:val="none" w:color="auto"/>
                <w:lang w:val="en-US" w:eastAsia="zh-CN"/>
              </w:rPr>
              <w:t>港区厕所产生的生活污水</w:t>
            </w:r>
            <w:r>
              <w:rPr>
                <w:rFonts w:hint="eastAsia" w:ascii="Times New Roman" w:hAnsi="Times New Roman" w:eastAsia="宋体" w:cs="Times New Roman"/>
                <w:color w:val="auto"/>
                <w:spacing w:val="-3"/>
                <w:sz w:val="24"/>
                <w:szCs w:val="24"/>
                <w:highlight w:val="none"/>
                <w:u w:val="none" w:color="auto"/>
                <w:lang w:val="en-US" w:eastAsia="zh-CN"/>
              </w:rPr>
              <w:t>经</w:t>
            </w:r>
            <w:r>
              <w:rPr>
                <w:rFonts w:hint="default" w:ascii="Times New Roman" w:hAnsi="Times New Roman" w:eastAsia="宋体" w:cs="Times New Roman"/>
                <w:color w:val="auto"/>
                <w:spacing w:val="-3"/>
                <w:sz w:val="24"/>
                <w:szCs w:val="24"/>
                <w:highlight w:val="none"/>
                <w:u w:val="none" w:color="auto"/>
                <w:lang w:val="en-US" w:eastAsia="zh-CN"/>
              </w:rPr>
              <w:t>化粪池收集</w:t>
            </w:r>
            <w:r>
              <w:rPr>
                <w:rFonts w:hint="eastAsia" w:ascii="Times New Roman" w:hAnsi="Times New Roman" w:eastAsia="宋体" w:cs="Times New Roman"/>
                <w:color w:val="auto"/>
                <w:spacing w:val="-3"/>
                <w:sz w:val="24"/>
                <w:szCs w:val="24"/>
                <w:highlight w:val="none"/>
                <w:u w:val="none" w:color="auto"/>
                <w:lang w:val="en-US" w:eastAsia="zh-CN"/>
              </w:rPr>
              <w:t>处理</w:t>
            </w:r>
            <w:r>
              <w:rPr>
                <w:rFonts w:hint="default" w:ascii="Times New Roman" w:hAnsi="Times New Roman" w:eastAsia="宋体" w:cs="Times New Roman"/>
                <w:color w:val="auto"/>
                <w:spacing w:val="-3"/>
                <w:sz w:val="24"/>
                <w:szCs w:val="24"/>
                <w:highlight w:val="none"/>
                <w:u w:val="none" w:color="auto"/>
                <w:lang w:val="en-US" w:eastAsia="zh-CN"/>
              </w:rPr>
              <w:t>后接入市政污水管道，排入大榄坪污水处理厂。</w:t>
            </w:r>
          </w:p>
          <w:p w14:paraId="069AF106">
            <w:pPr>
              <w:keepNext w:val="0"/>
              <w:keepLines w:val="0"/>
              <w:suppressLineNumbers w:val="0"/>
              <w:snapToGrid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pacing w:val="-3"/>
                <w:sz w:val="24"/>
                <w:szCs w:val="24"/>
                <w:highlight w:val="none"/>
                <w:u w:val="none" w:color="auto"/>
                <w:lang w:val="en-US" w:eastAsia="zh-CN"/>
              </w:rPr>
              <w:t>机修和车辆冲洗废水进行收集后送至2#泊位和5#泊位的含油污水处理站进行处理，</w:t>
            </w:r>
            <w:r>
              <w:rPr>
                <w:rFonts w:hint="eastAsia" w:ascii="Times New Roman" w:hAnsi="Times New Roman" w:eastAsia="宋体" w:cs="Times New Roman"/>
                <w:color w:val="auto"/>
                <w:spacing w:val="-3"/>
                <w:sz w:val="24"/>
                <w:szCs w:val="24"/>
                <w:highlight w:val="none"/>
                <w:u w:val="none" w:color="auto"/>
                <w:lang w:val="en-US" w:eastAsia="zh-CN"/>
              </w:rPr>
              <w:t>污水处理站处理工艺为隔油池+混凝沉淀池+组合气浮装置，处理后</w:t>
            </w:r>
            <w:r>
              <w:rPr>
                <w:rFonts w:hint="default" w:ascii="Times New Roman" w:hAnsi="Times New Roman" w:eastAsia="宋体" w:cs="Times New Roman"/>
                <w:color w:val="auto"/>
                <w:spacing w:val="-3"/>
                <w:sz w:val="24"/>
                <w:szCs w:val="24"/>
                <w:highlight w:val="none"/>
                <w:u w:val="none" w:color="auto"/>
                <w:lang w:val="en-US" w:eastAsia="zh-CN"/>
              </w:rPr>
              <w:t>回用于机械冲洗用水、厂区绿化和道路清扫</w:t>
            </w:r>
            <w:r>
              <w:rPr>
                <w:rFonts w:hint="eastAsia" w:ascii="Times New Roman" w:hAnsi="Times New Roman" w:eastAsia="宋体" w:cs="Times New Roman"/>
                <w:color w:val="auto"/>
                <w:spacing w:val="-3"/>
                <w:sz w:val="24"/>
                <w:szCs w:val="24"/>
                <w:highlight w:val="none"/>
                <w:u w:val="none" w:color="auto"/>
                <w:lang w:val="en-US" w:eastAsia="zh-CN"/>
              </w:rPr>
              <w:t>，不外排</w:t>
            </w:r>
            <w:r>
              <w:rPr>
                <w:rFonts w:hint="default" w:ascii="Times New Roman" w:hAnsi="Times New Roman" w:eastAsia="宋体" w:cs="Times New Roman"/>
                <w:color w:val="auto"/>
                <w:spacing w:val="-3"/>
                <w:sz w:val="24"/>
                <w:szCs w:val="24"/>
                <w:highlight w:val="none"/>
                <w:u w:val="none" w:color="auto"/>
                <w:lang w:val="en-US" w:eastAsia="zh-CN"/>
              </w:rPr>
              <w:t>。码头不接收船舶生活污水、船舶压载水、船舶舱底</w:t>
            </w:r>
            <w:r>
              <w:rPr>
                <w:rFonts w:hint="default" w:ascii="Times New Roman" w:hAnsi="Times New Roman" w:eastAsia="宋体" w:cs="Times New Roman"/>
                <w:color w:val="auto"/>
                <w:spacing w:val="-1"/>
                <w:sz w:val="24"/>
                <w:szCs w:val="24"/>
                <w:highlight w:val="none"/>
                <w:u w:val="none" w:color="auto"/>
              </w:rPr>
              <w:t>油污水，由有资质单位从码头前沿派环保船</w:t>
            </w:r>
            <w:r>
              <w:rPr>
                <w:rFonts w:hint="eastAsia" w:ascii="Times New Roman" w:hAnsi="Times New Roman" w:eastAsia="宋体" w:cs="Times New Roman"/>
                <w:color w:val="auto"/>
                <w:spacing w:val="-1"/>
                <w:sz w:val="24"/>
                <w:szCs w:val="24"/>
                <w:highlight w:val="none"/>
                <w:u w:val="none" w:color="auto"/>
                <w:lang w:eastAsia="zh-CN"/>
              </w:rPr>
              <w:t>接收</w:t>
            </w:r>
            <w:r>
              <w:rPr>
                <w:rFonts w:hint="default" w:ascii="Times New Roman" w:hAnsi="Times New Roman" w:eastAsia="宋体" w:cs="Times New Roman"/>
                <w:color w:val="auto"/>
                <w:spacing w:val="-1"/>
                <w:sz w:val="24"/>
                <w:szCs w:val="24"/>
                <w:highlight w:val="none"/>
                <w:u w:val="none" w:color="auto"/>
              </w:rPr>
              <w:t>处理。</w:t>
            </w:r>
            <w:r>
              <w:rPr>
                <w:rFonts w:hint="default" w:ascii="Times New Roman" w:hAnsi="Times New Roman" w:eastAsia="宋体" w:cs="Times New Roman"/>
                <w:color w:val="auto"/>
                <w:spacing w:val="-1"/>
                <w:sz w:val="24"/>
                <w:szCs w:val="24"/>
                <w:highlight w:val="none"/>
                <w:u w:val="none" w:color="auto"/>
                <w:lang w:val="en-US" w:eastAsia="zh-CN"/>
              </w:rPr>
              <w:t>本次评价引用</w:t>
            </w:r>
            <w:r>
              <w:rPr>
                <w:rFonts w:hint="default" w:ascii="Times New Roman" w:hAnsi="Times New Roman" w:eastAsia="宋体" w:cs="Times New Roman"/>
                <w:color w:val="auto"/>
                <w:spacing w:val="-1"/>
                <w:sz w:val="24"/>
                <w:szCs w:val="24"/>
                <w:highlight w:val="none"/>
                <w:u w:val="none" w:color="auto"/>
              </w:rPr>
              <w:t>《钦州港大榄坪南作业区1#-6#泊位新增危险货物集装箱项目（重大变动）竣工环境保护验收调查报告》中对</w:t>
            </w:r>
            <w:r>
              <w:rPr>
                <w:rFonts w:hint="eastAsia" w:ascii="Times New Roman" w:hAnsi="Times New Roman" w:eastAsia="宋体" w:cs="Times New Roman"/>
                <w:color w:val="auto"/>
                <w:spacing w:val="-1"/>
                <w:sz w:val="24"/>
                <w:szCs w:val="24"/>
                <w:highlight w:val="none"/>
                <w:u w:val="none" w:color="auto"/>
                <w:lang w:val="en-US" w:eastAsia="zh-CN"/>
              </w:rPr>
              <w:t>含油污水站水质</w:t>
            </w:r>
            <w:r>
              <w:rPr>
                <w:rFonts w:hint="default" w:ascii="Times New Roman" w:hAnsi="Times New Roman" w:eastAsia="宋体" w:cs="Times New Roman"/>
                <w:color w:val="auto"/>
                <w:spacing w:val="-1"/>
                <w:sz w:val="24"/>
                <w:szCs w:val="24"/>
                <w:highlight w:val="none"/>
                <w:u w:val="none" w:color="auto"/>
                <w:lang w:val="en-US" w:eastAsia="zh-CN"/>
              </w:rPr>
              <w:t>的</w:t>
            </w:r>
            <w:r>
              <w:rPr>
                <w:rFonts w:hint="default" w:ascii="Times New Roman" w:hAnsi="Times New Roman" w:eastAsia="宋体" w:cs="Times New Roman"/>
                <w:color w:val="auto"/>
                <w:spacing w:val="-1"/>
                <w:sz w:val="24"/>
                <w:szCs w:val="24"/>
                <w:highlight w:val="none"/>
                <w:u w:val="none" w:color="auto"/>
              </w:rPr>
              <w:t>监测</w:t>
            </w:r>
            <w:r>
              <w:rPr>
                <w:rFonts w:hint="eastAsia" w:ascii="Times New Roman" w:hAnsi="Times New Roman" w:eastAsia="宋体" w:cs="Times New Roman"/>
                <w:color w:val="auto"/>
                <w:spacing w:val="-1"/>
                <w:sz w:val="24"/>
                <w:szCs w:val="24"/>
                <w:highlight w:val="none"/>
                <w:u w:val="none" w:color="auto"/>
                <w:lang w:eastAsia="zh-CN"/>
              </w:rPr>
              <w:t>，</w:t>
            </w:r>
            <w:r>
              <w:rPr>
                <w:rFonts w:hint="eastAsia" w:ascii="Times New Roman" w:hAnsi="Times New Roman" w:eastAsia="宋体" w:cs="Times New Roman"/>
                <w:color w:val="auto"/>
                <w:spacing w:val="-1"/>
                <w:sz w:val="24"/>
                <w:szCs w:val="24"/>
                <w:highlight w:val="none"/>
                <w:u w:val="none" w:color="auto"/>
                <w:lang w:val="en-US" w:eastAsia="zh-CN"/>
              </w:rPr>
              <w:t>数据如下：</w:t>
            </w:r>
          </w:p>
          <w:p w14:paraId="46B6E937">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113"/>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bCs/>
                <w:color w:val="auto"/>
                <w:spacing w:val="1"/>
                <w:sz w:val="21"/>
                <w:szCs w:val="21"/>
                <w:highlight w:val="none"/>
                <w:u w:val="none" w:color="auto"/>
              </w:rPr>
              <w:t>表</w:t>
            </w:r>
            <w:r>
              <w:rPr>
                <w:rFonts w:hint="eastAsia" w:ascii="Times New Roman" w:hAnsi="Times New Roman" w:eastAsia="宋体" w:cs="Times New Roman"/>
                <w:b/>
                <w:bCs/>
                <w:color w:val="auto"/>
                <w:spacing w:val="1"/>
                <w:sz w:val="21"/>
                <w:szCs w:val="21"/>
                <w:highlight w:val="none"/>
                <w:u w:val="none" w:color="auto"/>
                <w:lang w:val="en-US" w:eastAsia="zh-CN"/>
              </w:rPr>
              <w:t>2</w:t>
            </w:r>
            <w:r>
              <w:rPr>
                <w:rFonts w:hint="default" w:ascii="Times New Roman" w:hAnsi="Times New Roman" w:eastAsia="宋体" w:cs="Times New Roman"/>
                <w:b/>
                <w:bCs/>
                <w:color w:val="auto"/>
                <w:spacing w:val="1"/>
                <w:sz w:val="21"/>
                <w:szCs w:val="21"/>
                <w:highlight w:val="none"/>
                <w:u w:val="none" w:color="auto"/>
              </w:rPr>
              <w:t>-</w:t>
            </w:r>
            <w:r>
              <w:rPr>
                <w:rFonts w:hint="eastAsia" w:ascii="Times New Roman" w:hAnsi="Times New Roman" w:eastAsia="宋体" w:cs="Times New Roman"/>
                <w:b/>
                <w:bCs/>
                <w:color w:val="auto"/>
                <w:spacing w:val="1"/>
                <w:sz w:val="21"/>
                <w:szCs w:val="21"/>
                <w:highlight w:val="none"/>
                <w:u w:val="none" w:color="auto"/>
                <w:lang w:val="en-US" w:eastAsia="zh-CN"/>
              </w:rPr>
              <w:t xml:space="preserve">10 </w:t>
            </w:r>
            <w:r>
              <w:rPr>
                <w:rFonts w:hint="default" w:ascii="Times New Roman" w:hAnsi="Times New Roman" w:eastAsia="宋体" w:cs="Times New Roman"/>
                <w:b/>
                <w:bCs/>
                <w:color w:val="auto"/>
                <w:spacing w:val="1"/>
                <w:sz w:val="21"/>
                <w:szCs w:val="21"/>
                <w:highlight w:val="none"/>
                <w:u w:val="none" w:color="auto"/>
              </w:rPr>
              <w:t>2#泊位含油污水处理站进、出水</w:t>
            </w:r>
            <w:r>
              <w:rPr>
                <w:rFonts w:hint="default" w:ascii="Times New Roman" w:hAnsi="Times New Roman" w:eastAsia="宋体" w:cs="Times New Roman"/>
                <w:b/>
                <w:bCs/>
                <w:color w:val="auto"/>
                <w:sz w:val="21"/>
                <w:szCs w:val="21"/>
                <w:highlight w:val="none"/>
                <w:u w:val="none" w:color="auto"/>
              </w:rPr>
              <w:t>水质监测结果</w:t>
            </w:r>
            <w:r>
              <w:rPr>
                <w:rFonts w:hint="eastAsia" w:ascii="Times New Roman" w:hAnsi="Times New Roman" w:eastAsia="宋体" w:cs="Times New Roman"/>
                <w:b/>
                <w:bCs/>
                <w:color w:val="auto"/>
                <w:sz w:val="21"/>
                <w:szCs w:val="21"/>
                <w:highlight w:val="none"/>
                <w:u w:val="none" w:color="auto"/>
                <w:lang w:val="en-US" w:eastAsia="zh-CN"/>
              </w:rPr>
              <w:t xml:space="preserve"> </w:t>
            </w:r>
            <w:r>
              <w:rPr>
                <w:rFonts w:hint="default" w:ascii="Times New Roman" w:hAnsi="Times New Roman" w:eastAsia="宋体" w:cs="Times New Roman"/>
                <w:b/>
                <w:bCs/>
                <w:color w:val="auto"/>
                <w:sz w:val="21"/>
                <w:szCs w:val="21"/>
                <w:highlight w:val="none"/>
                <w:u w:val="none" w:color="auto"/>
              </w:rPr>
              <w:t>单位：mg/L（除pH外）</w:t>
            </w:r>
          </w:p>
          <w:tbl>
            <w:tblPr>
              <w:tblStyle w:val="143"/>
              <w:tblW w:w="8039"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626"/>
              <w:gridCol w:w="647"/>
              <w:gridCol w:w="992"/>
              <w:gridCol w:w="927"/>
              <w:gridCol w:w="844"/>
              <w:gridCol w:w="677"/>
              <w:gridCol w:w="875"/>
              <w:gridCol w:w="690"/>
            </w:tblGrid>
            <w:tr w14:paraId="4A2DA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7" w:type="dxa"/>
                  <w:gridSpan w:val="2"/>
                  <w:vMerge w:val="restart"/>
                  <w:tcBorders>
                    <w:top w:val="single" w:color="000000" w:sz="10" w:space="0"/>
                    <w:left w:val="single" w:color="000000" w:sz="10" w:space="0"/>
                    <w:bottom w:val="nil"/>
                  </w:tcBorders>
                  <w:vAlign w:val="top"/>
                </w:tcPr>
                <w:p w14:paraId="5013A7B4">
                  <w:pPr>
                    <w:spacing w:before="215" w:line="240" w:lineRule="auto"/>
                    <w:ind w:left="253" w:leftChars="0" w:hanging="25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水质</w:t>
                  </w:r>
                </w:p>
              </w:tc>
              <w:tc>
                <w:tcPr>
                  <w:tcW w:w="5652" w:type="dxa"/>
                  <w:gridSpan w:val="7"/>
                  <w:tcBorders>
                    <w:top w:val="single" w:color="000000" w:sz="10" w:space="0"/>
                    <w:right w:val="single" w:color="000000" w:sz="10" w:space="0"/>
                  </w:tcBorders>
                  <w:vAlign w:val="top"/>
                </w:tcPr>
                <w:p w14:paraId="2008C641">
                  <w:pPr>
                    <w:spacing w:before="55" w:line="240" w:lineRule="auto"/>
                    <w:ind w:left="263" w:leftChars="0" w:hanging="26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监测结果（出水均值）</w:t>
                  </w:r>
                </w:p>
              </w:tc>
            </w:tr>
            <w:tr w14:paraId="3FCA4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vMerge w:val="continue"/>
                  <w:tcBorders>
                    <w:top w:val="nil"/>
                    <w:left w:val="single" w:color="000000" w:sz="10" w:space="0"/>
                  </w:tcBorders>
                  <w:vAlign w:val="top"/>
                </w:tcPr>
                <w:p w14:paraId="54C59D75">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647" w:type="dxa"/>
                  <w:vAlign w:val="top"/>
                </w:tcPr>
                <w:p w14:paraId="067525FF">
                  <w:pPr>
                    <w:spacing w:before="89" w:line="240" w:lineRule="auto"/>
                    <w:ind w:left="256" w:leftChars="0" w:hanging="25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3"/>
                      <w:sz w:val="21"/>
                      <w:szCs w:val="21"/>
                      <w:highlight w:val="none"/>
                      <w:u w:val="none" w:color="auto"/>
                    </w:rPr>
                    <w:t>pH</w:t>
                  </w:r>
                </w:p>
              </w:tc>
              <w:tc>
                <w:tcPr>
                  <w:tcW w:w="992" w:type="dxa"/>
                  <w:vAlign w:val="top"/>
                </w:tcPr>
                <w:p w14:paraId="0E544593">
                  <w:pPr>
                    <w:spacing w:before="90" w:line="240" w:lineRule="auto"/>
                    <w:ind w:left="249" w:leftChars="0" w:hanging="24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z w:val="21"/>
                      <w:szCs w:val="21"/>
                      <w:highlight w:val="none"/>
                      <w:u w:val="none" w:color="auto"/>
                    </w:rPr>
                    <w:t>NH</w:t>
                  </w:r>
                  <w:r>
                    <w:rPr>
                      <w:rFonts w:ascii="Times New Roman" w:hAnsi="Times New Roman" w:eastAsia="宋体" w:cs="Times New Roman"/>
                      <w:b/>
                      <w:bCs/>
                      <w:color w:val="auto"/>
                      <w:spacing w:val="8"/>
                      <w:sz w:val="21"/>
                      <w:szCs w:val="21"/>
                      <w:highlight w:val="none"/>
                      <w:u w:val="none" w:color="auto"/>
                      <w:vertAlign w:val="subscript"/>
                    </w:rPr>
                    <w:t>3</w:t>
                  </w:r>
                  <w:r>
                    <w:rPr>
                      <w:rFonts w:ascii="Times New Roman" w:hAnsi="Times New Roman" w:eastAsia="宋体" w:cs="Times New Roman"/>
                      <w:b/>
                      <w:bCs/>
                      <w:color w:val="auto"/>
                      <w:spacing w:val="8"/>
                      <w:sz w:val="21"/>
                      <w:szCs w:val="21"/>
                      <w:highlight w:val="none"/>
                      <w:u w:val="none" w:color="auto"/>
                    </w:rPr>
                    <w:t>-N</w:t>
                  </w:r>
                </w:p>
              </w:tc>
              <w:tc>
                <w:tcPr>
                  <w:tcW w:w="927" w:type="dxa"/>
                  <w:vAlign w:val="top"/>
                </w:tcPr>
                <w:p w14:paraId="779D00DB">
                  <w:pPr>
                    <w:spacing w:before="87" w:line="240" w:lineRule="auto"/>
                    <w:ind w:left="249" w:leftChars="0" w:hanging="24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z w:val="21"/>
                      <w:szCs w:val="21"/>
                      <w:highlight w:val="none"/>
                      <w:u w:val="none" w:color="auto"/>
                    </w:rPr>
                    <w:t>BOD</w:t>
                  </w:r>
                  <w:r>
                    <w:rPr>
                      <w:rFonts w:ascii="Times New Roman" w:hAnsi="Times New Roman" w:eastAsia="宋体" w:cs="Times New Roman"/>
                      <w:b/>
                      <w:bCs/>
                      <w:color w:val="auto"/>
                      <w:spacing w:val="8"/>
                      <w:sz w:val="21"/>
                      <w:szCs w:val="21"/>
                      <w:highlight w:val="none"/>
                      <w:u w:val="none" w:color="auto"/>
                      <w:vertAlign w:val="subscript"/>
                    </w:rPr>
                    <w:t>5</w:t>
                  </w:r>
                </w:p>
              </w:tc>
              <w:tc>
                <w:tcPr>
                  <w:tcW w:w="844" w:type="dxa"/>
                  <w:vAlign w:val="top"/>
                </w:tcPr>
                <w:p w14:paraId="6B1E19B3">
                  <w:pPr>
                    <w:spacing w:before="86" w:line="240" w:lineRule="auto"/>
                    <w:ind w:left="258" w:leftChars="0" w:hanging="25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4"/>
                      <w:sz w:val="21"/>
                      <w:szCs w:val="21"/>
                      <w:highlight w:val="none"/>
                      <w:u w:val="none" w:color="auto"/>
                    </w:rPr>
                    <w:t>COD</w:t>
                  </w:r>
                </w:p>
              </w:tc>
              <w:tc>
                <w:tcPr>
                  <w:tcW w:w="677" w:type="dxa"/>
                  <w:vAlign w:val="top"/>
                </w:tcPr>
                <w:p w14:paraId="4750470D">
                  <w:pPr>
                    <w:spacing w:before="87" w:line="240" w:lineRule="auto"/>
                    <w:ind w:left="246" w:leftChars="0" w:hanging="24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1"/>
                      <w:sz w:val="21"/>
                      <w:szCs w:val="21"/>
                      <w:highlight w:val="none"/>
                      <w:u w:val="none" w:color="auto"/>
                    </w:rPr>
                    <w:t>SS</w:t>
                  </w:r>
                </w:p>
              </w:tc>
              <w:tc>
                <w:tcPr>
                  <w:tcW w:w="875" w:type="dxa"/>
                  <w:vAlign w:val="top"/>
                </w:tcPr>
                <w:p w14:paraId="64C16047">
                  <w:pPr>
                    <w:spacing w:before="50" w:line="240" w:lineRule="auto"/>
                    <w:ind w:left="261" w:leftChars="0" w:hanging="261"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石油类</w:t>
                  </w:r>
                </w:p>
              </w:tc>
              <w:tc>
                <w:tcPr>
                  <w:tcW w:w="690" w:type="dxa"/>
                  <w:tcBorders>
                    <w:right w:val="single" w:color="000000" w:sz="10" w:space="0"/>
                  </w:tcBorders>
                  <w:vAlign w:val="top"/>
                </w:tcPr>
                <w:p w14:paraId="20F50B67">
                  <w:pPr>
                    <w:spacing w:before="31" w:line="240" w:lineRule="auto"/>
                    <w:ind w:left="251" w:leftChars="0" w:hanging="251"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1"/>
                      <w:sz w:val="21"/>
                      <w:szCs w:val="21"/>
                      <w:highlight w:val="none"/>
                      <w:u w:val="none" w:color="auto"/>
                    </w:rPr>
                    <w:t>总磷</w:t>
                  </w:r>
                </w:p>
              </w:tc>
            </w:tr>
            <w:tr w14:paraId="27F76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61" w:type="dxa"/>
                  <w:vMerge w:val="restart"/>
                  <w:tcBorders>
                    <w:left w:val="single" w:color="000000" w:sz="10" w:space="0"/>
                    <w:bottom w:val="nil"/>
                  </w:tcBorders>
                  <w:vAlign w:val="center"/>
                </w:tcPr>
                <w:p w14:paraId="2396177D">
                  <w:pPr>
                    <w:spacing w:before="58" w:line="240" w:lineRule="auto"/>
                    <w:ind w:left="257" w:leftChars="0" w:right="251" w:hanging="25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W1</w:t>
                  </w:r>
                  <w:r>
                    <w:rPr>
                      <w:rFonts w:ascii="Times New Roman" w:hAnsi="Times New Roman" w:eastAsia="宋体" w:cs="Times New Roman"/>
                      <w:color w:val="auto"/>
                      <w:spacing w:val="3"/>
                      <w:sz w:val="21"/>
                      <w:szCs w:val="21"/>
                      <w:highlight w:val="none"/>
                      <w:u w:val="none" w:color="auto"/>
                    </w:rPr>
                    <w:t>（进</w:t>
                  </w:r>
                  <w:r>
                    <w:rPr>
                      <w:rFonts w:ascii="Times New Roman" w:hAnsi="Times New Roman" w:eastAsia="宋体" w:cs="Times New Roman"/>
                      <w:color w:val="auto"/>
                      <w:spacing w:val="-1"/>
                      <w:sz w:val="21"/>
                      <w:szCs w:val="21"/>
                      <w:highlight w:val="none"/>
                      <w:u w:val="none" w:color="auto"/>
                    </w:rPr>
                    <w:t>水）</w:t>
                  </w:r>
                </w:p>
              </w:tc>
              <w:tc>
                <w:tcPr>
                  <w:tcW w:w="1626" w:type="dxa"/>
                  <w:vAlign w:val="top"/>
                </w:tcPr>
                <w:p w14:paraId="24F25CA4">
                  <w:pPr>
                    <w:spacing w:before="87"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9月5日第一次</w:t>
                  </w:r>
                </w:p>
              </w:tc>
              <w:tc>
                <w:tcPr>
                  <w:tcW w:w="647" w:type="dxa"/>
                  <w:vAlign w:val="top"/>
                </w:tcPr>
                <w:p w14:paraId="489FDA4F">
                  <w:pPr>
                    <w:spacing w:before="12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7.2</w:t>
                  </w:r>
                </w:p>
              </w:tc>
              <w:tc>
                <w:tcPr>
                  <w:tcW w:w="992" w:type="dxa"/>
                  <w:vAlign w:val="top"/>
                </w:tcPr>
                <w:p w14:paraId="4EB47548">
                  <w:pPr>
                    <w:spacing w:before="123"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1.770</w:t>
                  </w:r>
                </w:p>
              </w:tc>
              <w:tc>
                <w:tcPr>
                  <w:tcW w:w="927" w:type="dxa"/>
                  <w:vAlign w:val="top"/>
                </w:tcPr>
                <w:p w14:paraId="5B352999">
                  <w:pPr>
                    <w:spacing w:before="123"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39.5</w:t>
                  </w:r>
                </w:p>
              </w:tc>
              <w:tc>
                <w:tcPr>
                  <w:tcW w:w="844" w:type="dxa"/>
                  <w:vAlign w:val="top"/>
                </w:tcPr>
                <w:p w14:paraId="5AF18020">
                  <w:pPr>
                    <w:spacing w:before="123" w:line="240" w:lineRule="auto"/>
                    <w:ind w:left="240" w:leftChars="0" w:hanging="24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193</w:t>
                  </w:r>
                </w:p>
              </w:tc>
              <w:tc>
                <w:tcPr>
                  <w:tcW w:w="677" w:type="dxa"/>
                  <w:vAlign w:val="top"/>
                </w:tcPr>
                <w:p w14:paraId="38417F1E">
                  <w:pPr>
                    <w:spacing w:before="12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78</w:t>
                  </w:r>
                </w:p>
              </w:tc>
              <w:tc>
                <w:tcPr>
                  <w:tcW w:w="875" w:type="dxa"/>
                  <w:vAlign w:val="top"/>
                </w:tcPr>
                <w:p w14:paraId="2DC7D027">
                  <w:pPr>
                    <w:spacing w:before="123"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18.4</w:t>
                  </w:r>
                </w:p>
              </w:tc>
              <w:tc>
                <w:tcPr>
                  <w:tcW w:w="690" w:type="dxa"/>
                  <w:tcBorders>
                    <w:right w:val="single" w:color="000000" w:sz="10" w:space="0"/>
                  </w:tcBorders>
                  <w:vAlign w:val="top"/>
                </w:tcPr>
                <w:p w14:paraId="39773C22">
                  <w:pPr>
                    <w:spacing w:before="123"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13.2</w:t>
                  </w:r>
                </w:p>
              </w:tc>
            </w:tr>
            <w:tr w14:paraId="2DF07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634A49A9">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5F14D451">
                  <w:pPr>
                    <w:spacing w:before="51"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9月5日第二次</w:t>
                  </w:r>
                </w:p>
              </w:tc>
              <w:tc>
                <w:tcPr>
                  <w:tcW w:w="647" w:type="dxa"/>
                  <w:vAlign w:val="top"/>
                </w:tcPr>
                <w:p w14:paraId="51521F35">
                  <w:pPr>
                    <w:spacing w:before="88"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7.2</w:t>
                  </w:r>
                </w:p>
              </w:tc>
              <w:tc>
                <w:tcPr>
                  <w:tcW w:w="992" w:type="dxa"/>
                  <w:vAlign w:val="top"/>
                </w:tcPr>
                <w:p w14:paraId="4E714074">
                  <w:pPr>
                    <w:spacing w:before="88"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1.800</w:t>
                  </w:r>
                </w:p>
              </w:tc>
              <w:tc>
                <w:tcPr>
                  <w:tcW w:w="927" w:type="dxa"/>
                  <w:vAlign w:val="top"/>
                </w:tcPr>
                <w:p w14:paraId="1DFC988E">
                  <w:pPr>
                    <w:spacing w:before="8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39.5</w:t>
                  </w:r>
                </w:p>
              </w:tc>
              <w:tc>
                <w:tcPr>
                  <w:tcW w:w="844" w:type="dxa"/>
                  <w:vAlign w:val="top"/>
                </w:tcPr>
                <w:p w14:paraId="5300B3D4">
                  <w:pPr>
                    <w:spacing w:before="88"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200</w:t>
                  </w:r>
                </w:p>
              </w:tc>
              <w:tc>
                <w:tcPr>
                  <w:tcW w:w="677" w:type="dxa"/>
                  <w:vAlign w:val="top"/>
                </w:tcPr>
                <w:p w14:paraId="01876806">
                  <w:pPr>
                    <w:spacing w:before="88"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73</w:t>
                  </w:r>
                </w:p>
              </w:tc>
              <w:tc>
                <w:tcPr>
                  <w:tcW w:w="875" w:type="dxa"/>
                  <w:vAlign w:val="top"/>
                </w:tcPr>
                <w:p w14:paraId="1AB493C6">
                  <w:pPr>
                    <w:spacing w:before="88"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17.6</w:t>
                  </w:r>
                </w:p>
              </w:tc>
              <w:tc>
                <w:tcPr>
                  <w:tcW w:w="690" w:type="dxa"/>
                  <w:tcBorders>
                    <w:right w:val="single" w:color="000000" w:sz="10" w:space="0"/>
                  </w:tcBorders>
                  <w:vAlign w:val="top"/>
                </w:tcPr>
                <w:p w14:paraId="0D3D49AF">
                  <w:pPr>
                    <w:spacing w:before="88" w:line="240" w:lineRule="auto"/>
                    <w:ind w:left="240" w:leftChars="0" w:hanging="24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13.1</w:t>
                  </w:r>
                </w:p>
              </w:tc>
            </w:tr>
            <w:tr w14:paraId="6379D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54B5717F">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63E025BB">
                  <w:pPr>
                    <w:spacing w:before="52"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9月5日第三次</w:t>
                  </w:r>
                </w:p>
              </w:tc>
              <w:tc>
                <w:tcPr>
                  <w:tcW w:w="647" w:type="dxa"/>
                  <w:vAlign w:val="top"/>
                </w:tcPr>
                <w:p w14:paraId="42ACDBCC">
                  <w:pPr>
                    <w:spacing w:before="91"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7.3</w:t>
                  </w:r>
                </w:p>
              </w:tc>
              <w:tc>
                <w:tcPr>
                  <w:tcW w:w="992" w:type="dxa"/>
                  <w:vAlign w:val="top"/>
                </w:tcPr>
                <w:p w14:paraId="2D2500E2">
                  <w:pPr>
                    <w:spacing w:before="91"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1.872</w:t>
                  </w:r>
                </w:p>
              </w:tc>
              <w:tc>
                <w:tcPr>
                  <w:tcW w:w="927" w:type="dxa"/>
                  <w:vAlign w:val="top"/>
                </w:tcPr>
                <w:p w14:paraId="2C66E475">
                  <w:pPr>
                    <w:spacing w:before="91"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40.0</w:t>
                  </w:r>
                </w:p>
              </w:tc>
              <w:tc>
                <w:tcPr>
                  <w:tcW w:w="844" w:type="dxa"/>
                  <w:vAlign w:val="top"/>
                </w:tcPr>
                <w:p w14:paraId="012C9FE7">
                  <w:pPr>
                    <w:spacing w:before="91" w:line="240" w:lineRule="auto"/>
                    <w:ind w:left="240" w:leftChars="0" w:hanging="24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197</w:t>
                  </w:r>
                </w:p>
              </w:tc>
              <w:tc>
                <w:tcPr>
                  <w:tcW w:w="677" w:type="dxa"/>
                  <w:vAlign w:val="top"/>
                </w:tcPr>
                <w:p w14:paraId="76C7432B">
                  <w:pPr>
                    <w:spacing w:before="91"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76</w:t>
                  </w:r>
                </w:p>
              </w:tc>
              <w:tc>
                <w:tcPr>
                  <w:tcW w:w="875" w:type="dxa"/>
                  <w:vAlign w:val="top"/>
                </w:tcPr>
                <w:p w14:paraId="485D22BA">
                  <w:pPr>
                    <w:spacing w:before="91"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16.4</w:t>
                  </w:r>
                </w:p>
              </w:tc>
              <w:tc>
                <w:tcPr>
                  <w:tcW w:w="690" w:type="dxa"/>
                  <w:tcBorders>
                    <w:right w:val="single" w:color="000000" w:sz="10" w:space="0"/>
                  </w:tcBorders>
                  <w:vAlign w:val="top"/>
                </w:tcPr>
                <w:p w14:paraId="180B344B">
                  <w:pPr>
                    <w:spacing w:before="91"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13.5</w:t>
                  </w:r>
                </w:p>
              </w:tc>
            </w:tr>
            <w:tr w14:paraId="480A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5D44E382">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14145DE4">
                  <w:pPr>
                    <w:spacing w:before="53"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9月5日第四次</w:t>
                  </w:r>
                </w:p>
              </w:tc>
              <w:tc>
                <w:tcPr>
                  <w:tcW w:w="647" w:type="dxa"/>
                  <w:vAlign w:val="top"/>
                </w:tcPr>
                <w:p w14:paraId="257DCCF6">
                  <w:pPr>
                    <w:spacing w:before="91"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7.3</w:t>
                  </w:r>
                </w:p>
              </w:tc>
              <w:tc>
                <w:tcPr>
                  <w:tcW w:w="992" w:type="dxa"/>
                  <w:vAlign w:val="top"/>
                </w:tcPr>
                <w:p w14:paraId="43789F9E">
                  <w:pPr>
                    <w:spacing w:before="91"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1.700</w:t>
                  </w:r>
                </w:p>
              </w:tc>
              <w:tc>
                <w:tcPr>
                  <w:tcW w:w="927" w:type="dxa"/>
                  <w:vAlign w:val="top"/>
                </w:tcPr>
                <w:p w14:paraId="416E314C">
                  <w:pPr>
                    <w:spacing w:before="91"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41.5</w:t>
                  </w:r>
                </w:p>
              </w:tc>
              <w:tc>
                <w:tcPr>
                  <w:tcW w:w="844" w:type="dxa"/>
                  <w:vAlign w:val="top"/>
                </w:tcPr>
                <w:p w14:paraId="532D9E79">
                  <w:pPr>
                    <w:spacing w:before="91"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201</w:t>
                  </w:r>
                </w:p>
              </w:tc>
              <w:tc>
                <w:tcPr>
                  <w:tcW w:w="677" w:type="dxa"/>
                  <w:vAlign w:val="top"/>
                </w:tcPr>
                <w:p w14:paraId="7744B31B">
                  <w:pPr>
                    <w:spacing w:before="91"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71</w:t>
                  </w:r>
                </w:p>
              </w:tc>
              <w:tc>
                <w:tcPr>
                  <w:tcW w:w="875" w:type="dxa"/>
                  <w:vAlign w:val="top"/>
                </w:tcPr>
                <w:p w14:paraId="48AEAD57">
                  <w:pPr>
                    <w:spacing w:before="91"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16.6</w:t>
                  </w:r>
                </w:p>
              </w:tc>
              <w:tc>
                <w:tcPr>
                  <w:tcW w:w="690" w:type="dxa"/>
                  <w:tcBorders>
                    <w:right w:val="single" w:color="000000" w:sz="10" w:space="0"/>
                  </w:tcBorders>
                  <w:vAlign w:val="top"/>
                </w:tcPr>
                <w:p w14:paraId="09D73C48">
                  <w:pPr>
                    <w:spacing w:before="91"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13.7</w:t>
                  </w:r>
                </w:p>
              </w:tc>
            </w:tr>
            <w:tr w14:paraId="5A0F3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15916A54">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4243BB34">
                  <w:pPr>
                    <w:spacing w:before="56"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9月6日第一次</w:t>
                  </w:r>
                </w:p>
              </w:tc>
              <w:tc>
                <w:tcPr>
                  <w:tcW w:w="647" w:type="dxa"/>
                  <w:vAlign w:val="top"/>
                </w:tcPr>
                <w:p w14:paraId="6B3EC433">
                  <w:pPr>
                    <w:spacing w:before="92"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7.3</w:t>
                  </w:r>
                </w:p>
              </w:tc>
              <w:tc>
                <w:tcPr>
                  <w:tcW w:w="992" w:type="dxa"/>
                  <w:vAlign w:val="top"/>
                </w:tcPr>
                <w:p w14:paraId="486754B6">
                  <w:pPr>
                    <w:spacing w:before="92"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1.906</w:t>
                  </w:r>
                </w:p>
              </w:tc>
              <w:tc>
                <w:tcPr>
                  <w:tcW w:w="927" w:type="dxa"/>
                  <w:vAlign w:val="top"/>
                </w:tcPr>
                <w:p w14:paraId="6303316C">
                  <w:pPr>
                    <w:spacing w:before="92"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39.8</w:t>
                  </w:r>
                </w:p>
              </w:tc>
              <w:tc>
                <w:tcPr>
                  <w:tcW w:w="844" w:type="dxa"/>
                  <w:vAlign w:val="top"/>
                </w:tcPr>
                <w:p w14:paraId="1205D879">
                  <w:pPr>
                    <w:spacing w:before="92" w:line="240" w:lineRule="auto"/>
                    <w:ind w:left="240" w:leftChars="0" w:hanging="24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195</w:t>
                  </w:r>
                </w:p>
              </w:tc>
              <w:tc>
                <w:tcPr>
                  <w:tcW w:w="677" w:type="dxa"/>
                  <w:vAlign w:val="top"/>
                </w:tcPr>
                <w:p w14:paraId="69D5D942">
                  <w:pPr>
                    <w:spacing w:before="95"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75</w:t>
                  </w:r>
                </w:p>
              </w:tc>
              <w:tc>
                <w:tcPr>
                  <w:tcW w:w="875" w:type="dxa"/>
                  <w:vAlign w:val="top"/>
                </w:tcPr>
                <w:p w14:paraId="48C0990C">
                  <w:pPr>
                    <w:spacing w:before="92"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15.3</w:t>
                  </w:r>
                </w:p>
              </w:tc>
              <w:tc>
                <w:tcPr>
                  <w:tcW w:w="690" w:type="dxa"/>
                  <w:tcBorders>
                    <w:right w:val="single" w:color="000000" w:sz="10" w:space="0"/>
                  </w:tcBorders>
                  <w:vAlign w:val="top"/>
                </w:tcPr>
                <w:p w14:paraId="299CFF59">
                  <w:pPr>
                    <w:spacing w:before="92"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13.2</w:t>
                  </w:r>
                </w:p>
              </w:tc>
            </w:tr>
            <w:tr w14:paraId="07C6B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667FAFB5">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76E37AEA">
                  <w:pPr>
                    <w:spacing w:before="56"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9月6日第二次</w:t>
                  </w:r>
                </w:p>
              </w:tc>
              <w:tc>
                <w:tcPr>
                  <w:tcW w:w="647" w:type="dxa"/>
                  <w:vAlign w:val="top"/>
                </w:tcPr>
                <w:p w14:paraId="2581C663">
                  <w:pPr>
                    <w:spacing w:before="92"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7.3</w:t>
                  </w:r>
                </w:p>
              </w:tc>
              <w:tc>
                <w:tcPr>
                  <w:tcW w:w="992" w:type="dxa"/>
                  <w:vAlign w:val="top"/>
                </w:tcPr>
                <w:p w14:paraId="33995D2D">
                  <w:pPr>
                    <w:spacing w:before="92"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1.653</w:t>
                  </w:r>
                </w:p>
              </w:tc>
              <w:tc>
                <w:tcPr>
                  <w:tcW w:w="927" w:type="dxa"/>
                  <w:vAlign w:val="top"/>
                </w:tcPr>
                <w:p w14:paraId="3202F3B6">
                  <w:pPr>
                    <w:spacing w:before="92"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38.8</w:t>
                  </w:r>
                </w:p>
              </w:tc>
              <w:tc>
                <w:tcPr>
                  <w:tcW w:w="844" w:type="dxa"/>
                  <w:vAlign w:val="top"/>
                </w:tcPr>
                <w:p w14:paraId="55166F14">
                  <w:pPr>
                    <w:spacing w:before="92" w:line="240" w:lineRule="auto"/>
                    <w:ind w:left="240" w:leftChars="0" w:hanging="24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198</w:t>
                  </w:r>
                </w:p>
              </w:tc>
              <w:tc>
                <w:tcPr>
                  <w:tcW w:w="677" w:type="dxa"/>
                  <w:vAlign w:val="top"/>
                </w:tcPr>
                <w:p w14:paraId="2C360CD4">
                  <w:pPr>
                    <w:spacing w:before="92"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76</w:t>
                  </w:r>
                </w:p>
              </w:tc>
              <w:tc>
                <w:tcPr>
                  <w:tcW w:w="875" w:type="dxa"/>
                  <w:vAlign w:val="top"/>
                </w:tcPr>
                <w:p w14:paraId="1F377160">
                  <w:pPr>
                    <w:spacing w:before="92"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14.4</w:t>
                  </w:r>
                </w:p>
              </w:tc>
              <w:tc>
                <w:tcPr>
                  <w:tcW w:w="690" w:type="dxa"/>
                  <w:tcBorders>
                    <w:right w:val="single" w:color="000000" w:sz="10" w:space="0"/>
                  </w:tcBorders>
                  <w:vAlign w:val="top"/>
                </w:tcPr>
                <w:p w14:paraId="0706F011">
                  <w:pPr>
                    <w:spacing w:before="92"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13.6</w:t>
                  </w:r>
                </w:p>
              </w:tc>
            </w:tr>
            <w:tr w14:paraId="7C8ED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center"/>
                </w:tcPr>
                <w:p w14:paraId="2D548247">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51658BCF">
                  <w:pPr>
                    <w:spacing w:before="57"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9月6日第三次</w:t>
                  </w:r>
                </w:p>
              </w:tc>
              <w:tc>
                <w:tcPr>
                  <w:tcW w:w="647" w:type="dxa"/>
                  <w:vAlign w:val="top"/>
                </w:tcPr>
                <w:p w14:paraId="41330B49">
                  <w:pPr>
                    <w:spacing w:before="9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7.3</w:t>
                  </w:r>
                </w:p>
              </w:tc>
              <w:tc>
                <w:tcPr>
                  <w:tcW w:w="992" w:type="dxa"/>
                  <w:vAlign w:val="top"/>
                </w:tcPr>
                <w:p w14:paraId="68B05F39">
                  <w:pPr>
                    <w:spacing w:before="93"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1.814</w:t>
                  </w:r>
                </w:p>
              </w:tc>
              <w:tc>
                <w:tcPr>
                  <w:tcW w:w="927" w:type="dxa"/>
                  <w:vAlign w:val="top"/>
                </w:tcPr>
                <w:p w14:paraId="627F6825">
                  <w:pPr>
                    <w:spacing w:before="93"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39.3</w:t>
                  </w:r>
                </w:p>
              </w:tc>
              <w:tc>
                <w:tcPr>
                  <w:tcW w:w="844" w:type="dxa"/>
                  <w:vAlign w:val="top"/>
                </w:tcPr>
                <w:p w14:paraId="196CE61E">
                  <w:pPr>
                    <w:spacing w:before="93" w:line="240" w:lineRule="auto"/>
                    <w:ind w:left="240" w:leftChars="0" w:hanging="24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190</w:t>
                  </w:r>
                </w:p>
              </w:tc>
              <w:tc>
                <w:tcPr>
                  <w:tcW w:w="677" w:type="dxa"/>
                  <w:vAlign w:val="top"/>
                </w:tcPr>
                <w:p w14:paraId="2346F184">
                  <w:pPr>
                    <w:spacing w:before="9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72</w:t>
                  </w:r>
                </w:p>
              </w:tc>
              <w:tc>
                <w:tcPr>
                  <w:tcW w:w="875" w:type="dxa"/>
                  <w:vAlign w:val="top"/>
                </w:tcPr>
                <w:p w14:paraId="0DBF0A74">
                  <w:pPr>
                    <w:spacing w:before="93"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14.9</w:t>
                  </w:r>
                </w:p>
              </w:tc>
              <w:tc>
                <w:tcPr>
                  <w:tcW w:w="690" w:type="dxa"/>
                  <w:tcBorders>
                    <w:right w:val="single" w:color="000000" w:sz="10" w:space="0"/>
                  </w:tcBorders>
                  <w:vAlign w:val="top"/>
                </w:tcPr>
                <w:p w14:paraId="70C76888">
                  <w:pPr>
                    <w:spacing w:before="93"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13.7</w:t>
                  </w:r>
                </w:p>
              </w:tc>
            </w:tr>
            <w:tr w14:paraId="7AED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tcBorders>
                  <w:vAlign w:val="center"/>
                </w:tcPr>
                <w:p w14:paraId="654C1DAB">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6CFE664D">
                  <w:pPr>
                    <w:spacing w:before="57"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9月6日第四次</w:t>
                  </w:r>
                </w:p>
              </w:tc>
              <w:tc>
                <w:tcPr>
                  <w:tcW w:w="647" w:type="dxa"/>
                  <w:vAlign w:val="top"/>
                </w:tcPr>
                <w:p w14:paraId="51CBF5B7">
                  <w:pPr>
                    <w:spacing w:before="94"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7.4</w:t>
                  </w:r>
                </w:p>
              </w:tc>
              <w:tc>
                <w:tcPr>
                  <w:tcW w:w="992" w:type="dxa"/>
                  <w:vAlign w:val="top"/>
                </w:tcPr>
                <w:p w14:paraId="0BF3B506">
                  <w:pPr>
                    <w:spacing w:before="94" w:line="240" w:lineRule="auto"/>
                    <w:ind w:left="245" w:leftChars="0" w:hanging="245"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1.786</w:t>
                  </w:r>
                </w:p>
              </w:tc>
              <w:tc>
                <w:tcPr>
                  <w:tcW w:w="927" w:type="dxa"/>
                  <w:vAlign w:val="top"/>
                </w:tcPr>
                <w:p w14:paraId="64B9AAFA">
                  <w:pPr>
                    <w:spacing w:before="94"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41.0</w:t>
                  </w:r>
                </w:p>
              </w:tc>
              <w:tc>
                <w:tcPr>
                  <w:tcW w:w="844" w:type="dxa"/>
                  <w:vAlign w:val="top"/>
                </w:tcPr>
                <w:p w14:paraId="239A8B3F">
                  <w:pPr>
                    <w:spacing w:before="94" w:line="240" w:lineRule="auto"/>
                    <w:ind w:left="240" w:leftChars="0" w:hanging="24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199</w:t>
                  </w:r>
                </w:p>
              </w:tc>
              <w:tc>
                <w:tcPr>
                  <w:tcW w:w="677" w:type="dxa"/>
                  <w:vAlign w:val="top"/>
                </w:tcPr>
                <w:p w14:paraId="601F6E0F">
                  <w:pPr>
                    <w:spacing w:before="94"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71</w:t>
                  </w:r>
                </w:p>
              </w:tc>
              <w:tc>
                <w:tcPr>
                  <w:tcW w:w="875" w:type="dxa"/>
                  <w:vAlign w:val="top"/>
                </w:tcPr>
                <w:p w14:paraId="4611615B">
                  <w:pPr>
                    <w:spacing w:before="94"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17.9</w:t>
                  </w:r>
                </w:p>
              </w:tc>
              <w:tc>
                <w:tcPr>
                  <w:tcW w:w="690" w:type="dxa"/>
                  <w:tcBorders>
                    <w:right w:val="single" w:color="000000" w:sz="10" w:space="0"/>
                  </w:tcBorders>
                  <w:vAlign w:val="top"/>
                </w:tcPr>
                <w:p w14:paraId="7AF305DC">
                  <w:pPr>
                    <w:spacing w:before="94"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13.4</w:t>
                  </w:r>
                </w:p>
              </w:tc>
            </w:tr>
            <w:tr w14:paraId="72832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restart"/>
                  <w:tcBorders>
                    <w:left w:val="single" w:color="000000" w:sz="10" w:space="0"/>
                    <w:bottom w:val="nil"/>
                  </w:tcBorders>
                  <w:vAlign w:val="center"/>
                </w:tcPr>
                <w:p w14:paraId="28B0BE12">
                  <w:pPr>
                    <w:spacing w:before="57" w:line="240" w:lineRule="auto"/>
                    <w:ind w:left="257" w:leftChars="0" w:right="251" w:hanging="25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W2</w:t>
                  </w:r>
                  <w:r>
                    <w:rPr>
                      <w:rFonts w:ascii="Times New Roman" w:hAnsi="Times New Roman" w:eastAsia="宋体" w:cs="Times New Roman"/>
                      <w:color w:val="auto"/>
                      <w:spacing w:val="3"/>
                      <w:sz w:val="21"/>
                      <w:szCs w:val="21"/>
                      <w:highlight w:val="none"/>
                      <w:u w:val="none" w:color="auto"/>
                    </w:rPr>
                    <w:t>（出</w:t>
                  </w:r>
                  <w:r>
                    <w:rPr>
                      <w:rFonts w:ascii="Times New Roman" w:hAnsi="Times New Roman" w:eastAsia="宋体" w:cs="Times New Roman"/>
                      <w:color w:val="auto"/>
                      <w:spacing w:val="-1"/>
                      <w:sz w:val="21"/>
                      <w:szCs w:val="21"/>
                      <w:highlight w:val="none"/>
                      <w:u w:val="none" w:color="auto"/>
                    </w:rPr>
                    <w:t>水）</w:t>
                  </w:r>
                </w:p>
              </w:tc>
              <w:tc>
                <w:tcPr>
                  <w:tcW w:w="1626" w:type="dxa"/>
                  <w:vAlign w:val="top"/>
                </w:tcPr>
                <w:p w14:paraId="6D6D968E">
                  <w:pPr>
                    <w:spacing w:before="58"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9月5日第一次</w:t>
                  </w:r>
                </w:p>
              </w:tc>
              <w:tc>
                <w:tcPr>
                  <w:tcW w:w="647" w:type="dxa"/>
                  <w:vAlign w:val="top"/>
                </w:tcPr>
                <w:p w14:paraId="40560988">
                  <w:pPr>
                    <w:spacing w:before="97"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7.6</w:t>
                  </w:r>
                </w:p>
              </w:tc>
              <w:tc>
                <w:tcPr>
                  <w:tcW w:w="992" w:type="dxa"/>
                  <w:vAlign w:val="top"/>
                </w:tcPr>
                <w:p w14:paraId="2958E9EE">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0.92</w:t>
                  </w:r>
                </w:p>
              </w:tc>
              <w:tc>
                <w:tcPr>
                  <w:tcW w:w="927" w:type="dxa"/>
                  <w:vAlign w:val="top"/>
                </w:tcPr>
                <w:p w14:paraId="40BB562C">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2.2</w:t>
                  </w:r>
                </w:p>
              </w:tc>
              <w:tc>
                <w:tcPr>
                  <w:tcW w:w="844" w:type="dxa"/>
                  <w:vAlign w:val="top"/>
                </w:tcPr>
                <w:p w14:paraId="3FDCDB41">
                  <w:pPr>
                    <w:spacing w:before="97"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12</w:t>
                  </w:r>
                </w:p>
              </w:tc>
              <w:tc>
                <w:tcPr>
                  <w:tcW w:w="677" w:type="dxa"/>
                  <w:vAlign w:val="top"/>
                </w:tcPr>
                <w:p w14:paraId="71615F45">
                  <w:pPr>
                    <w:spacing w:before="97"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w:t>
                  </w:r>
                </w:p>
              </w:tc>
              <w:tc>
                <w:tcPr>
                  <w:tcW w:w="875" w:type="dxa"/>
                  <w:vAlign w:val="top"/>
                </w:tcPr>
                <w:p w14:paraId="4A50C4DF">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0.99</w:t>
                  </w:r>
                </w:p>
              </w:tc>
              <w:tc>
                <w:tcPr>
                  <w:tcW w:w="690" w:type="dxa"/>
                  <w:tcBorders>
                    <w:right w:val="single" w:color="000000" w:sz="10" w:space="0"/>
                  </w:tcBorders>
                  <w:vAlign w:val="top"/>
                </w:tcPr>
                <w:p w14:paraId="58ACE87F">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0.05</w:t>
                  </w:r>
                </w:p>
              </w:tc>
            </w:tr>
            <w:tr w14:paraId="63EA3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1C103065">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104DF0D9">
                  <w:pPr>
                    <w:spacing w:before="58"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9月5日第二次</w:t>
                  </w:r>
                </w:p>
              </w:tc>
              <w:tc>
                <w:tcPr>
                  <w:tcW w:w="647" w:type="dxa"/>
                  <w:vAlign w:val="top"/>
                </w:tcPr>
                <w:p w14:paraId="15FB8F5A">
                  <w:pPr>
                    <w:spacing w:before="100"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7.7</w:t>
                  </w:r>
                </w:p>
              </w:tc>
              <w:tc>
                <w:tcPr>
                  <w:tcW w:w="992" w:type="dxa"/>
                  <w:vAlign w:val="top"/>
                </w:tcPr>
                <w:p w14:paraId="0B530735">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0.96</w:t>
                  </w:r>
                </w:p>
              </w:tc>
              <w:tc>
                <w:tcPr>
                  <w:tcW w:w="927" w:type="dxa"/>
                  <w:vAlign w:val="top"/>
                </w:tcPr>
                <w:p w14:paraId="065A1A9A">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2.0</w:t>
                  </w:r>
                </w:p>
              </w:tc>
              <w:tc>
                <w:tcPr>
                  <w:tcW w:w="844" w:type="dxa"/>
                  <w:vAlign w:val="top"/>
                </w:tcPr>
                <w:p w14:paraId="14803A18">
                  <w:pPr>
                    <w:spacing w:before="97"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14</w:t>
                  </w:r>
                </w:p>
              </w:tc>
              <w:tc>
                <w:tcPr>
                  <w:tcW w:w="677" w:type="dxa"/>
                  <w:vAlign w:val="top"/>
                </w:tcPr>
                <w:p w14:paraId="7FCB88F5">
                  <w:pPr>
                    <w:spacing w:before="97"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w:t>
                  </w:r>
                </w:p>
              </w:tc>
              <w:tc>
                <w:tcPr>
                  <w:tcW w:w="875" w:type="dxa"/>
                  <w:vAlign w:val="top"/>
                </w:tcPr>
                <w:p w14:paraId="6B215B55">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0.91</w:t>
                  </w:r>
                </w:p>
              </w:tc>
              <w:tc>
                <w:tcPr>
                  <w:tcW w:w="690" w:type="dxa"/>
                  <w:tcBorders>
                    <w:right w:val="single" w:color="000000" w:sz="10" w:space="0"/>
                  </w:tcBorders>
                  <w:vAlign w:val="top"/>
                </w:tcPr>
                <w:p w14:paraId="1EA9DE58">
                  <w:pPr>
                    <w:spacing w:before="9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0.06</w:t>
                  </w:r>
                </w:p>
              </w:tc>
            </w:tr>
            <w:tr w14:paraId="2DE79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5E298214">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0C663D74">
                  <w:pPr>
                    <w:spacing w:before="62"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9月5日第三次</w:t>
                  </w:r>
                </w:p>
              </w:tc>
              <w:tc>
                <w:tcPr>
                  <w:tcW w:w="647" w:type="dxa"/>
                  <w:vAlign w:val="top"/>
                </w:tcPr>
                <w:p w14:paraId="597FA78C">
                  <w:pPr>
                    <w:spacing w:before="98"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7.6</w:t>
                  </w:r>
                </w:p>
              </w:tc>
              <w:tc>
                <w:tcPr>
                  <w:tcW w:w="992" w:type="dxa"/>
                  <w:vAlign w:val="top"/>
                </w:tcPr>
                <w:p w14:paraId="27668F59">
                  <w:pPr>
                    <w:spacing w:before="9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0.98</w:t>
                  </w:r>
                </w:p>
              </w:tc>
              <w:tc>
                <w:tcPr>
                  <w:tcW w:w="927" w:type="dxa"/>
                  <w:vAlign w:val="top"/>
                </w:tcPr>
                <w:p w14:paraId="703E5ACC">
                  <w:pPr>
                    <w:spacing w:before="9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2.3</w:t>
                  </w:r>
                </w:p>
              </w:tc>
              <w:tc>
                <w:tcPr>
                  <w:tcW w:w="844" w:type="dxa"/>
                  <w:vAlign w:val="top"/>
                </w:tcPr>
                <w:p w14:paraId="3DD7B2AF">
                  <w:pPr>
                    <w:spacing w:before="98"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11</w:t>
                  </w:r>
                </w:p>
              </w:tc>
              <w:tc>
                <w:tcPr>
                  <w:tcW w:w="677" w:type="dxa"/>
                  <w:vAlign w:val="top"/>
                </w:tcPr>
                <w:p w14:paraId="4D754003">
                  <w:pPr>
                    <w:spacing w:before="98"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8</w:t>
                  </w:r>
                </w:p>
              </w:tc>
              <w:tc>
                <w:tcPr>
                  <w:tcW w:w="875" w:type="dxa"/>
                  <w:vAlign w:val="top"/>
                </w:tcPr>
                <w:p w14:paraId="021A0448">
                  <w:pPr>
                    <w:spacing w:before="98"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0.9</w:t>
                  </w:r>
                </w:p>
              </w:tc>
              <w:tc>
                <w:tcPr>
                  <w:tcW w:w="690" w:type="dxa"/>
                  <w:tcBorders>
                    <w:right w:val="single" w:color="000000" w:sz="10" w:space="0"/>
                  </w:tcBorders>
                  <w:vAlign w:val="top"/>
                </w:tcPr>
                <w:p w14:paraId="42520143">
                  <w:pPr>
                    <w:spacing w:before="9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0.04</w:t>
                  </w:r>
                </w:p>
              </w:tc>
            </w:tr>
            <w:tr w14:paraId="744E7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78828121">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3960BBD9">
                  <w:pPr>
                    <w:spacing w:before="63"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9月5日第四次</w:t>
                  </w:r>
                </w:p>
              </w:tc>
              <w:tc>
                <w:tcPr>
                  <w:tcW w:w="647" w:type="dxa"/>
                  <w:vAlign w:val="top"/>
                </w:tcPr>
                <w:p w14:paraId="35B78084">
                  <w:pPr>
                    <w:spacing w:before="98"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7.6</w:t>
                  </w:r>
                </w:p>
              </w:tc>
              <w:tc>
                <w:tcPr>
                  <w:tcW w:w="992" w:type="dxa"/>
                  <w:vAlign w:val="top"/>
                </w:tcPr>
                <w:p w14:paraId="21FE8C50">
                  <w:pPr>
                    <w:spacing w:before="9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0.85</w:t>
                  </w:r>
                </w:p>
              </w:tc>
              <w:tc>
                <w:tcPr>
                  <w:tcW w:w="927" w:type="dxa"/>
                  <w:vAlign w:val="top"/>
                </w:tcPr>
                <w:p w14:paraId="06EF8760">
                  <w:pPr>
                    <w:spacing w:before="9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2.4</w:t>
                  </w:r>
                </w:p>
              </w:tc>
              <w:tc>
                <w:tcPr>
                  <w:tcW w:w="844" w:type="dxa"/>
                  <w:vAlign w:val="top"/>
                </w:tcPr>
                <w:p w14:paraId="6292F43C">
                  <w:pPr>
                    <w:spacing w:before="99"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14</w:t>
                  </w:r>
                </w:p>
              </w:tc>
              <w:tc>
                <w:tcPr>
                  <w:tcW w:w="677" w:type="dxa"/>
                  <w:vAlign w:val="top"/>
                </w:tcPr>
                <w:p w14:paraId="2745621F">
                  <w:pPr>
                    <w:spacing w:before="101"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7</w:t>
                  </w:r>
                </w:p>
              </w:tc>
              <w:tc>
                <w:tcPr>
                  <w:tcW w:w="875" w:type="dxa"/>
                  <w:vAlign w:val="top"/>
                </w:tcPr>
                <w:p w14:paraId="2E0451CB">
                  <w:pPr>
                    <w:spacing w:before="9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0.92</w:t>
                  </w:r>
                </w:p>
              </w:tc>
              <w:tc>
                <w:tcPr>
                  <w:tcW w:w="690" w:type="dxa"/>
                  <w:tcBorders>
                    <w:right w:val="single" w:color="000000" w:sz="10" w:space="0"/>
                  </w:tcBorders>
                  <w:vAlign w:val="top"/>
                </w:tcPr>
                <w:p w14:paraId="740113C8">
                  <w:pPr>
                    <w:spacing w:before="98"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0.05</w:t>
                  </w:r>
                </w:p>
              </w:tc>
            </w:tr>
            <w:tr w14:paraId="75305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2E76C1BB">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15B006BD">
                  <w:pPr>
                    <w:spacing w:before="63"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9月6日第一次</w:t>
                  </w:r>
                </w:p>
              </w:tc>
              <w:tc>
                <w:tcPr>
                  <w:tcW w:w="647" w:type="dxa"/>
                  <w:vAlign w:val="top"/>
                </w:tcPr>
                <w:p w14:paraId="28205823">
                  <w:pPr>
                    <w:spacing w:before="99"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7.6</w:t>
                  </w:r>
                </w:p>
              </w:tc>
              <w:tc>
                <w:tcPr>
                  <w:tcW w:w="992" w:type="dxa"/>
                  <w:vAlign w:val="top"/>
                </w:tcPr>
                <w:p w14:paraId="51D50C39">
                  <w:pPr>
                    <w:spacing w:before="99"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0.90</w:t>
                  </w:r>
                </w:p>
              </w:tc>
              <w:tc>
                <w:tcPr>
                  <w:tcW w:w="927" w:type="dxa"/>
                  <w:vAlign w:val="top"/>
                </w:tcPr>
                <w:p w14:paraId="14C1844D">
                  <w:pPr>
                    <w:spacing w:before="99"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2.2</w:t>
                  </w:r>
                </w:p>
              </w:tc>
              <w:tc>
                <w:tcPr>
                  <w:tcW w:w="844" w:type="dxa"/>
                  <w:vAlign w:val="top"/>
                </w:tcPr>
                <w:p w14:paraId="637D3C3C">
                  <w:pPr>
                    <w:spacing w:before="99"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13</w:t>
                  </w:r>
                </w:p>
              </w:tc>
              <w:tc>
                <w:tcPr>
                  <w:tcW w:w="677" w:type="dxa"/>
                  <w:vAlign w:val="top"/>
                </w:tcPr>
                <w:p w14:paraId="399E30D2">
                  <w:pPr>
                    <w:spacing w:before="99"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w:t>
                  </w:r>
                </w:p>
              </w:tc>
              <w:tc>
                <w:tcPr>
                  <w:tcW w:w="875" w:type="dxa"/>
                  <w:vAlign w:val="top"/>
                </w:tcPr>
                <w:p w14:paraId="4144AF76">
                  <w:pPr>
                    <w:spacing w:before="99"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0.87</w:t>
                  </w:r>
                </w:p>
              </w:tc>
              <w:tc>
                <w:tcPr>
                  <w:tcW w:w="690" w:type="dxa"/>
                  <w:tcBorders>
                    <w:right w:val="single" w:color="000000" w:sz="10" w:space="0"/>
                  </w:tcBorders>
                  <w:vAlign w:val="top"/>
                </w:tcPr>
                <w:p w14:paraId="0FF6DA44">
                  <w:pPr>
                    <w:spacing w:before="99"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0.05</w:t>
                  </w:r>
                </w:p>
              </w:tc>
            </w:tr>
            <w:tr w14:paraId="1C45C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531B0AA2">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1E444952">
                  <w:pPr>
                    <w:spacing w:before="64"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9月6日第二次</w:t>
                  </w:r>
                </w:p>
              </w:tc>
              <w:tc>
                <w:tcPr>
                  <w:tcW w:w="647" w:type="dxa"/>
                  <w:vAlign w:val="top"/>
                </w:tcPr>
                <w:p w14:paraId="784AC167">
                  <w:pPr>
                    <w:spacing w:before="10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7.7</w:t>
                  </w:r>
                </w:p>
              </w:tc>
              <w:tc>
                <w:tcPr>
                  <w:tcW w:w="992" w:type="dxa"/>
                  <w:vAlign w:val="top"/>
                </w:tcPr>
                <w:p w14:paraId="5D530E75">
                  <w:pPr>
                    <w:spacing w:before="100" w:line="240" w:lineRule="auto"/>
                    <w:ind w:left="243" w:leftChars="0" w:hanging="243"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1.02</w:t>
                  </w:r>
                </w:p>
              </w:tc>
              <w:tc>
                <w:tcPr>
                  <w:tcW w:w="927" w:type="dxa"/>
                  <w:vAlign w:val="top"/>
                </w:tcPr>
                <w:p w14:paraId="513E95C4">
                  <w:pPr>
                    <w:spacing w:before="100"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2.0</w:t>
                  </w:r>
                </w:p>
              </w:tc>
              <w:tc>
                <w:tcPr>
                  <w:tcW w:w="844" w:type="dxa"/>
                  <w:vAlign w:val="top"/>
                </w:tcPr>
                <w:p w14:paraId="5FA73296">
                  <w:pPr>
                    <w:spacing w:before="100"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12</w:t>
                  </w:r>
                </w:p>
              </w:tc>
              <w:tc>
                <w:tcPr>
                  <w:tcW w:w="677" w:type="dxa"/>
                  <w:vAlign w:val="top"/>
                </w:tcPr>
                <w:p w14:paraId="456A69CD">
                  <w:pPr>
                    <w:spacing w:before="103"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w:t>
                  </w:r>
                </w:p>
              </w:tc>
              <w:tc>
                <w:tcPr>
                  <w:tcW w:w="875" w:type="dxa"/>
                  <w:vAlign w:val="top"/>
                </w:tcPr>
                <w:p w14:paraId="7CE3C4FA">
                  <w:pPr>
                    <w:spacing w:before="100"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0.88</w:t>
                  </w:r>
                </w:p>
              </w:tc>
              <w:tc>
                <w:tcPr>
                  <w:tcW w:w="690" w:type="dxa"/>
                  <w:tcBorders>
                    <w:right w:val="single" w:color="000000" w:sz="10" w:space="0"/>
                  </w:tcBorders>
                  <w:vAlign w:val="top"/>
                </w:tcPr>
                <w:p w14:paraId="4F6FEB0B">
                  <w:pPr>
                    <w:spacing w:before="100"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0.04</w:t>
                  </w:r>
                </w:p>
              </w:tc>
            </w:tr>
            <w:tr w14:paraId="0503E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bottom w:val="nil"/>
                  </w:tcBorders>
                  <w:vAlign w:val="top"/>
                </w:tcPr>
                <w:p w14:paraId="038314CF">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4977F820">
                  <w:pPr>
                    <w:spacing w:before="64"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9月6日第三次</w:t>
                  </w:r>
                </w:p>
              </w:tc>
              <w:tc>
                <w:tcPr>
                  <w:tcW w:w="647" w:type="dxa"/>
                  <w:vAlign w:val="top"/>
                </w:tcPr>
                <w:p w14:paraId="552B4EDD">
                  <w:pPr>
                    <w:spacing w:before="10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7.8</w:t>
                  </w:r>
                </w:p>
              </w:tc>
              <w:tc>
                <w:tcPr>
                  <w:tcW w:w="992" w:type="dxa"/>
                  <w:vAlign w:val="top"/>
                </w:tcPr>
                <w:p w14:paraId="66AF61F8">
                  <w:pPr>
                    <w:spacing w:before="103"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0.92</w:t>
                  </w:r>
                </w:p>
              </w:tc>
              <w:tc>
                <w:tcPr>
                  <w:tcW w:w="927" w:type="dxa"/>
                  <w:vAlign w:val="top"/>
                </w:tcPr>
                <w:p w14:paraId="12FD889C">
                  <w:pPr>
                    <w:spacing w:before="10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2.1</w:t>
                  </w:r>
                </w:p>
              </w:tc>
              <w:tc>
                <w:tcPr>
                  <w:tcW w:w="844" w:type="dxa"/>
                  <w:vAlign w:val="top"/>
                </w:tcPr>
                <w:p w14:paraId="76F27AA8">
                  <w:pPr>
                    <w:spacing w:before="103"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13</w:t>
                  </w:r>
                </w:p>
              </w:tc>
              <w:tc>
                <w:tcPr>
                  <w:tcW w:w="677" w:type="dxa"/>
                  <w:vAlign w:val="top"/>
                </w:tcPr>
                <w:p w14:paraId="185EC7B1">
                  <w:pPr>
                    <w:spacing w:before="106"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7</w:t>
                  </w:r>
                </w:p>
              </w:tc>
              <w:tc>
                <w:tcPr>
                  <w:tcW w:w="875" w:type="dxa"/>
                  <w:vAlign w:val="top"/>
                </w:tcPr>
                <w:p w14:paraId="6FF06BD9">
                  <w:pPr>
                    <w:spacing w:before="103"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0.86</w:t>
                  </w:r>
                </w:p>
              </w:tc>
              <w:tc>
                <w:tcPr>
                  <w:tcW w:w="690" w:type="dxa"/>
                  <w:tcBorders>
                    <w:right w:val="single" w:color="000000" w:sz="10" w:space="0"/>
                  </w:tcBorders>
                  <w:vAlign w:val="top"/>
                </w:tcPr>
                <w:p w14:paraId="1F77C9BA">
                  <w:pPr>
                    <w:spacing w:before="103"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0.05</w:t>
                  </w:r>
                </w:p>
              </w:tc>
            </w:tr>
            <w:tr w14:paraId="10DC8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761" w:type="dxa"/>
                  <w:vMerge w:val="continue"/>
                  <w:tcBorders>
                    <w:top w:val="nil"/>
                    <w:left w:val="single" w:color="000000" w:sz="10" w:space="0"/>
                  </w:tcBorders>
                  <w:vAlign w:val="top"/>
                </w:tcPr>
                <w:p w14:paraId="7087D4A0">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tc>
              <w:tc>
                <w:tcPr>
                  <w:tcW w:w="1626" w:type="dxa"/>
                  <w:vAlign w:val="top"/>
                </w:tcPr>
                <w:p w14:paraId="0B735E51">
                  <w:pPr>
                    <w:spacing w:before="65"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9月6日第四次</w:t>
                  </w:r>
                </w:p>
              </w:tc>
              <w:tc>
                <w:tcPr>
                  <w:tcW w:w="647" w:type="dxa"/>
                  <w:vAlign w:val="top"/>
                </w:tcPr>
                <w:p w14:paraId="0C620131">
                  <w:pPr>
                    <w:spacing w:before="10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7.8</w:t>
                  </w:r>
                </w:p>
              </w:tc>
              <w:tc>
                <w:tcPr>
                  <w:tcW w:w="992" w:type="dxa"/>
                  <w:vAlign w:val="top"/>
                </w:tcPr>
                <w:p w14:paraId="6E0A744D">
                  <w:pPr>
                    <w:spacing w:before="103"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0.99</w:t>
                  </w:r>
                </w:p>
              </w:tc>
              <w:tc>
                <w:tcPr>
                  <w:tcW w:w="927" w:type="dxa"/>
                  <w:vAlign w:val="top"/>
                </w:tcPr>
                <w:p w14:paraId="3488C9FD">
                  <w:pPr>
                    <w:spacing w:before="10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2.1</w:t>
                  </w:r>
                </w:p>
              </w:tc>
              <w:tc>
                <w:tcPr>
                  <w:tcW w:w="844" w:type="dxa"/>
                  <w:vAlign w:val="top"/>
                </w:tcPr>
                <w:p w14:paraId="0EA2B924">
                  <w:pPr>
                    <w:spacing w:before="103"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13</w:t>
                  </w:r>
                </w:p>
              </w:tc>
              <w:tc>
                <w:tcPr>
                  <w:tcW w:w="677" w:type="dxa"/>
                  <w:vAlign w:val="top"/>
                </w:tcPr>
                <w:p w14:paraId="40877ADF">
                  <w:pPr>
                    <w:spacing w:before="103" w:line="240" w:lineRule="auto"/>
                    <w:ind w:left="228" w:leftChars="0" w:hanging="228"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10</w:t>
                  </w:r>
                </w:p>
              </w:tc>
              <w:tc>
                <w:tcPr>
                  <w:tcW w:w="875" w:type="dxa"/>
                  <w:vAlign w:val="top"/>
                </w:tcPr>
                <w:p w14:paraId="5A4A4E34">
                  <w:pPr>
                    <w:spacing w:before="103"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0.9</w:t>
                  </w:r>
                </w:p>
              </w:tc>
              <w:tc>
                <w:tcPr>
                  <w:tcW w:w="690" w:type="dxa"/>
                  <w:tcBorders>
                    <w:right w:val="single" w:color="000000" w:sz="10" w:space="0"/>
                  </w:tcBorders>
                  <w:vAlign w:val="top"/>
                </w:tcPr>
                <w:p w14:paraId="5E90A7E5">
                  <w:pPr>
                    <w:spacing w:before="103"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0.06</w:t>
                  </w:r>
                </w:p>
              </w:tc>
            </w:tr>
            <w:tr w14:paraId="5EDB1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2387" w:type="dxa"/>
                  <w:gridSpan w:val="2"/>
                  <w:tcBorders>
                    <w:left w:val="single" w:color="000000" w:sz="10" w:space="0"/>
                  </w:tcBorders>
                  <w:vAlign w:val="top"/>
                </w:tcPr>
                <w:p w14:paraId="786BD58C">
                  <w:pPr>
                    <w:spacing w:before="49" w:line="240" w:lineRule="auto"/>
                    <w:ind w:left="266" w:leftChars="0" w:right="23" w:hanging="26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《城市污水再生利用-城市杂</w:t>
                  </w:r>
                  <w:r>
                    <w:rPr>
                      <w:rFonts w:ascii="Times New Roman" w:hAnsi="Times New Roman" w:eastAsia="宋体" w:cs="Times New Roman"/>
                      <w:color w:val="auto"/>
                      <w:spacing w:val="-5"/>
                      <w:sz w:val="21"/>
                      <w:szCs w:val="21"/>
                      <w:highlight w:val="none"/>
                      <w:u w:val="none" w:color="auto"/>
                    </w:rPr>
                    <w:t>用水水质》（GB/T18920-2020）</w:t>
                  </w:r>
                </w:p>
                <w:p w14:paraId="6CF14211">
                  <w:pPr>
                    <w:spacing w:before="24" w:line="240" w:lineRule="auto"/>
                    <w:ind w:left="261" w:leftChars="0" w:right="66" w:hanging="261"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城市绿化、道路清扫、消防、建筑施工</w:t>
                  </w:r>
                </w:p>
              </w:tc>
              <w:tc>
                <w:tcPr>
                  <w:tcW w:w="647" w:type="dxa"/>
                  <w:vAlign w:val="top"/>
                </w:tcPr>
                <w:p w14:paraId="70C22801">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14F61AC6">
                  <w:pPr>
                    <w:spacing w:before="57"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6~9</w:t>
                  </w:r>
                </w:p>
              </w:tc>
              <w:tc>
                <w:tcPr>
                  <w:tcW w:w="992" w:type="dxa"/>
                  <w:vAlign w:val="top"/>
                </w:tcPr>
                <w:p w14:paraId="7ED7BCE1">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13D0C88F">
                  <w:pPr>
                    <w:spacing w:before="58"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≤8</w:t>
                  </w:r>
                </w:p>
              </w:tc>
              <w:tc>
                <w:tcPr>
                  <w:tcW w:w="927" w:type="dxa"/>
                  <w:vAlign w:val="top"/>
                </w:tcPr>
                <w:p w14:paraId="0FE2BABB">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0F186311">
                  <w:pPr>
                    <w:spacing w:before="58" w:line="240" w:lineRule="auto"/>
                    <w:ind w:left="257" w:leftChars="0" w:hanging="25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≤10</w:t>
                  </w:r>
                </w:p>
              </w:tc>
              <w:tc>
                <w:tcPr>
                  <w:tcW w:w="844" w:type="dxa"/>
                  <w:vAlign w:val="top"/>
                </w:tcPr>
                <w:p w14:paraId="31D9503F">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5FDA24A2">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0A79F829">
                  <w:pPr>
                    <w:spacing w:before="58"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677" w:type="dxa"/>
                  <w:vAlign w:val="top"/>
                </w:tcPr>
                <w:p w14:paraId="5B1E07AC">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4674CC65">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4104DA87">
                  <w:pPr>
                    <w:spacing w:before="58"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875" w:type="dxa"/>
                  <w:vAlign w:val="top"/>
                </w:tcPr>
                <w:p w14:paraId="462BADEB">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553F8A30">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73B19DED">
                  <w:pPr>
                    <w:spacing w:before="58"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690" w:type="dxa"/>
                  <w:tcBorders>
                    <w:right w:val="single" w:color="000000" w:sz="10" w:space="0"/>
                  </w:tcBorders>
                  <w:vAlign w:val="top"/>
                </w:tcPr>
                <w:p w14:paraId="6A8C59A6">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0B537B30">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3AADB76C">
                  <w:pPr>
                    <w:spacing w:before="58"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r>
            <w:tr w14:paraId="0582B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tcBorders>
                    <w:left w:val="single" w:color="000000" w:sz="10" w:space="0"/>
                  </w:tcBorders>
                  <w:vAlign w:val="top"/>
                </w:tcPr>
                <w:p w14:paraId="17E1B1F4">
                  <w:pPr>
                    <w:spacing w:before="68" w:line="240" w:lineRule="auto"/>
                    <w:ind w:left="261" w:leftChars="0" w:hanging="261"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出水水质达标分析</w:t>
                  </w:r>
                </w:p>
              </w:tc>
              <w:tc>
                <w:tcPr>
                  <w:tcW w:w="647" w:type="dxa"/>
                  <w:vAlign w:val="top"/>
                </w:tcPr>
                <w:p w14:paraId="6658B6FE">
                  <w:pPr>
                    <w:spacing w:before="68"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92" w:type="dxa"/>
                  <w:vAlign w:val="top"/>
                </w:tcPr>
                <w:p w14:paraId="3DD4F079">
                  <w:pPr>
                    <w:spacing w:before="68"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27" w:type="dxa"/>
                  <w:vAlign w:val="top"/>
                </w:tcPr>
                <w:p w14:paraId="3CFE1708">
                  <w:pPr>
                    <w:spacing w:before="68"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844" w:type="dxa"/>
                  <w:vAlign w:val="top"/>
                </w:tcPr>
                <w:p w14:paraId="5FFCECB5">
                  <w:pPr>
                    <w:spacing w:before="196"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677" w:type="dxa"/>
                  <w:vAlign w:val="top"/>
                </w:tcPr>
                <w:p w14:paraId="4069DE4E">
                  <w:pPr>
                    <w:spacing w:before="196"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875" w:type="dxa"/>
                  <w:vAlign w:val="top"/>
                </w:tcPr>
                <w:p w14:paraId="75DD9BB6">
                  <w:pPr>
                    <w:spacing w:before="196"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690" w:type="dxa"/>
                  <w:tcBorders>
                    <w:right w:val="single" w:color="000000" w:sz="10" w:space="0"/>
                  </w:tcBorders>
                  <w:vAlign w:val="top"/>
                </w:tcPr>
                <w:p w14:paraId="3459D132">
                  <w:pPr>
                    <w:spacing w:before="196"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r>
            <w:tr w14:paraId="7F5C0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2387" w:type="dxa"/>
                  <w:gridSpan w:val="2"/>
                  <w:tcBorders>
                    <w:left w:val="single" w:color="000000" w:sz="10" w:space="0"/>
                  </w:tcBorders>
                  <w:vAlign w:val="top"/>
                </w:tcPr>
                <w:p w14:paraId="7AD6DD8B">
                  <w:pPr>
                    <w:spacing w:before="53" w:line="240" w:lineRule="auto"/>
                    <w:ind w:left="266" w:leftChars="0" w:right="125" w:hanging="26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《城市污水再生利用工业用</w:t>
                  </w:r>
                  <w:r>
                    <w:rPr>
                      <w:rFonts w:ascii="Times New Roman" w:hAnsi="Times New Roman" w:eastAsia="宋体" w:cs="Times New Roman"/>
                      <w:color w:val="auto"/>
                      <w:spacing w:val="5"/>
                      <w:sz w:val="21"/>
                      <w:szCs w:val="21"/>
                      <w:highlight w:val="none"/>
                      <w:u w:val="none" w:color="auto"/>
                    </w:rPr>
                    <w:t>水水质标准》（</w:t>
                  </w:r>
                  <w:r>
                    <w:rPr>
                      <w:rFonts w:ascii="Times New Roman" w:hAnsi="Times New Roman" w:eastAsia="宋体" w:cs="Times New Roman"/>
                      <w:color w:val="auto"/>
                      <w:sz w:val="21"/>
                      <w:szCs w:val="21"/>
                      <w:highlight w:val="none"/>
                      <w:u w:val="none" w:color="auto"/>
                    </w:rPr>
                    <w:t>GB</w:t>
                  </w:r>
                  <w:r>
                    <w:rPr>
                      <w:rFonts w:ascii="Times New Roman" w:hAnsi="Times New Roman" w:eastAsia="宋体" w:cs="Times New Roman"/>
                      <w:color w:val="auto"/>
                      <w:spacing w:val="5"/>
                      <w:sz w:val="21"/>
                      <w:szCs w:val="21"/>
                      <w:highlight w:val="none"/>
                      <w:u w:val="none" w:color="auto"/>
                    </w:rPr>
                    <w:t>/T19923-</w:t>
                  </w:r>
                </w:p>
                <w:p w14:paraId="4D1C5A82">
                  <w:pPr>
                    <w:spacing w:before="24" w:line="240" w:lineRule="auto"/>
                    <w:ind w:left="264" w:leftChars="0" w:hanging="26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2024）洗涤用水</w:t>
                  </w:r>
                </w:p>
              </w:tc>
              <w:tc>
                <w:tcPr>
                  <w:tcW w:w="647" w:type="dxa"/>
                  <w:vAlign w:val="top"/>
                </w:tcPr>
                <w:p w14:paraId="1F6BE385">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21320797">
                  <w:pPr>
                    <w:spacing w:before="58"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6-9</w:t>
                  </w:r>
                </w:p>
              </w:tc>
              <w:tc>
                <w:tcPr>
                  <w:tcW w:w="992" w:type="dxa"/>
                  <w:vAlign w:val="top"/>
                </w:tcPr>
                <w:p w14:paraId="21DF7CFD">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687FAD4B">
                  <w:pPr>
                    <w:spacing w:before="57"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≤5</w:t>
                  </w:r>
                </w:p>
              </w:tc>
              <w:tc>
                <w:tcPr>
                  <w:tcW w:w="927" w:type="dxa"/>
                  <w:vAlign w:val="top"/>
                </w:tcPr>
                <w:p w14:paraId="00EDC946">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6F8FA479">
                  <w:pPr>
                    <w:spacing w:before="57" w:line="240" w:lineRule="auto"/>
                    <w:ind w:left="257" w:leftChars="0" w:hanging="25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≤10</w:t>
                  </w:r>
                </w:p>
              </w:tc>
              <w:tc>
                <w:tcPr>
                  <w:tcW w:w="844" w:type="dxa"/>
                  <w:vAlign w:val="top"/>
                </w:tcPr>
                <w:p w14:paraId="71EF8CB0">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22CAEE97">
                  <w:pPr>
                    <w:spacing w:before="57" w:line="240" w:lineRule="auto"/>
                    <w:ind w:left="257" w:leftChars="0" w:hanging="257"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≤50</w:t>
                  </w:r>
                </w:p>
              </w:tc>
              <w:tc>
                <w:tcPr>
                  <w:tcW w:w="677" w:type="dxa"/>
                  <w:vAlign w:val="top"/>
                </w:tcPr>
                <w:p w14:paraId="2086E29D">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538A8333">
                  <w:pPr>
                    <w:spacing w:before="57"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875" w:type="dxa"/>
                  <w:vAlign w:val="top"/>
                </w:tcPr>
                <w:p w14:paraId="19D12D55">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3292043B">
                  <w:pPr>
                    <w:spacing w:before="57"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w:t>
                  </w:r>
                </w:p>
              </w:tc>
              <w:tc>
                <w:tcPr>
                  <w:tcW w:w="690" w:type="dxa"/>
                  <w:tcBorders>
                    <w:right w:val="single" w:color="000000" w:sz="10" w:space="0"/>
                  </w:tcBorders>
                  <w:vAlign w:val="top"/>
                </w:tcPr>
                <w:p w14:paraId="6A98E93D">
                  <w:pPr>
                    <w:spacing w:line="240" w:lineRule="auto"/>
                    <w:ind w:left="247" w:leftChars="0" w:hanging="247" w:hangingChars="118"/>
                    <w:jc w:val="center"/>
                    <w:rPr>
                      <w:rFonts w:ascii="Times New Roman" w:hAnsi="Times New Roman" w:eastAsia="宋体" w:cs="Times New Roman"/>
                      <w:color w:val="auto"/>
                      <w:sz w:val="21"/>
                      <w:szCs w:val="21"/>
                      <w:highlight w:val="none"/>
                      <w:u w:val="none" w:color="auto"/>
                    </w:rPr>
                  </w:pPr>
                </w:p>
                <w:p w14:paraId="4ABE6D2B">
                  <w:pPr>
                    <w:spacing w:before="57"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≤0.5</w:t>
                  </w:r>
                </w:p>
              </w:tc>
            </w:tr>
            <w:tr w14:paraId="690D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7" w:type="dxa"/>
                  <w:gridSpan w:val="2"/>
                  <w:tcBorders>
                    <w:left w:val="single" w:color="000000" w:sz="10" w:space="0"/>
                  </w:tcBorders>
                  <w:vAlign w:val="top"/>
                </w:tcPr>
                <w:p w14:paraId="035FC42B">
                  <w:pPr>
                    <w:spacing w:before="73" w:line="240" w:lineRule="auto"/>
                    <w:ind w:left="261" w:leftChars="0" w:hanging="261"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出水水质达标分析</w:t>
                  </w:r>
                </w:p>
              </w:tc>
              <w:tc>
                <w:tcPr>
                  <w:tcW w:w="647" w:type="dxa"/>
                  <w:vAlign w:val="top"/>
                </w:tcPr>
                <w:p w14:paraId="59EC6AE2">
                  <w:pPr>
                    <w:spacing w:before="73"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92" w:type="dxa"/>
                  <w:vAlign w:val="top"/>
                </w:tcPr>
                <w:p w14:paraId="3E7757E7">
                  <w:pPr>
                    <w:spacing w:before="73"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27" w:type="dxa"/>
                  <w:vAlign w:val="top"/>
                </w:tcPr>
                <w:p w14:paraId="5139CFA5">
                  <w:pPr>
                    <w:spacing w:before="73"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844" w:type="dxa"/>
                  <w:vAlign w:val="top"/>
                </w:tcPr>
                <w:p w14:paraId="38021451">
                  <w:pPr>
                    <w:spacing w:before="73"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677" w:type="dxa"/>
                  <w:vAlign w:val="top"/>
                </w:tcPr>
                <w:p w14:paraId="25BF157E">
                  <w:pPr>
                    <w:spacing w:before="200" w:line="240" w:lineRule="auto"/>
                    <w:ind w:left="276" w:leftChars="0" w:hanging="27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875" w:type="dxa"/>
                  <w:vAlign w:val="top"/>
                </w:tcPr>
                <w:p w14:paraId="3BC4DFBB">
                  <w:pPr>
                    <w:spacing w:before="73"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690" w:type="dxa"/>
                  <w:tcBorders>
                    <w:right w:val="single" w:color="000000" w:sz="10" w:space="0"/>
                  </w:tcBorders>
                  <w:vAlign w:val="top"/>
                </w:tcPr>
                <w:p w14:paraId="0E8E3CB2">
                  <w:pPr>
                    <w:spacing w:before="54" w:line="240" w:lineRule="auto"/>
                    <w:ind w:left="259" w:leftChars="0" w:hanging="259"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07815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387" w:type="dxa"/>
                  <w:gridSpan w:val="2"/>
                  <w:tcBorders>
                    <w:left w:val="single" w:color="000000" w:sz="10" w:space="0"/>
                    <w:bottom w:val="single" w:color="000000" w:sz="10" w:space="0"/>
                  </w:tcBorders>
                  <w:vAlign w:val="top"/>
                </w:tcPr>
                <w:p w14:paraId="3559E10E">
                  <w:pPr>
                    <w:spacing w:before="73" w:line="240" w:lineRule="auto"/>
                    <w:ind w:left="266" w:leftChars="0" w:hanging="266"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污水处理效率（平均值%）</w:t>
                  </w:r>
                </w:p>
              </w:tc>
              <w:tc>
                <w:tcPr>
                  <w:tcW w:w="647" w:type="dxa"/>
                  <w:tcBorders>
                    <w:bottom w:val="single" w:color="000000" w:sz="10" w:space="0"/>
                  </w:tcBorders>
                  <w:vAlign w:val="top"/>
                </w:tcPr>
                <w:p w14:paraId="63BFB621">
                  <w:pPr>
                    <w:spacing w:before="107"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c>
                <w:tcPr>
                  <w:tcW w:w="992" w:type="dxa"/>
                  <w:tcBorders>
                    <w:bottom w:val="single" w:color="000000" w:sz="10" w:space="0"/>
                  </w:tcBorders>
                  <w:vAlign w:val="top"/>
                </w:tcPr>
                <w:p w14:paraId="3C8BAE0D">
                  <w:pPr>
                    <w:spacing w:before="111" w:line="240" w:lineRule="auto"/>
                    <w:ind w:left="254" w:leftChars="0" w:hanging="254"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47.3</w:t>
                  </w:r>
                </w:p>
              </w:tc>
              <w:tc>
                <w:tcPr>
                  <w:tcW w:w="927" w:type="dxa"/>
                  <w:tcBorders>
                    <w:bottom w:val="single" w:color="000000" w:sz="10" w:space="0"/>
                  </w:tcBorders>
                  <w:vAlign w:val="top"/>
                </w:tcPr>
                <w:p w14:paraId="28B779FC">
                  <w:pPr>
                    <w:spacing w:before="111" w:line="240" w:lineRule="auto"/>
                    <w:ind w:left="250" w:leftChars="0" w:hanging="250"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94.5</w:t>
                  </w:r>
                </w:p>
              </w:tc>
              <w:tc>
                <w:tcPr>
                  <w:tcW w:w="844" w:type="dxa"/>
                  <w:tcBorders>
                    <w:bottom w:val="single" w:color="000000" w:sz="10" w:space="0"/>
                  </w:tcBorders>
                  <w:vAlign w:val="top"/>
                </w:tcPr>
                <w:p w14:paraId="55A459D2">
                  <w:pPr>
                    <w:spacing w:before="111"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93.5</w:t>
                  </w:r>
                </w:p>
              </w:tc>
              <w:tc>
                <w:tcPr>
                  <w:tcW w:w="677" w:type="dxa"/>
                  <w:tcBorders>
                    <w:bottom w:val="single" w:color="000000" w:sz="10" w:space="0"/>
                  </w:tcBorders>
                  <w:vAlign w:val="top"/>
                </w:tcPr>
                <w:p w14:paraId="0C9F190A">
                  <w:pPr>
                    <w:spacing w:before="111"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90.7</w:t>
                  </w:r>
                </w:p>
              </w:tc>
              <w:tc>
                <w:tcPr>
                  <w:tcW w:w="875" w:type="dxa"/>
                  <w:tcBorders>
                    <w:bottom w:val="single" w:color="000000" w:sz="10" w:space="0"/>
                  </w:tcBorders>
                  <w:vAlign w:val="top"/>
                </w:tcPr>
                <w:p w14:paraId="383081FF">
                  <w:pPr>
                    <w:spacing w:before="111"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94.5</w:t>
                  </w:r>
                </w:p>
              </w:tc>
              <w:tc>
                <w:tcPr>
                  <w:tcW w:w="690" w:type="dxa"/>
                  <w:tcBorders>
                    <w:bottom w:val="single" w:color="000000" w:sz="10" w:space="0"/>
                    <w:right w:val="single" w:color="000000" w:sz="10" w:space="0"/>
                  </w:tcBorders>
                  <w:vAlign w:val="top"/>
                </w:tcPr>
                <w:p w14:paraId="553678EC">
                  <w:pPr>
                    <w:spacing w:before="111" w:line="240" w:lineRule="auto"/>
                    <w:ind w:left="252" w:leftChars="0" w:hanging="252" w:hangingChars="118"/>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99.6</w:t>
                  </w:r>
                </w:p>
              </w:tc>
            </w:tr>
          </w:tbl>
          <w:p w14:paraId="563E85BA">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113"/>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bCs/>
                <w:color w:val="auto"/>
                <w:spacing w:val="1"/>
                <w:sz w:val="21"/>
                <w:szCs w:val="21"/>
                <w:highlight w:val="none"/>
                <w:u w:val="none" w:color="auto"/>
              </w:rPr>
              <w:t>表</w:t>
            </w:r>
            <w:r>
              <w:rPr>
                <w:rFonts w:hint="eastAsia" w:ascii="Times New Roman" w:hAnsi="Times New Roman" w:eastAsia="宋体" w:cs="Times New Roman"/>
                <w:b/>
                <w:bCs/>
                <w:color w:val="auto"/>
                <w:spacing w:val="1"/>
                <w:sz w:val="21"/>
                <w:szCs w:val="21"/>
                <w:highlight w:val="none"/>
                <w:u w:val="none" w:color="auto"/>
                <w:lang w:val="en-US" w:eastAsia="zh-CN"/>
              </w:rPr>
              <w:t>2</w:t>
            </w:r>
            <w:r>
              <w:rPr>
                <w:rFonts w:hint="default" w:ascii="Times New Roman" w:hAnsi="Times New Roman" w:eastAsia="宋体" w:cs="Times New Roman"/>
                <w:b/>
                <w:bCs/>
                <w:color w:val="auto"/>
                <w:spacing w:val="1"/>
                <w:sz w:val="21"/>
                <w:szCs w:val="21"/>
                <w:highlight w:val="none"/>
                <w:u w:val="none" w:color="auto"/>
              </w:rPr>
              <w:t>-</w:t>
            </w:r>
            <w:r>
              <w:rPr>
                <w:rFonts w:hint="eastAsia" w:ascii="Times New Roman" w:hAnsi="Times New Roman" w:eastAsia="宋体" w:cs="Times New Roman"/>
                <w:b/>
                <w:bCs/>
                <w:color w:val="auto"/>
                <w:spacing w:val="1"/>
                <w:sz w:val="21"/>
                <w:szCs w:val="21"/>
                <w:highlight w:val="none"/>
                <w:u w:val="none" w:color="auto"/>
                <w:lang w:val="en-US" w:eastAsia="zh-CN"/>
              </w:rPr>
              <w:t xml:space="preserve">11  </w:t>
            </w:r>
            <w:r>
              <w:rPr>
                <w:rFonts w:hint="default" w:ascii="Times New Roman" w:hAnsi="Times New Roman" w:eastAsia="宋体" w:cs="Times New Roman"/>
                <w:b/>
                <w:bCs/>
                <w:color w:val="auto"/>
                <w:spacing w:val="1"/>
                <w:sz w:val="21"/>
                <w:szCs w:val="21"/>
                <w:highlight w:val="none"/>
                <w:u w:val="none" w:color="auto"/>
              </w:rPr>
              <w:t>5#泊位含油污水处</w:t>
            </w:r>
            <w:r>
              <w:rPr>
                <w:rFonts w:hint="default" w:ascii="Times New Roman" w:hAnsi="Times New Roman" w:eastAsia="宋体" w:cs="Times New Roman"/>
                <w:b/>
                <w:bCs/>
                <w:color w:val="auto"/>
                <w:sz w:val="21"/>
                <w:szCs w:val="21"/>
                <w:highlight w:val="none"/>
                <w:u w:val="none" w:color="auto"/>
              </w:rPr>
              <w:t>理站进、出水水质监测结果</w:t>
            </w:r>
            <w:r>
              <w:rPr>
                <w:rFonts w:hint="eastAsia" w:ascii="Times New Roman" w:hAnsi="Times New Roman" w:eastAsia="宋体" w:cs="Times New Roman"/>
                <w:b/>
                <w:bCs/>
                <w:color w:val="auto"/>
                <w:sz w:val="21"/>
                <w:szCs w:val="21"/>
                <w:highlight w:val="none"/>
                <w:u w:val="none" w:color="auto"/>
                <w:lang w:val="en-US" w:eastAsia="zh-CN"/>
              </w:rPr>
              <w:t xml:space="preserve"> </w:t>
            </w:r>
            <w:r>
              <w:rPr>
                <w:rFonts w:hint="default" w:ascii="Times New Roman" w:hAnsi="Times New Roman" w:eastAsia="宋体" w:cs="Times New Roman"/>
                <w:b/>
                <w:bCs/>
                <w:color w:val="auto"/>
                <w:sz w:val="21"/>
                <w:szCs w:val="21"/>
                <w:highlight w:val="none"/>
                <w:u w:val="none" w:color="auto"/>
              </w:rPr>
              <w:t>单位：mg/L（除pH外）</w:t>
            </w:r>
          </w:p>
          <w:tbl>
            <w:tblPr>
              <w:tblStyle w:val="143"/>
              <w:tblW w:w="809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664"/>
              <w:gridCol w:w="1816"/>
              <w:gridCol w:w="552"/>
              <w:gridCol w:w="1"/>
              <w:gridCol w:w="990"/>
              <w:gridCol w:w="927"/>
              <w:gridCol w:w="1"/>
              <w:gridCol w:w="842"/>
              <w:gridCol w:w="1"/>
              <w:gridCol w:w="675"/>
              <w:gridCol w:w="1"/>
              <w:gridCol w:w="875"/>
              <w:gridCol w:w="1"/>
              <w:gridCol w:w="744"/>
            </w:tblGrid>
            <w:tr w14:paraId="59213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2481" w:type="dxa"/>
                  <w:gridSpan w:val="3"/>
                  <w:vMerge w:val="restart"/>
                  <w:tcBorders>
                    <w:top w:val="single" w:color="000000" w:sz="10" w:space="0"/>
                    <w:left w:val="single" w:color="000000" w:sz="10" w:space="0"/>
                    <w:bottom w:val="nil"/>
                  </w:tcBorders>
                  <w:vAlign w:val="center"/>
                </w:tcPr>
                <w:p w14:paraId="1A0F556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水质</w:t>
                  </w:r>
                </w:p>
              </w:tc>
              <w:tc>
                <w:tcPr>
                  <w:tcW w:w="5610" w:type="dxa"/>
                  <w:gridSpan w:val="12"/>
                  <w:tcBorders>
                    <w:top w:val="single" w:color="000000" w:sz="10" w:space="0"/>
                    <w:right w:val="single" w:color="000000" w:sz="10" w:space="0"/>
                  </w:tcBorders>
                  <w:vAlign w:val="center"/>
                </w:tcPr>
                <w:p w14:paraId="05AD7B9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监测结果（出水均值）</w:t>
                  </w:r>
                </w:p>
              </w:tc>
            </w:tr>
            <w:tr w14:paraId="060D7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481" w:type="dxa"/>
                  <w:gridSpan w:val="3"/>
                  <w:vMerge w:val="continue"/>
                  <w:tcBorders>
                    <w:top w:val="nil"/>
                    <w:left w:val="single" w:color="000000" w:sz="10" w:space="0"/>
                  </w:tcBorders>
                  <w:vAlign w:val="center"/>
                </w:tcPr>
                <w:p w14:paraId="504BBF5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552" w:type="dxa"/>
                  <w:vAlign w:val="center"/>
                </w:tcPr>
                <w:p w14:paraId="482F2B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3"/>
                      <w:sz w:val="21"/>
                      <w:szCs w:val="21"/>
                      <w:highlight w:val="none"/>
                      <w:u w:val="none" w:color="auto"/>
                    </w:rPr>
                    <w:t>pH</w:t>
                  </w:r>
                </w:p>
              </w:tc>
              <w:tc>
                <w:tcPr>
                  <w:tcW w:w="991" w:type="dxa"/>
                  <w:gridSpan w:val="2"/>
                  <w:vAlign w:val="center"/>
                </w:tcPr>
                <w:p w14:paraId="201A2FF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z w:val="21"/>
                      <w:szCs w:val="21"/>
                      <w:highlight w:val="none"/>
                      <w:u w:val="none" w:color="auto"/>
                    </w:rPr>
                    <w:t>NH</w:t>
                  </w:r>
                  <w:r>
                    <w:rPr>
                      <w:rFonts w:ascii="Times New Roman" w:hAnsi="Times New Roman" w:eastAsia="宋体" w:cs="Times New Roman"/>
                      <w:b/>
                      <w:bCs/>
                      <w:color w:val="auto"/>
                      <w:spacing w:val="7"/>
                      <w:sz w:val="21"/>
                      <w:szCs w:val="21"/>
                      <w:highlight w:val="none"/>
                      <w:u w:val="none" w:color="auto"/>
                      <w:vertAlign w:val="subscript"/>
                    </w:rPr>
                    <w:t>3</w:t>
                  </w:r>
                  <w:r>
                    <w:rPr>
                      <w:rFonts w:ascii="Times New Roman" w:hAnsi="Times New Roman" w:eastAsia="宋体" w:cs="Times New Roman"/>
                      <w:b/>
                      <w:bCs/>
                      <w:color w:val="auto"/>
                      <w:spacing w:val="7"/>
                      <w:sz w:val="21"/>
                      <w:szCs w:val="21"/>
                      <w:highlight w:val="none"/>
                      <w:u w:val="none" w:color="auto"/>
                    </w:rPr>
                    <w:t>-N</w:t>
                  </w:r>
                </w:p>
              </w:tc>
              <w:tc>
                <w:tcPr>
                  <w:tcW w:w="927" w:type="dxa"/>
                  <w:vAlign w:val="center"/>
                </w:tcPr>
                <w:p w14:paraId="6E583AC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BOD</w:t>
                  </w:r>
                  <w:r>
                    <w:rPr>
                      <w:rFonts w:ascii="Times New Roman" w:hAnsi="Times New Roman" w:eastAsia="宋体" w:cs="Times New Roman"/>
                      <w:b/>
                      <w:bCs/>
                      <w:color w:val="auto"/>
                      <w:spacing w:val="5"/>
                      <w:position w:val="-1"/>
                      <w:sz w:val="21"/>
                      <w:szCs w:val="21"/>
                      <w:highlight w:val="none"/>
                      <w:u w:val="none" w:color="auto"/>
                      <w:vertAlign w:val="subscript"/>
                    </w:rPr>
                    <w:t>5</w:t>
                  </w:r>
                </w:p>
              </w:tc>
              <w:tc>
                <w:tcPr>
                  <w:tcW w:w="843" w:type="dxa"/>
                  <w:gridSpan w:val="2"/>
                  <w:vAlign w:val="center"/>
                </w:tcPr>
                <w:p w14:paraId="14955B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4"/>
                      <w:sz w:val="21"/>
                      <w:szCs w:val="21"/>
                      <w:highlight w:val="none"/>
                      <w:u w:val="none" w:color="auto"/>
                    </w:rPr>
                    <w:t>COD</w:t>
                  </w:r>
                </w:p>
              </w:tc>
              <w:tc>
                <w:tcPr>
                  <w:tcW w:w="676" w:type="dxa"/>
                  <w:gridSpan w:val="2"/>
                  <w:vAlign w:val="center"/>
                </w:tcPr>
                <w:p w14:paraId="7862329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1"/>
                      <w:sz w:val="21"/>
                      <w:szCs w:val="21"/>
                      <w:highlight w:val="none"/>
                      <w:u w:val="none" w:color="auto"/>
                    </w:rPr>
                    <w:t>SS</w:t>
                  </w:r>
                </w:p>
              </w:tc>
              <w:tc>
                <w:tcPr>
                  <w:tcW w:w="876" w:type="dxa"/>
                  <w:gridSpan w:val="2"/>
                  <w:vAlign w:val="center"/>
                </w:tcPr>
                <w:p w14:paraId="79C2B6D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5"/>
                      <w:sz w:val="21"/>
                      <w:szCs w:val="21"/>
                      <w:highlight w:val="none"/>
                      <w:u w:val="none" w:color="auto"/>
                    </w:rPr>
                    <w:t>石油类</w:t>
                  </w:r>
                </w:p>
              </w:tc>
              <w:tc>
                <w:tcPr>
                  <w:tcW w:w="745" w:type="dxa"/>
                  <w:gridSpan w:val="2"/>
                  <w:tcBorders>
                    <w:right w:val="single" w:color="000000" w:sz="10" w:space="0"/>
                  </w:tcBorders>
                  <w:vAlign w:val="center"/>
                </w:tcPr>
                <w:p w14:paraId="1487170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1"/>
                      <w:sz w:val="21"/>
                      <w:szCs w:val="21"/>
                      <w:highlight w:val="none"/>
                      <w:u w:val="none" w:color="auto"/>
                    </w:rPr>
                    <w:t>总磷</w:t>
                  </w:r>
                </w:p>
              </w:tc>
            </w:tr>
            <w:tr w14:paraId="04E78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65" w:type="dxa"/>
                  <w:gridSpan w:val="2"/>
                  <w:vMerge w:val="restart"/>
                  <w:tcBorders>
                    <w:left w:val="single" w:color="000000" w:sz="10" w:space="0"/>
                  </w:tcBorders>
                  <w:vAlign w:val="center"/>
                </w:tcPr>
                <w:p w14:paraId="6373704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01FF957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W3</w:t>
                  </w:r>
                  <w:r>
                    <w:rPr>
                      <w:rFonts w:ascii="Times New Roman" w:hAnsi="Times New Roman" w:eastAsia="宋体" w:cs="Times New Roman"/>
                      <w:color w:val="auto"/>
                      <w:spacing w:val="3"/>
                      <w:sz w:val="21"/>
                      <w:szCs w:val="21"/>
                      <w:highlight w:val="none"/>
                      <w:u w:val="none" w:color="auto"/>
                    </w:rPr>
                    <w:t>（进</w:t>
                  </w:r>
                  <w:r>
                    <w:rPr>
                      <w:rFonts w:ascii="Times New Roman" w:hAnsi="Times New Roman" w:eastAsia="宋体" w:cs="Times New Roman"/>
                      <w:color w:val="auto"/>
                      <w:spacing w:val="-1"/>
                      <w:sz w:val="21"/>
                      <w:szCs w:val="21"/>
                      <w:highlight w:val="none"/>
                      <w:u w:val="none" w:color="auto"/>
                    </w:rPr>
                    <w:t>水）</w:t>
                  </w:r>
                </w:p>
              </w:tc>
              <w:tc>
                <w:tcPr>
                  <w:tcW w:w="1816" w:type="dxa"/>
                  <w:vAlign w:val="center"/>
                </w:tcPr>
                <w:p w14:paraId="666AB62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9月5日第一次</w:t>
                  </w:r>
                </w:p>
              </w:tc>
              <w:tc>
                <w:tcPr>
                  <w:tcW w:w="552" w:type="dxa"/>
                  <w:vAlign w:val="center"/>
                </w:tcPr>
                <w:p w14:paraId="2D5B55F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7.4</w:t>
                  </w:r>
                </w:p>
              </w:tc>
              <w:tc>
                <w:tcPr>
                  <w:tcW w:w="991" w:type="dxa"/>
                  <w:gridSpan w:val="2"/>
                  <w:vAlign w:val="center"/>
                </w:tcPr>
                <w:p w14:paraId="64C04E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18.68</w:t>
                  </w:r>
                </w:p>
              </w:tc>
              <w:tc>
                <w:tcPr>
                  <w:tcW w:w="927" w:type="dxa"/>
                  <w:vAlign w:val="center"/>
                </w:tcPr>
                <w:p w14:paraId="0DA7475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29.8</w:t>
                  </w:r>
                </w:p>
              </w:tc>
              <w:tc>
                <w:tcPr>
                  <w:tcW w:w="843" w:type="dxa"/>
                  <w:gridSpan w:val="2"/>
                  <w:vAlign w:val="center"/>
                </w:tcPr>
                <w:p w14:paraId="3E5F83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130</w:t>
                  </w:r>
                </w:p>
              </w:tc>
              <w:tc>
                <w:tcPr>
                  <w:tcW w:w="676" w:type="dxa"/>
                  <w:gridSpan w:val="2"/>
                  <w:vAlign w:val="center"/>
                </w:tcPr>
                <w:p w14:paraId="383A009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22</w:t>
                  </w:r>
                </w:p>
              </w:tc>
              <w:tc>
                <w:tcPr>
                  <w:tcW w:w="876" w:type="dxa"/>
                  <w:gridSpan w:val="2"/>
                  <w:vAlign w:val="center"/>
                </w:tcPr>
                <w:p w14:paraId="64C2029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5.54</w:t>
                  </w:r>
                </w:p>
              </w:tc>
              <w:tc>
                <w:tcPr>
                  <w:tcW w:w="745" w:type="dxa"/>
                  <w:gridSpan w:val="2"/>
                  <w:tcBorders>
                    <w:right w:val="single" w:color="000000" w:sz="10" w:space="0"/>
                  </w:tcBorders>
                  <w:vAlign w:val="center"/>
                </w:tcPr>
                <w:p w14:paraId="64F8A43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0.83</w:t>
                  </w:r>
                </w:p>
              </w:tc>
            </w:tr>
            <w:tr w14:paraId="1E9B7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665" w:type="dxa"/>
                  <w:gridSpan w:val="2"/>
                  <w:vMerge w:val="continue"/>
                  <w:tcBorders>
                    <w:left w:val="single" w:color="000000" w:sz="10" w:space="0"/>
                  </w:tcBorders>
                  <w:vAlign w:val="center"/>
                </w:tcPr>
                <w:p w14:paraId="5B14A18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vAlign w:val="center"/>
                </w:tcPr>
                <w:p w14:paraId="3784CAD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9月5日第二次</w:t>
                  </w:r>
                </w:p>
              </w:tc>
              <w:tc>
                <w:tcPr>
                  <w:tcW w:w="552" w:type="dxa"/>
                  <w:vAlign w:val="center"/>
                </w:tcPr>
                <w:p w14:paraId="41C4FD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7.4</w:t>
                  </w:r>
                </w:p>
              </w:tc>
              <w:tc>
                <w:tcPr>
                  <w:tcW w:w="991" w:type="dxa"/>
                  <w:gridSpan w:val="2"/>
                  <w:vAlign w:val="center"/>
                </w:tcPr>
                <w:p w14:paraId="40872D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16.25</w:t>
                  </w:r>
                </w:p>
              </w:tc>
              <w:tc>
                <w:tcPr>
                  <w:tcW w:w="927" w:type="dxa"/>
                  <w:vAlign w:val="center"/>
                </w:tcPr>
                <w:p w14:paraId="72EDBC1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30.0</w:t>
                  </w:r>
                </w:p>
              </w:tc>
              <w:tc>
                <w:tcPr>
                  <w:tcW w:w="843" w:type="dxa"/>
                  <w:gridSpan w:val="2"/>
                  <w:vAlign w:val="center"/>
                </w:tcPr>
                <w:p w14:paraId="44AFD61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135</w:t>
                  </w:r>
                </w:p>
              </w:tc>
              <w:tc>
                <w:tcPr>
                  <w:tcW w:w="676" w:type="dxa"/>
                  <w:gridSpan w:val="2"/>
                  <w:vAlign w:val="center"/>
                </w:tcPr>
                <w:p w14:paraId="3DB6005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25</w:t>
                  </w:r>
                </w:p>
              </w:tc>
              <w:tc>
                <w:tcPr>
                  <w:tcW w:w="876" w:type="dxa"/>
                  <w:gridSpan w:val="2"/>
                  <w:vAlign w:val="center"/>
                </w:tcPr>
                <w:p w14:paraId="7146A98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5.58</w:t>
                  </w:r>
                </w:p>
              </w:tc>
              <w:tc>
                <w:tcPr>
                  <w:tcW w:w="745" w:type="dxa"/>
                  <w:gridSpan w:val="2"/>
                  <w:tcBorders>
                    <w:right w:val="single" w:color="000000" w:sz="10" w:space="0"/>
                  </w:tcBorders>
                  <w:vAlign w:val="center"/>
                </w:tcPr>
                <w:p w14:paraId="1D252E1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0.82</w:t>
                  </w:r>
                </w:p>
              </w:tc>
            </w:tr>
            <w:tr w14:paraId="30571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65" w:type="dxa"/>
                  <w:gridSpan w:val="2"/>
                  <w:vMerge w:val="continue"/>
                  <w:tcBorders>
                    <w:left w:val="single" w:color="000000" w:sz="10" w:space="0"/>
                  </w:tcBorders>
                  <w:vAlign w:val="center"/>
                </w:tcPr>
                <w:p w14:paraId="757DA8F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vAlign w:val="center"/>
                </w:tcPr>
                <w:p w14:paraId="20CF3AC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9月5日第三次</w:t>
                  </w:r>
                </w:p>
              </w:tc>
              <w:tc>
                <w:tcPr>
                  <w:tcW w:w="552" w:type="dxa"/>
                  <w:vAlign w:val="center"/>
                </w:tcPr>
                <w:p w14:paraId="142E543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7.5</w:t>
                  </w:r>
                </w:p>
              </w:tc>
              <w:tc>
                <w:tcPr>
                  <w:tcW w:w="991" w:type="dxa"/>
                  <w:gridSpan w:val="2"/>
                  <w:vAlign w:val="center"/>
                </w:tcPr>
                <w:p w14:paraId="5806FF0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17.71</w:t>
                  </w:r>
                </w:p>
              </w:tc>
              <w:tc>
                <w:tcPr>
                  <w:tcW w:w="927" w:type="dxa"/>
                  <w:vAlign w:val="center"/>
                </w:tcPr>
                <w:p w14:paraId="06BB461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26.8</w:t>
                  </w:r>
                </w:p>
              </w:tc>
              <w:tc>
                <w:tcPr>
                  <w:tcW w:w="843" w:type="dxa"/>
                  <w:gridSpan w:val="2"/>
                  <w:vAlign w:val="center"/>
                </w:tcPr>
                <w:p w14:paraId="2F6AA80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133</w:t>
                  </w:r>
                </w:p>
              </w:tc>
              <w:tc>
                <w:tcPr>
                  <w:tcW w:w="676" w:type="dxa"/>
                  <w:gridSpan w:val="2"/>
                  <w:vAlign w:val="center"/>
                </w:tcPr>
                <w:p w14:paraId="137A637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23</w:t>
                  </w:r>
                </w:p>
              </w:tc>
              <w:tc>
                <w:tcPr>
                  <w:tcW w:w="876" w:type="dxa"/>
                  <w:gridSpan w:val="2"/>
                  <w:vAlign w:val="center"/>
                </w:tcPr>
                <w:p w14:paraId="1F3823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5.34</w:t>
                  </w:r>
                </w:p>
              </w:tc>
              <w:tc>
                <w:tcPr>
                  <w:tcW w:w="745" w:type="dxa"/>
                  <w:gridSpan w:val="2"/>
                  <w:tcBorders>
                    <w:right w:val="single" w:color="000000" w:sz="10" w:space="0"/>
                  </w:tcBorders>
                  <w:vAlign w:val="center"/>
                </w:tcPr>
                <w:p w14:paraId="6231937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0.81</w:t>
                  </w:r>
                </w:p>
              </w:tc>
            </w:tr>
            <w:tr w14:paraId="7EA95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65" w:type="dxa"/>
                  <w:gridSpan w:val="2"/>
                  <w:vMerge w:val="continue"/>
                  <w:tcBorders>
                    <w:left w:val="single" w:color="000000" w:sz="10" w:space="0"/>
                  </w:tcBorders>
                  <w:vAlign w:val="center"/>
                </w:tcPr>
                <w:p w14:paraId="283549D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vAlign w:val="center"/>
                </w:tcPr>
                <w:p w14:paraId="2C1E3D9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9月5日第四次</w:t>
                  </w:r>
                </w:p>
              </w:tc>
              <w:tc>
                <w:tcPr>
                  <w:tcW w:w="552" w:type="dxa"/>
                  <w:vAlign w:val="center"/>
                </w:tcPr>
                <w:p w14:paraId="1BB5882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7.4</w:t>
                  </w:r>
                </w:p>
              </w:tc>
              <w:tc>
                <w:tcPr>
                  <w:tcW w:w="991" w:type="dxa"/>
                  <w:gridSpan w:val="2"/>
                  <w:vAlign w:val="center"/>
                </w:tcPr>
                <w:p w14:paraId="6902517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18.47</w:t>
                  </w:r>
                </w:p>
              </w:tc>
              <w:tc>
                <w:tcPr>
                  <w:tcW w:w="927" w:type="dxa"/>
                  <w:vAlign w:val="center"/>
                </w:tcPr>
                <w:p w14:paraId="3566418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31.6</w:t>
                  </w:r>
                </w:p>
              </w:tc>
              <w:tc>
                <w:tcPr>
                  <w:tcW w:w="843" w:type="dxa"/>
                  <w:gridSpan w:val="2"/>
                  <w:vAlign w:val="center"/>
                </w:tcPr>
                <w:p w14:paraId="6412DC9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128</w:t>
                  </w:r>
                </w:p>
              </w:tc>
              <w:tc>
                <w:tcPr>
                  <w:tcW w:w="676" w:type="dxa"/>
                  <w:gridSpan w:val="2"/>
                  <w:vAlign w:val="center"/>
                </w:tcPr>
                <w:p w14:paraId="46B5C67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20</w:t>
                  </w:r>
                </w:p>
              </w:tc>
              <w:tc>
                <w:tcPr>
                  <w:tcW w:w="876" w:type="dxa"/>
                  <w:gridSpan w:val="2"/>
                  <w:vAlign w:val="center"/>
                </w:tcPr>
                <w:p w14:paraId="0ADFB5F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5.31</w:t>
                  </w:r>
                </w:p>
              </w:tc>
              <w:tc>
                <w:tcPr>
                  <w:tcW w:w="745" w:type="dxa"/>
                  <w:gridSpan w:val="2"/>
                  <w:tcBorders>
                    <w:right w:val="single" w:color="000000" w:sz="10" w:space="0"/>
                  </w:tcBorders>
                  <w:vAlign w:val="center"/>
                </w:tcPr>
                <w:p w14:paraId="50F2755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0.83</w:t>
                  </w:r>
                </w:p>
              </w:tc>
            </w:tr>
            <w:tr w14:paraId="083B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1BB0A11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vAlign w:val="center"/>
                </w:tcPr>
                <w:p w14:paraId="0462BDB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9月6日第一次</w:t>
                  </w:r>
                </w:p>
              </w:tc>
              <w:tc>
                <w:tcPr>
                  <w:tcW w:w="552" w:type="dxa"/>
                  <w:tcBorders>
                    <w:bottom w:val="single" w:color="000000" w:sz="10" w:space="0"/>
                  </w:tcBorders>
                  <w:vAlign w:val="center"/>
                </w:tcPr>
                <w:p w14:paraId="3F89BEC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7.3</w:t>
                  </w:r>
                </w:p>
              </w:tc>
              <w:tc>
                <w:tcPr>
                  <w:tcW w:w="991" w:type="dxa"/>
                  <w:gridSpan w:val="2"/>
                  <w:tcBorders>
                    <w:bottom w:val="single" w:color="000000" w:sz="10" w:space="0"/>
                  </w:tcBorders>
                  <w:vAlign w:val="center"/>
                </w:tcPr>
                <w:p w14:paraId="38D06A2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20.07</w:t>
                  </w:r>
                </w:p>
              </w:tc>
              <w:tc>
                <w:tcPr>
                  <w:tcW w:w="927" w:type="dxa"/>
                  <w:tcBorders>
                    <w:bottom w:val="single" w:color="000000" w:sz="10" w:space="0"/>
                  </w:tcBorders>
                  <w:vAlign w:val="center"/>
                </w:tcPr>
                <w:p w14:paraId="74CCEE6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26.3</w:t>
                  </w:r>
                </w:p>
              </w:tc>
              <w:tc>
                <w:tcPr>
                  <w:tcW w:w="843" w:type="dxa"/>
                  <w:gridSpan w:val="2"/>
                  <w:tcBorders>
                    <w:bottom w:val="single" w:color="000000" w:sz="10" w:space="0"/>
                  </w:tcBorders>
                  <w:vAlign w:val="center"/>
                </w:tcPr>
                <w:p w14:paraId="14D8B6E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136</w:t>
                  </w:r>
                </w:p>
              </w:tc>
              <w:tc>
                <w:tcPr>
                  <w:tcW w:w="676" w:type="dxa"/>
                  <w:gridSpan w:val="2"/>
                  <w:tcBorders>
                    <w:bottom w:val="single" w:color="000000" w:sz="10" w:space="0"/>
                  </w:tcBorders>
                  <w:vAlign w:val="center"/>
                </w:tcPr>
                <w:p w14:paraId="7F4CE6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20</w:t>
                  </w:r>
                </w:p>
              </w:tc>
              <w:tc>
                <w:tcPr>
                  <w:tcW w:w="876" w:type="dxa"/>
                  <w:gridSpan w:val="2"/>
                  <w:tcBorders>
                    <w:bottom w:val="single" w:color="000000" w:sz="10" w:space="0"/>
                  </w:tcBorders>
                  <w:vAlign w:val="center"/>
                </w:tcPr>
                <w:p w14:paraId="7491619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4.96</w:t>
                  </w:r>
                </w:p>
              </w:tc>
              <w:tc>
                <w:tcPr>
                  <w:tcW w:w="745" w:type="dxa"/>
                  <w:gridSpan w:val="2"/>
                  <w:tcBorders>
                    <w:bottom w:val="single" w:color="000000" w:sz="10" w:space="0"/>
                    <w:right w:val="single" w:color="000000" w:sz="10" w:space="0"/>
                  </w:tcBorders>
                  <w:vAlign w:val="center"/>
                </w:tcPr>
                <w:p w14:paraId="2EBFFF9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0.84</w:t>
                  </w:r>
                </w:p>
              </w:tc>
            </w:tr>
            <w:tr w14:paraId="2EA53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13CC4E4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28212CB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9月6日第二次</w:t>
                  </w:r>
                </w:p>
              </w:tc>
              <w:tc>
                <w:tcPr>
                  <w:tcW w:w="552" w:type="dxa"/>
                  <w:tcBorders>
                    <w:bottom w:val="single" w:color="000000" w:sz="10" w:space="0"/>
                  </w:tcBorders>
                  <w:shd w:val="clear" w:color="auto" w:fill="auto"/>
                  <w:vAlign w:val="center"/>
                </w:tcPr>
                <w:p w14:paraId="1C3605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7.4</w:t>
                  </w:r>
                </w:p>
              </w:tc>
              <w:tc>
                <w:tcPr>
                  <w:tcW w:w="991" w:type="dxa"/>
                  <w:gridSpan w:val="2"/>
                  <w:tcBorders>
                    <w:bottom w:val="single" w:color="000000" w:sz="10" w:space="0"/>
                  </w:tcBorders>
                  <w:shd w:val="clear" w:color="auto" w:fill="auto"/>
                  <w:vAlign w:val="center"/>
                </w:tcPr>
                <w:p w14:paraId="3B4DB55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17.22</w:t>
                  </w:r>
                </w:p>
              </w:tc>
              <w:tc>
                <w:tcPr>
                  <w:tcW w:w="927" w:type="dxa"/>
                  <w:tcBorders>
                    <w:bottom w:val="single" w:color="000000" w:sz="10" w:space="0"/>
                  </w:tcBorders>
                  <w:shd w:val="clear" w:color="auto" w:fill="auto"/>
                  <w:vAlign w:val="center"/>
                </w:tcPr>
                <w:p w14:paraId="343D41A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27.5</w:t>
                  </w:r>
                </w:p>
              </w:tc>
              <w:tc>
                <w:tcPr>
                  <w:tcW w:w="843" w:type="dxa"/>
                  <w:gridSpan w:val="2"/>
                  <w:tcBorders>
                    <w:bottom w:val="single" w:color="000000" w:sz="10" w:space="0"/>
                  </w:tcBorders>
                  <w:shd w:val="clear" w:color="auto" w:fill="auto"/>
                  <w:vAlign w:val="center"/>
                </w:tcPr>
                <w:p w14:paraId="529DD21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137</w:t>
                  </w:r>
                </w:p>
              </w:tc>
              <w:tc>
                <w:tcPr>
                  <w:tcW w:w="676" w:type="dxa"/>
                  <w:gridSpan w:val="2"/>
                  <w:tcBorders>
                    <w:bottom w:val="single" w:color="000000" w:sz="10" w:space="0"/>
                  </w:tcBorders>
                  <w:shd w:val="clear" w:color="auto" w:fill="auto"/>
                  <w:vAlign w:val="center"/>
                </w:tcPr>
                <w:p w14:paraId="74BBD20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25</w:t>
                  </w:r>
                </w:p>
              </w:tc>
              <w:tc>
                <w:tcPr>
                  <w:tcW w:w="876" w:type="dxa"/>
                  <w:gridSpan w:val="2"/>
                  <w:tcBorders>
                    <w:bottom w:val="single" w:color="000000" w:sz="10" w:space="0"/>
                  </w:tcBorders>
                  <w:shd w:val="clear" w:color="auto" w:fill="auto"/>
                  <w:vAlign w:val="center"/>
                </w:tcPr>
                <w:p w14:paraId="3CE50E6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4.84</w:t>
                  </w:r>
                </w:p>
              </w:tc>
              <w:tc>
                <w:tcPr>
                  <w:tcW w:w="745" w:type="dxa"/>
                  <w:gridSpan w:val="2"/>
                  <w:tcBorders>
                    <w:bottom w:val="single" w:color="000000" w:sz="10" w:space="0"/>
                    <w:right w:val="single" w:color="000000" w:sz="10" w:space="0"/>
                  </w:tcBorders>
                  <w:shd w:val="clear" w:color="auto" w:fill="auto"/>
                  <w:vAlign w:val="center"/>
                </w:tcPr>
                <w:p w14:paraId="4B546CC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0.85</w:t>
                  </w:r>
                </w:p>
              </w:tc>
            </w:tr>
            <w:tr w14:paraId="0464D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0E7D4E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3EAC075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9月6日第三次</w:t>
                  </w:r>
                </w:p>
              </w:tc>
              <w:tc>
                <w:tcPr>
                  <w:tcW w:w="552" w:type="dxa"/>
                  <w:tcBorders>
                    <w:bottom w:val="single" w:color="000000" w:sz="10" w:space="0"/>
                  </w:tcBorders>
                  <w:shd w:val="clear" w:color="auto" w:fill="auto"/>
                  <w:vAlign w:val="center"/>
                </w:tcPr>
                <w:p w14:paraId="36E4E8B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7.5</w:t>
                  </w:r>
                </w:p>
              </w:tc>
              <w:tc>
                <w:tcPr>
                  <w:tcW w:w="991" w:type="dxa"/>
                  <w:gridSpan w:val="2"/>
                  <w:tcBorders>
                    <w:bottom w:val="single" w:color="000000" w:sz="10" w:space="0"/>
                  </w:tcBorders>
                  <w:shd w:val="clear" w:color="auto" w:fill="auto"/>
                  <w:vAlign w:val="center"/>
                </w:tcPr>
                <w:p w14:paraId="1926F2D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16.18</w:t>
                  </w:r>
                </w:p>
              </w:tc>
              <w:tc>
                <w:tcPr>
                  <w:tcW w:w="927" w:type="dxa"/>
                  <w:tcBorders>
                    <w:bottom w:val="single" w:color="000000" w:sz="10" w:space="0"/>
                  </w:tcBorders>
                  <w:shd w:val="clear" w:color="auto" w:fill="auto"/>
                  <w:vAlign w:val="center"/>
                </w:tcPr>
                <w:p w14:paraId="045D33C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28.3</w:t>
                  </w:r>
                </w:p>
              </w:tc>
              <w:tc>
                <w:tcPr>
                  <w:tcW w:w="843" w:type="dxa"/>
                  <w:gridSpan w:val="2"/>
                  <w:tcBorders>
                    <w:bottom w:val="single" w:color="000000" w:sz="10" w:space="0"/>
                  </w:tcBorders>
                  <w:shd w:val="clear" w:color="auto" w:fill="auto"/>
                  <w:vAlign w:val="center"/>
                </w:tcPr>
                <w:p w14:paraId="72390A7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130</w:t>
                  </w:r>
                </w:p>
              </w:tc>
              <w:tc>
                <w:tcPr>
                  <w:tcW w:w="676" w:type="dxa"/>
                  <w:gridSpan w:val="2"/>
                  <w:tcBorders>
                    <w:bottom w:val="single" w:color="000000" w:sz="10" w:space="0"/>
                  </w:tcBorders>
                  <w:shd w:val="clear" w:color="auto" w:fill="auto"/>
                  <w:vAlign w:val="center"/>
                </w:tcPr>
                <w:p w14:paraId="1BA8692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22</w:t>
                  </w:r>
                </w:p>
              </w:tc>
              <w:tc>
                <w:tcPr>
                  <w:tcW w:w="876" w:type="dxa"/>
                  <w:gridSpan w:val="2"/>
                  <w:tcBorders>
                    <w:bottom w:val="single" w:color="000000" w:sz="10" w:space="0"/>
                  </w:tcBorders>
                  <w:shd w:val="clear" w:color="auto" w:fill="auto"/>
                  <w:vAlign w:val="center"/>
                </w:tcPr>
                <w:p w14:paraId="33694D8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5.54</w:t>
                  </w:r>
                </w:p>
              </w:tc>
              <w:tc>
                <w:tcPr>
                  <w:tcW w:w="745" w:type="dxa"/>
                  <w:gridSpan w:val="2"/>
                  <w:tcBorders>
                    <w:bottom w:val="single" w:color="000000" w:sz="10" w:space="0"/>
                    <w:right w:val="single" w:color="000000" w:sz="10" w:space="0"/>
                  </w:tcBorders>
                  <w:shd w:val="clear" w:color="auto" w:fill="auto"/>
                  <w:vAlign w:val="center"/>
                </w:tcPr>
                <w:p w14:paraId="63A32B4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0.82</w:t>
                  </w:r>
                </w:p>
              </w:tc>
            </w:tr>
            <w:tr w14:paraId="7D0C1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081E214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6727BFD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9月6日第四次</w:t>
                  </w:r>
                </w:p>
              </w:tc>
              <w:tc>
                <w:tcPr>
                  <w:tcW w:w="552" w:type="dxa"/>
                  <w:tcBorders>
                    <w:bottom w:val="single" w:color="000000" w:sz="10" w:space="0"/>
                  </w:tcBorders>
                  <w:shd w:val="clear" w:color="auto" w:fill="auto"/>
                  <w:vAlign w:val="center"/>
                </w:tcPr>
                <w:p w14:paraId="44B34FF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7.4</w:t>
                  </w:r>
                </w:p>
              </w:tc>
              <w:tc>
                <w:tcPr>
                  <w:tcW w:w="991" w:type="dxa"/>
                  <w:gridSpan w:val="2"/>
                  <w:tcBorders>
                    <w:bottom w:val="single" w:color="000000" w:sz="10" w:space="0"/>
                  </w:tcBorders>
                  <w:shd w:val="clear" w:color="auto" w:fill="auto"/>
                  <w:vAlign w:val="center"/>
                </w:tcPr>
                <w:p w14:paraId="6FF01B6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16.67</w:t>
                  </w:r>
                </w:p>
              </w:tc>
              <w:tc>
                <w:tcPr>
                  <w:tcW w:w="927" w:type="dxa"/>
                  <w:tcBorders>
                    <w:bottom w:val="single" w:color="000000" w:sz="10" w:space="0"/>
                  </w:tcBorders>
                  <w:shd w:val="clear" w:color="auto" w:fill="auto"/>
                  <w:vAlign w:val="center"/>
                </w:tcPr>
                <w:p w14:paraId="744CFB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31.5</w:t>
                  </w:r>
                </w:p>
              </w:tc>
              <w:tc>
                <w:tcPr>
                  <w:tcW w:w="843" w:type="dxa"/>
                  <w:gridSpan w:val="2"/>
                  <w:tcBorders>
                    <w:bottom w:val="single" w:color="000000" w:sz="10" w:space="0"/>
                  </w:tcBorders>
                  <w:shd w:val="clear" w:color="auto" w:fill="auto"/>
                  <w:vAlign w:val="center"/>
                </w:tcPr>
                <w:p w14:paraId="6BE6722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133</w:t>
                  </w:r>
                </w:p>
              </w:tc>
              <w:tc>
                <w:tcPr>
                  <w:tcW w:w="676" w:type="dxa"/>
                  <w:gridSpan w:val="2"/>
                  <w:tcBorders>
                    <w:bottom w:val="single" w:color="000000" w:sz="10" w:space="0"/>
                  </w:tcBorders>
                  <w:shd w:val="clear" w:color="auto" w:fill="auto"/>
                  <w:vAlign w:val="center"/>
                </w:tcPr>
                <w:p w14:paraId="739EC17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21</w:t>
                  </w:r>
                </w:p>
              </w:tc>
              <w:tc>
                <w:tcPr>
                  <w:tcW w:w="876" w:type="dxa"/>
                  <w:gridSpan w:val="2"/>
                  <w:tcBorders>
                    <w:bottom w:val="single" w:color="000000" w:sz="10" w:space="0"/>
                  </w:tcBorders>
                  <w:shd w:val="clear" w:color="auto" w:fill="auto"/>
                  <w:vAlign w:val="center"/>
                </w:tcPr>
                <w:p w14:paraId="2408B8F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5.23</w:t>
                  </w:r>
                </w:p>
              </w:tc>
              <w:tc>
                <w:tcPr>
                  <w:tcW w:w="745" w:type="dxa"/>
                  <w:gridSpan w:val="2"/>
                  <w:tcBorders>
                    <w:bottom w:val="single" w:color="000000" w:sz="10" w:space="0"/>
                    <w:right w:val="single" w:color="000000" w:sz="10" w:space="0"/>
                  </w:tcBorders>
                  <w:shd w:val="clear" w:color="auto" w:fill="auto"/>
                  <w:vAlign w:val="center"/>
                </w:tcPr>
                <w:p w14:paraId="4DA8DD7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0.85</w:t>
                  </w:r>
                </w:p>
              </w:tc>
            </w:tr>
            <w:tr w14:paraId="357CA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restart"/>
                  <w:tcBorders>
                    <w:left w:val="single" w:color="000000" w:sz="10" w:space="0"/>
                  </w:tcBorders>
                  <w:vAlign w:val="center"/>
                </w:tcPr>
                <w:p w14:paraId="0D3639B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W4</w:t>
                  </w:r>
                  <w:r>
                    <w:rPr>
                      <w:rFonts w:ascii="Times New Roman" w:hAnsi="Times New Roman" w:eastAsia="宋体" w:cs="Times New Roman"/>
                      <w:color w:val="auto"/>
                      <w:spacing w:val="3"/>
                      <w:sz w:val="21"/>
                      <w:szCs w:val="21"/>
                      <w:highlight w:val="none"/>
                      <w:u w:val="none" w:color="auto"/>
                    </w:rPr>
                    <w:t>（出</w:t>
                  </w:r>
                  <w:r>
                    <w:rPr>
                      <w:rFonts w:ascii="Times New Roman" w:hAnsi="Times New Roman" w:eastAsia="宋体" w:cs="Times New Roman"/>
                      <w:color w:val="auto"/>
                      <w:spacing w:val="-1"/>
                      <w:sz w:val="21"/>
                      <w:szCs w:val="21"/>
                      <w:highlight w:val="none"/>
                      <w:u w:val="none" w:color="auto"/>
                    </w:rPr>
                    <w:t>水）</w:t>
                  </w:r>
                </w:p>
              </w:tc>
              <w:tc>
                <w:tcPr>
                  <w:tcW w:w="1816" w:type="dxa"/>
                  <w:tcBorders>
                    <w:bottom w:val="single" w:color="000000" w:sz="10" w:space="0"/>
                  </w:tcBorders>
                  <w:shd w:val="clear" w:color="auto" w:fill="auto"/>
                  <w:vAlign w:val="center"/>
                </w:tcPr>
                <w:p w14:paraId="41C7F69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9月5日第一次</w:t>
                  </w:r>
                </w:p>
              </w:tc>
              <w:tc>
                <w:tcPr>
                  <w:tcW w:w="552" w:type="dxa"/>
                  <w:tcBorders>
                    <w:bottom w:val="single" w:color="000000" w:sz="10" w:space="0"/>
                  </w:tcBorders>
                  <w:shd w:val="clear" w:color="auto" w:fill="auto"/>
                  <w:vAlign w:val="center"/>
                </w:tcPr>
                <w:p w14:paraId="03D3BF4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7.6</w:t>
                  </w:r>
                </w:p>
              </w:tc>
              <w:tc>
                <w:tcPr>
                  <w:tcW w:w="991" w:type="dxa"/>
                  <w:gridSpan w:val="2"/>
                  <w:tcBorders>
                    <w:bottom w:val="single" w:color="000000" w:sz="10" w:space="0"/>
                  </w:tcBorders>
                  <w:shd w:val="clear" w:color="auto" w:fill="auto"/>
                  <w:vAlign w:val="center"/>
                </w:tcPr>
                <w:p w14:paraId="15BB436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4.45</w:t>
                  </w:r>
                </w:p>
              </w:tc>
              <w:tc>
                <w:tcPr>
                  <w:tcW w:w="927" w:type="dxa"/>
                  <w:tcBorders>
                    <w:bottom w:val="single" w:color="000000" w:sz="10" w:space="0"/>
                  </w:tcBorders>
                  <w:shd w:val="clear" w:color="auto" w:fill="auto"/>
                  <w:vAlign w:val="center"/>
                </w:tcPr>
                <w:p w14:paraId="22FC24D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6"/>
                      <w:sz w:val="21"/>
                      <w:szCs w:val="21"/>
                      <w:highlight w:val="none"/>
                      <w:u w:val="none" w:color="auto"/>
                    </w:rPr>
                    <w:t>1.1</w:t>
                  </w:r>
                </w:p>
              </w:tc>
              <w:tc>
                <w:tcPr>
                  <w:tcW w:w="843" w:type="dxa"/>
                  <w:gridSpan w:val="2"/>
                  <w:tcBorders>
                    <w:bottom w:val="single" w:color="000000" w:sz="10" w:space="0"/>
                  </w:tcBorders>
                  <w:shd w:val="clear" w:color="auto" w:fill="auto"/>
                  <w:vAlign w:val="center"/>
                </w:tcPr>
                <w:p w14:paraId="55F381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676" w:type="dxa"/>
                  <w:gridSpan w:val="2"/>
                  <w:tcBorders>
                    <w:bottom w:val="single" w:color="000000" w:sz="10" w:space="0"/>
                  </w:tcBorders>
                  <w:shd w:val="clear" w:color="auto" w:fill="auto"/>
                  <w:vAlign w:val="center"/>
                </w:tcPr>
                <w:p w14:paraId="1383566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5</w:t>
                  </w:r>
                </w:p>
              </w:tc>
              <w:tc>
                <w:tcPr>
                  <w:tcW w:w="876" w:type="dxa"/>
                  <w:gridSpan w:val="2"/>
                  <w:tcBorders>
                    <w:bottom w:val="single" w:color="000000" w:sz="10" w:space="0"/>
                  </w:tcBorders>
                  <w:shd w:val="clear" w:color="auto" w:fill="auto"/>
                  <w:vAlign w:val="center"/>
                </w:tcPr>
                <w:p w14:paraId="722C8AE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0.53</w:t>
                  </w:r>
                </w:p>
              </w:tc>
              <w:tc>
                <w:tcPr>
                  <w:tcW w:w="745" w:type="dxa"/>
                  <w:gridSpan w:val="2"/>
                  <w:tcBorders>
                    <w:bottom w:val="single" w:color="000000" w:sz="10" w:space="0"/>
                    <w:right w:val="single" w:color="000000" w:sz="10" w:space="0"/>
                  </w:tcBorders>
                  <w:shd w:val="clear" w:color="auto" w:fill="auto"/>
                  <w:vAlign w:val="center"/>
                </w:tcPr>
                <w:p w14:paraId="31E09A3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0.14</w:t>
                  </w:r>
                </w:p>
              </w:tc>
            </w:tr>
            <w:tr w14:paraId="5BB1E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6ED30A1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4408C00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9月5日第二次</w:t>
                  </w:r>
                </w:p>
              </w:tc>
              <w:tc>
                <w:tcPr>
                  <w:tcW w:w="552" w:type="dxa"/>
                  <w:tcBorders>
                    <w:bottom w:val="single" w:color="000000" w:sz="10" w:space="0"/>
                  </w:tcBorders>
                  <w:shd w:val="clear" w:color="auto" w:fill="auto"/>
                  <w:vAlign w:val="center"/>
                </w:tcPr>
                <w:p w14:paraId="2F8D6A5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7.7</w:t>
                  </w:r>
                </w:p>
              </w:tc>
              <w:tc>
                <w:tcPr>
                  <w:tcW w:w="991" w:type="dxa"/>
                  <w:gridSpan w:val="2"/>
                  <w:tcBorders>
                    <w:bottom w:val="single" w:color="000000" w:sz="10" w:space="0"/>
                  </w:tcBorders>
                  <w:shd w:val="clear" w:color="auto" w:fill="auto"/>
                  <w:vAlign w:val="center"/>
                </w:tcPr>
                <w:p w14:paraId="0267480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4.04</w:t>
                  </w:r>
                </w:p>
              </w:tc>
              <w:tc>
                <w:tcPr>
                  <w:tcW w:w="927" w:type="dxa"/>
                  <w:tcBorders>
                    <w:bottom w:val="single" w:color="000000" w:sz="10" w:space="0"/>
                  </w:tcBorders>
                  <w:shd w:val="clear" w:color="auto" w:fill="auto"/>
                  <w:vAlign w:val="center"/>
                </w:tcPr>
                <w:p w14:paraId="0AFA92F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1.3</w:t>
                  </w:r>
                </w:p>
              </w:tc>
              <w:tc>
                <w:tcPr>
                  <w:tcW w:w="843" w:type="dxa"/>
                  <w:gridSpan w:val="2"/>
                  <w:tcBorders>
                    <w:bottom w:val="single" w:color="000000" w:sz="10" w:space="0"/>
                  </w:tcBorders>
                  <w:shd w:val="clear" w:color="auto" w:fill="auto"/>
                  <w:vAlign w:val="center"/>
                </w:tcPr>
                <w:p w14:paraId="0B83DA2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7</w:t>
                  </w:r>
                </w:p>
              </w:tc>
              <w:tc>
                <w:tcPr>
                  <w:tcW w:w="676" w:type="dxa"/>
                  <w:gridSpan w:val="2"/>
                  <w:tcBorders>
                    <w:bottom w:val="single" w:color="000000" w:sz="10" w:space="0"/>
                  </w:tcBorders>
                  <w:shd w:val="clear" w:color="auto" w:fill="auto"/>
                  <w:vAlign w:val="center"/>
                </w:tcPr>
                <w:p w14:paraId="7A4C110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876" w:type="dxa"/>
                  <w:gridSpan w:val="2"/>
                  <w:tcBorders>
                    <w:bottom w:val="single" w:color="000000" w:sz="10" w:space="0"/>
                  </w:tcBorders>
                  <w:shd w:val="clear" w:color="auto" w:fill="auto"/>
                  <w:vAlign w:val="center"/>
                </w:tcPr>
                <w:p w14:paraId="0EA0E92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0.59</w:t>
                  </w:r>
                </w:p>
              </w:tc>
              <w:tc>
                <w:tcPr>
                  <w:tcW w:w="745" w:type="dxa"/>
                  <w:gridSpan w:val="2"/>
                  <w:tcBorders>
                    <w:bottom w:val="single" w:color="000000" w:sz="10" w:space="0"/>
                    <w:right w:val="single" w:color="000000" w:sz="10" w:space="0"/>
                  </w:tcBorders>
                  <w:shd w:val="clear" w:color="auto" w:fill="auto"/>
                  <w:vAlign w:val="center"/>
                </w:tcPr>
                <w:p w14:paraId="65685A5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0.13</w:t>
                  </w:r>
                </w:p>
              </w:tc>
            </w:tr>
            <w:tr w14:paraId="13635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6865FA7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4A3E783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9月5日第三次</w:t>
                  </w:r>
                </w:p>
              </w:tc>
              <w:tc>
                <w:tcPr>
                  <w:tcW w:w="552" w:type="dxa"/>
                  <w:tcBorders>
                    <w:bottom w:val="single" w:color="000000" w:sz="10" w:space="0"/>
                  </w:tcBorders>
                  <w:shd w:val="clear" w:color="auto" w:fill="auto"/>
                  <w:vAlign w:val="center"/>
                </w:tcPr>
                <w:p w14:paraId="1F3F569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7.8</w:t>
                  </w:r>
                </w:p>
              </w:tc>
              <w:tc>
                <w:tcPr>
                  <w:tcW w:w="991" w:type="dxa"/>
                  <w:gridSpan w:val="2"/>
                  <w:tcBorders>
                    <w:bottom w:val="single" w:color="000000" w:sz="10" w:space="0"/>
                  </w:tcBorders>
                  <w:shd w:val="clear" w:color="auto" w:fill="auto"/>
                  <w:vAlign w:val="center"/>
                </w:tcPr>
                <w:p w14:paraId="4C56B04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4.21</w:t>
                  </w:r>
                </w:p>
              </w:tc>
              <w:tc>
                <w:tcPr>
                  <w:tcW w:w="927" w:type="dxa"/>
                  <w:tcBorders>
                    <w:bottom w:val="single" w:color="000000" w:sz="10" w:space="0"/>
                  </w:tcBorders>
                  <w:shd w:val="clear" w:color="auto" w:fill="auto"/>
                  <w:vAlign w:val="center"/>
                </w:tcPr>
                <w:p w14:paraId="091C541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1.2</w:t>
                  </w:r>
                </w:p>
              </w:tc>
              <w:tc>
                <w:tcPr>
                  <w:tcW w:w="843" w:type="dxa"/>
                  <w:gridSpan w:val="2"/>
                  <w:tcBorders>
                    <w:bottom w:val="single" w:color="000000" w:sz="10" w:space="0"/>
                  </w:tcBorders>
                  <w:shd w:val="clear" w:color="auto" w:fill="auto"/>
                  <w:vAlign w:val="center"/>
                </w:tcPr>
                <w:p w14:paraId="66F82C6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676" w:type="dxa"/>
                  <w:gridSpan w:val="2"/>
                  <w:tcBorders>
                    <w:bottom w:val="single" w:color="000000" w:sz="10" w:space="0"/>
                  </w:tcBorders>
                  <w:shd w:val="clear" w:color="auto" w:fill="auto"/>
                  <w:vAlign w:val="center"/>
                </w:tcPr>
                <w:p w14:paraId="2CB4539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876" w:type="dxa"/>
                  <w:gridSpan w:val="2"/>
                  <w:tcBorders>
                    <w:bottom w:val="single" w:color="000000" w:sz="10" w:space="0"/>
                  </w:tcBorders>
                  <w:shd w:val="clear" w:color="auto" w:fill="auto"/>
                  <w:vAlign w:val="center"/>
                </w:tcPr>
                <w:p w14:paraId="5DA0DA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0.66</w:t>
                  </w:r>
                </w:p>
              </w:tc>
              <w:tc>
                <w:tcPr>
                  <w:tcW w:w="745" w:type="dxa"/>
                  <w:gridSpan w:val="2"/>
                  <w:tcBorders>
                    <w:bottom w:val="single" w:color="000000" w:sz="10" w:space="0"/>
                    <w:right w:val="single" w:color="000000" w:sz="10" w:space="0"/>
                  </w:tcBorders>
                  <w:shd w:val="clear" w:color="auto" w:fill="auto"/>
                  <w:vAlign w:val="center"/>
                </w:tcPr>
                <w:p w14:paraId="6BA332D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0.12</w:t>
                  </w:r>
                </w:p>
              </w:tc>
            </w:tr>
            <w:tr w14:paraId="267BC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47EF2C5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3214AF5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9月5日第四次</w:t>
                  </w:r>
                </w:p>
              </w:tc>
              <w:tc>
                <w:tcPr>
                  <w:tcW w:w="552" w:type="dxa"/>
                  <w:tcBorders>
                    <w:bottom w:val="single" w:color="000000" w:sz="10" w:space="0"/>
                  </w:tcBorders>
                  <w:shd w:val="clear" w:color="auto" w:fill="auto"/>
                  <w:vAlign w:val="center"/>
                </w:tcPr>
                <w:p w14:paraId="24A0815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7.7</w:t>
                  </w:r>
                </w:p>
              </w:tc>
              <w:tc>
                <w:tcPr>
                  <w:tcW w:w="991" w:type="dxa"/>
                  <w:gridSpan w:val="2"/>
                  <w:tcBorders>
                    <w:bottom w:val="single" w:color="000000" w:sz="10" w:space="0"/>
                  </w:tcBorders>
                  <w:shd w:val="clear" w:color="auto" w:fill="auto"/>
                  <w:vAlign w:val="center"/>
                </w:tcPr>
                <w:p w14:paraId="78C1B3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4.39</w:t>
                  </w:r>
                </w:p>
              </w:tc>
              <w:tc>
                <w:tcPr>
                  <w:tcW w:w="927" w:type="dxa"/>
                  <w:tcBorders>
                    <w:bottom w:val="single" w:color="000000" w:sz="10" w:space="0"/>
                  </w:tcBorders>
                  <w:shd w:val="clear" w:color="auto" w:fill="auto"/>
                  <w:vAlign w:val="center"/>
                </w:tcPr>
                <w:p w14:paraId="488864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1.2</w:t>
                  </w:r>
                </w:p>
              </w:tc>
              <w:tc>
                <w:tcPr>
                  <w:tcW w:w="843" w:type="dxa"/>
                  <w:gridSpan w:val="2"/>
                  <w:tcBorders>
                    <w:bottom w:val="single" w:color="000000" w:sz="10" w:space="0"/>
                  </w:tcBorders>
                  <w:shd w:val="clear" w:color="auto" w:fill="auto"/>
                  <w:vAlign w:val="center"/>
                </w:tcPr>
                <w:p w14:paraId="520D7FE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676" w:type="dxa"/>
                  <w:gridSpan w:val="2"/>
                  <w:tcBorders>
                    <w:bottom w:val="single" w:color="000000" w:sz="10" w:space="0"/>
                  </w:tcBorders>
                  <w:shd w:val="clear" w:color="auto" w:fill="auto"/>
                  <w:vAlign w:val="center"/>
                </w:tcPr>
                <w:p w14:paraId="2D0CA89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8</w:t>
                  </w:r>
                </w:p>
              </w:tc>
              <w:tc>
                <w:tcPr>
                  <w:tcW w:w="876" w:type="dxa"/>
                  <w:gridSpan w:val="2"/>
                  <w:tcBorders>
                    <w:bottom w:val="single" w:color="000000" w:sz="10" w:space="0"/>
                  </w:tcBorders>
                  <w:shd w:val="clear" w:color="auto" w:fill="auto"/>
                  <w:vAlign w:val="center"/>
                </w:tcPr>
                <w:p w14:paraId="74B373B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0.74</w:t>
                  </w:r>
                </w:p>
              </w:tc>
              <w:tc>
                <w:tcPr>
                  <w:tcW w:w="745" w:type="dxa"/>
                  <w:gridSpan w:val="2"/>
                  <w:tcBorders>
                    <w:bottom w:val="single" w:color="000000" w:sz="10" w:space="0"/>
                    <w:right w:val="single" w:color="000000" w:sz="10" w:space="0"/>
                  </w:tcBorders>
                  <w:shd w:val="clear" w:color="auto" w:fill="auto"/>
                  <w:vAlign w:val="center"/>
                </w:tcPr>
                <w:p w14:paraId="115D3D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0.14</w:t>
                  </w:r>
                </w:p>
              </w:tc>
            </w:tr>
            <w:tr w14:paraId="6AE36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505E7D4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353DD2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9月6日第一次</w:t>
                  </w:r>
                </w:p>
              </w:tc>
              <w:tc>
                <w:tcPr>
                  <w:tcW w:w="552" w:type="dxa"/>
                  <w:tcBorders>
                    <w:bottom w:val="single" w:color="000000" w:sz="10" w:space="0"/>
                  </w:tcBorders>
                  <w:shd w:val="clear" w:color="auto" w:fill="auto"/>
                  <w:vAlign w:val="center"/>
                </w:tcPr>
                <w:p w14:paraId="3CD356E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7.6</w:t>
                  </w:r>
                </w:p>
              </w:tc>
              <w:tc>
                <w:tcPr>
                  <w:tcW w:w="991" w:type="dxa"/>
                  <w:gridSpan w:val="2"/>
                  <w:tcBorders>
                    <w:bottom w:val="single" w:color="000000" w:sz="10" w:space="0"/>
                  </w:tcBorders>
                  <w:shd w:val="clear" w:color="auto" w:fill="auto"/>
                  <w:vAlign w:val="center"/>
                </w:tcPr>
                <w:p w14:paraId="50ABC94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4.29</w:t>
                  </w:r>
                </w:p>
              </w:tc>
              <w:tc>
                <w:tcPr>
                  <w:tcW w:w="927" w:type="dxa"/>
                  <w:tcBorders>
                    <w:bottom w:val="single" w:color="000000" w:sz="10" w:space="0"/>
                  </w:tcBorders>
                  <w:shd w:val="clear" w:color="auto" w:fill="auto"/>
                  <w:vAlign w:val="center"/>
                </w:tcPr>
                <w:p w14:paraId="7F0952B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1.0</w:t>
                  </w:r>
                </w:p>
              </w:tc>
              <w:tc>
                <w:tcPr>
                  <w:tcW w:w="843" w:type="dxa"/>
                  <w:gridSpan w:val="2"/>
                  <w:tcBorders>
                    <w:bottom w:val="single" w:color="000000" w:sz="10" w:space="0"/>
                  </w:tcBorders>
                  <w:shd w:val="clear" w:color="auto" w:fill="auto"/>
                  <w:vAlign w:val="center"/>
                </w:tcPr>
                <w:p w14:paraId="78A9D4F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5</w:t>
                  </w:r>
                </w:p>
              </w:tc>
              <w:tc>
                <w:tcPr>
                  <w:tcW w:w="676" w:type="dxa"/>
                  <w:gridSpan w:val="2"/>
                  <w:tcBorders>
                    <w:bottom w:val="single" w:color="000000" w:sz="10" w:space="0"/>
                  </w:tcBorders>
                  <w:shd w:val="clear" w:color="auto" w:fill="auto"/>
                  <w:vAlign w:val="center"/>
                </w:tcPr>
                <w:p w14:paraId="435B7EE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7</w:t>
                  </w:r>
                </w:p>
              </w:tc>
              <w:tc>
                <w:tcPr>
                  <w:tcW w:w="876" w:type="dxa"/>
                  <w:gridSpan w:val="2"/>
                  <w:tcBorders>
                    <w:bottom w:val="single" w:color="000000" w:sz="10" w:space="0"/>
                  </w:tcBorders>
                  <w:shd w:val="clear" w:color="auto" w:fill="auto"/>
                  <w:vAlign w:val="center"/>
                </w:tcPr>
                <w:p w14:paraId="49DB12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0.72</w:t>
                  </w:r>
                </w:p>
              </w:tc>
              <w:tc>
                <w:tcPr>
                  <w:tcW w:w="745" w:type="dxa"/>
                  <w:gridSpan w:val="2"/>
                  <w:tcBorders>
                    <w:bottom w:val="single" w:color="000000" w:sz="10" w:space="0"/>
                    <w:right w:val="single" w:color="000000" w:sz="10" w:space="0"/>
                  </w:tcBorders>
                  <w:shd w:val="clear" w:color="auto" w:fill="auto"/>
                  <w:vAlign w:val="center"/>
                </w:tcPr>
                <w:p w14:paraId="3DCF2D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0.13</w:t>
                  </w:r>
                </w:p>
              </w:tc>
            </w:tr>
            <w:tr w14:paraId="69174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43C89CB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6646FF0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9月6日第二次</w:t>
                  </w:r>
                </w:p>
              </w:tc>
              <w:tc>
                <w:tcPr>
                  <w:tcW w:w="552" w:type="dxa"/>
                  <w:tcBorders>
                    <w:bottom w:val="single" w:color="000000" w:sz="10" w:space="0"/>
                  </w:tcBorders>
                  <w:shd w:val="clear" w:color="auto" w:fill="auto"/>
                  <w:vAlign w:val="center"/>
                </w:tcPr>
                <w:p w14:paraId="138A3EF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7.7</w:t>
                  </w:r>
                </w:p>
              </w:tc>
              <w:tc>
                <w:tcPr>
                  <w:tcW w:w="991" w:type="dxa"/>
                  <w:gridSpan w:val="2"/>
                  <w:tcBorders>
                    <w:bottom w:val="single" w:color="000000" w:sz="10" w:space="0"/>
                  </w:tcBorders>
                  <w:shd w:val="clear" w:color="auto" w:fill="auto"/>
                  <w:vAlign w:val="center"/>
                </w:tcPr>
                <w:p w14:paraId="7797A2D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4.22</w:t>
                  </w:r>
                </w:p>
              </w:tc>
              <w:tc>
                <w:tcPr>
                  <w:tcW w:w="927" w:type="dxa"/>
                  <w:tcBorders>
                    <w:bottom w:val="single" w:color="000000" w:sz="10" w:space="0"/>
                  </w:tcBorders>
                  <w:shd w:val="clear" w:color="auto" w:fill="auto"/>
                  <w:vAlign w:val="center"/>
                </w:tcPr>
                <w:p w14:paraId="292D3F1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1.2</w:t>
                  </w:r>
                </w:p>
              </w:tc>
              <w:tc>
                <w:tcPr>
                  <w:tcW w:w="843" w:type="dxa"/>
                  <w:gridSpan w:val="2"/>
                  <w:tcBorders>
                    <w:bottom w:val="single" w:color="000000" w:sz="10" w:space="0"/>
                  </w:tcBorders>
                  <w:shd w:val="clear" w:color="auto" w:fill="auto"/>
                  <w:vAlign w:val="center"/>
                </w:tcPr>
                <w:p w14:paraId="7D25224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5</w:t>
                  </w:r>
                </w:p>
              </w:tc>
              <w:tc>
                <w:tcPr>
                  <w:tcW w:w="676" w:type="dxa"/>
                  <w:gridSpan w:val="2"/>
                  <w:tcBorders>
                    <w:bottom w:val="single" w:color="000000" w:sz="10" w:space="0"/>
                  </w:tcBorders>
                  <w:shd w:val="clear" w:color="auto" w:fill="auto"/>
                  <w:vAlign w:val="center"/>
                </w:tcPr>
                <w:p w14:paraId="424142A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5</w:t>
                  </w:r>
                </w:p>
              </w:tc>
              <w:tc>
                <w:tcPr>
                  <w:tcW w:w="876" w:type="dxa"/>
                  <w:gridSpan w:val="2"/>
                  <w:tcBorders>
                    <w:bottom w:val="single" w:color="000000" w:sz="10" w:space="0"/>
                  </w:tcBorders>
                  <w:shd w:val="clear" w:color="auto" w:fill="auto"/>
                  <w:vAlign w:val="center"/>
                </w:tcPr>
                <w:p w14:paraId="7AAD517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0.70</w:t>
                  </w:r>
                </w:p>
              </w:tc>
              <w:tc>
                <w:tcPr>
                  <w:tcW w:w="745" w:type="dxa"/>
                  <w:gridSpan w:val="2"/>
                  <w:tcBorders>
                    <w:bottom w:val="single" w:color="000000" w:sz="10" w:space="0"/>
                    <w:right w:val="single" w:color="000000" w:sz="10" w:space="0"/>
                  </w:tcBorders>
                  <w:shd w:val="clear" w:color="auto" w:fill="auto"/>
                  <w:vAlign w:val="center"/>
                </w:tcPr>
                <w:p w14:paraId="431E9E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0.14</w:t>
                  </w:r>
                </w:p>
              </w:tc>
            </w:tr>
            <w:tr w14:paraId="27136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64FD648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1EB8E38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9月6日第三次</w:t>
                  </w:r>
                </w:p>
              </w:tc>
              <w:tc>
                <w:tcPr>
                  <w:tcW w:w="552" w:type="dxa"/>
                  <w:tcBorders>
                    <w:bottom w:val="single" w:color="000000" w:sz="10" w:space="0"/>
                  </w:tcBorders>
                  <w:shd w:val="clear" w:color="auto" w:fill="auto"/>
                  <w:vAlign w:val="center"/>
                </w:tcPr>
                <w:p w14:paraId="15E7EDF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7.8</w:t>
                  </w:r>
                </w:p>
              </w:tc>
              <w:tc>
                <w:tcPr>
                  <w:tcW w:w="991" w:type="dxa"/>
                  <w:gridSpan w:val="2"/>
                  <w:tcBorders>
                    <w:bottom w:val="single" w:color="000000" w:sz="10" w:space="0"/>
                  </w:tcBorders>
                  <w:shd w:val="clear" w:color="auto" w:fill="auto"/>
                  <w:vAlign w:val="center"/>
                </w:tcPr>
                <w:p w14:paraId="1C712A8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4.57</w:t>
                  </w:r>
                </w:p>
              </w:tc>
              <w:tc>
                <w:tcPr>
                  <w:tcW w:w="927" w:type="dxa"/>
                  <w:tcBorders>
                    <w:bottom w:val="single" w:color="000000" w:sz="10" w:space="0"/>
                  </w:tcBorders>
                  <w:shd w:val="clear" w:color="auto" w:fill="auto"/>
                  <w:vAlign w:val="center"/>
                </w:tcPr>
                <w:p w14:paraId="43A2D4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6"/>
                      <w:sz w:val="21"/>
                      <w:szCs w:val="21"/>
                      <w:highlight w:val="none"/>
                      <w:u w:val="none" w:color="auto"/>
                    </w:rPr>
                    <w:t>1.1</w:t>
                  </w:r>
                </w:p>
              </w:tc>
              <w:tc>
                <w:tcPr>
                  <w:tcW w:w="843" w:type="dxa"/>
                  <w:gridSpan w:val="2"/>
                  <w:tcBorders>
                    <w:bottom w:val="single" w:color="000000" w:sz="10" w:space="0"/>
                  </w:tcBorders>
                  <w:shd w:val="clear" w:color="auto" w:fill="auto"/>
                  <w:vAlign w:val="center"/>
                </w:tcPr>
                <w:p w14:paraId="12439FC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676" w:type="dxa"/>
                  <w:gridSpan w:val="2"/>
                  <w:tcBorders>
                    <w:bottom w:val="single" w:color="000000" w:sz="10" w:space="0"/>
                  </w:tcBorders>
                  <w:shd w:val="clear" w:color="auto" w:fill="auto"/>
                  <w:vAlign w:val="center"/>
                </w:tcPr>
                <w:p w14:paraId="5774DAF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876" w:type="dxa"/>
                  <w:gridSpan w:val="2"/>
                  <w:tcBorders>
                    <w:bottom w:val="single" w:color="000000" w:sz="10" w:space="0"/>
                  </w:tcBorders>
                  <w:shd w:val="clear" w:color="auto" w:fill="auto"/>
                  <w:vAlign w:val="center"/>
                </w:tcPr>
                <w:p w14:paraId="792196B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0.69</w:t>
                  </w:r>
                </w:p>
              </w:tc>
              <w:tc>
                <w:tcPr>
                  <w:tcW w:w="745" w:type="dxa"/>
                  <w:gridSpan w:val="2"/>
                  <w:tcBorders>
                    <w:bottom w:val="single" w:color="000000" w:sz="10" w:space="0"/>
                    <w:right w:val="single" w:color="000000" w:sz="10" w:space="0"/>
                  </w:tcBorders>
                  <w:shd w:val="clear" w:color="auto" w:fill="auto"/>
                  <w:vAlign w:val="center"/>
                </w:tcPr>
                <w:p w14:paraId="168B21D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0.16</w:t>
                  </w:r>
                </w:p>
              </w:tc>
            </w:tr>
            <w:tr w14:paraId="4A7BB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665" w:type="dxa"/>
                  <w:gridSpan w:val="2"/>
                  <w:vMerge w:val="continue"/>
                  <w:tcBorders>
                    <w:left w:val="single" w:color="000000" w:sz="10" w:space="0"/>
                  </w:tcBorders>
                  <w:vAlign w:val="center"/>
                </w:tcPr>
                <w:p w14:paraId="40FB0A6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816" w:type="dxa"/>
                  <w:tcBorders>
                    <w:bottom w:val="single" w:color="000000" w:sz="10" w:space="0"/>
                  </w:tcBorders>
                  <w:shd w:val="clear" w:color="auto" w:fill="auto"/>
                  <w:vAlign w:val="center"/>
                </w:tcPr>
                <w:p w14:paraId="63A8B85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7"/>
                      <w:sz w:val="21"/>
                      <w:szCs w:val="21"/>
                      <w:highlight w:val="none"/>
                      <w:u w:val="none" w:color="auto"/>
                    </w:rPr>
                    <w:t>9月6日第四次</w:t>
                  </w:r>
                </w:p>
              </w:tc>
              <w:tc>
                <w:tcPr>
                  <w:tcW w:w="552" w:type="dxa"/>
                  <w:tcBorders>
                    <w:bottom w:val="single" w:color="000000" w:sz="10" w:space="0"/>
                  </w:tcBorders>
                  <w:shd w:val="clear" w:color="auto" w:fill="auto"/>
                  <w:vAlign w:val="center"/>
                </w:tcPr>
                <w:p w14:paraId="73813CD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1"/>
                      <w:sz w:val="21"/>
                      <w:szCs w:val="21"/>
                      <w:highlight w:val="none"/>
                      <w:u w:val="none" w:color="auto"/>
                    </w:rPr>
                    <w:t>7.7</w:t>
                  </w:r>
                </w:p>
              </w:tc>
              <w:tc>
                <w:tcPr>
                  <w:tcW w:w="991" w:type="dxa"/>
                  <w:gridSpan w:val="2"/>
                  <w:tcBorders>
                    <w:bottom w:val="single" w:color="000000" w:sz="10" w:space="0"/>
                  </w:tcBorders>
                  <w:shd w:val="clear" w:color="auto" w:fill="auto"/>
                  <w:vAlign w:val="center"/>
                </w:tcPr>
                <w:p w14:paraId="445648E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3"/>
                      <w:sz w:val="21"/>
                      <w:szCs w:val="21"/>
                      <w:highlight w:val="none"/>
                      <w:u w:val="none" w:color="auto"/>
                    </w:rPr>
                    <w:t>4.03</w:t>
                  </w:r>
                </w:p>
              </w:tc>
              <w:tc>
                <w:tcPr>
                  <w:tcW w:w="927" w:type="dxa"/>
                  <w:tcBorders>
                    <w:bottom w:val="single" w:color="000000" w:sz="10" w:space="0"/>
                  </w:tcBorders>
                  <w:shd w:val="clear" w:color="auto" w:fill="auto"/>
                  <w:vAlign w:val="center"/>
                </w:tcPr>
                <w:p w14:paraId="56E67D3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1.0</w:t>
                  </w:r>
                </w:p>
              </w:tc>
              <w:tc>
                <w:tcPr>
                  <w:tcW w:w="843" w:type="dxa"/>
                  <w:gridSpan w:val="2"/>
                  <w:tcBorders>
                    <w:bottom w:val="single" w:color="000000" w:sz="10" w:space="0"/>
                  </w:tcBorders>
                  <w:shd w:val="clear" w:color="auto" w:fill="auto"/>
                  <w:vAlign w:val="center"/>
                </w:tcPr>
                <w:p w14:paraId="1BF3212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6</w:t>
                  </w:r>
                </w:p>
              </w:tc>
              <w:tc>
                <w:tcPr>
                  <w:tcW w:w="676" w:type="dxa"/>
                  <w:gridSpan w:val="2"/>
                  <w:tcBorders>
                    <w:bottom w:val="single" w:color="000000" w:sz="10" w:space="0"/>
                  </w:tcBorders>
                  <w:shd w:val="clear" w:color="auto" w:fill="auto"/>
                  <w:vAlign w:val="center"/>
                </w:tcPr>
                <w:p w14:paraId="4E7C9C6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z w:val="21"/>
                      <w:szCs w:val="21"/>
                      <w:highlight w:val="none"/>
                      <w:u w:val="none" w:color="auto"/>
                    </w:rPr>
                    <w:t>7</w:t>
                  </w:r>
                </w:p>
              </w:tc>
              <w:tc>
                <w:tcPr>
                  <w:tcW w:w="876" w:type="dxa"/>
                  <w:gridSpan w:val="2"/>
                  <w:tcBorders>
                    <w:bottom w:val="single" w:color="000000" w:sz="10" w:space="0"/>
                  </w:tcBorders>
                  <w:shd w:val="clear" w:color="auto" w:fill="auto"/>
                  <w:vAlign w:val="center"/>
                </w:tcPr>
                <w:p w14:paraId="2F6C41F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2"/>
                      <w:sz w:val="21"/>
                      <w:szCs w:val="21"/>
                      <w:highlight w:val="none"/>
                      <w:u w:val="none" w:color="auto"/>
                    </w:rPr>
                    <w:t>0.71</w:t>
                  </w:r>
                </w:p>
              </w:tc>
              <w:tc>
                <w:tcPr>
                  <w:tcW w:w="745" w:type="dxa"/>
                  <w:gridSpan w:val="2"/>
                  <w:tcBorders>
                    <w:bottom w:val="single" w:color="000000" w:sz="10" w:space="0"/>
                    <w:right w:val="single" w:color="000000" w:sz="10" w:space="0"/>
                  </w:tcBorders>
                  <w:shd w:val="clear" w:color="auto" w:fill="auto"/>
                  <w:vAlign w:val="center"/>
                </w:tcPr>
                <w:p w14:paraId="2BAA0C1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eastAsia="宋体" w:cs="Times New Roman"/>
                      <w:color w:val="auto"/>
                      <w:spacing w:val="-4"/>
                      <w:sz w:val="21"/>
                      <w:szCs w:val="21"/>
                      <w:highlight w:val="none"/>
                      <w:u w:val="none" w:color="auto"/>
                    </w:rPr>
                    <w:t>0.14</w:t>
                  </w:r>
                </w:p>
              </w:tc>
            </w:tr>
            <w:tr w14:paraId="0329F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1415" w:hRule="atLeast"/>
              </w:trPr>
              <w:tc>
                <w:tcPr>
                  <w:tcW w:w="2480" w:type="dxa"/>
                  <w:gridSpan w:val="2"/>
                  <w:tcBorders>
                    <w:left w:val="single" w:color="000000" w:sz="10" w:space="0"/>
                  </w:tcBorders>
                  <w:vAlign w:val="center"/>
                </w:tcPr>
                <w:p w14:paraId="11932F2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《城市污水再生利用-城市杂</w:t>
                  </w:r>
                  <w:r>
                    <w:rPr>
                      <w:rFonts w:ascii="Times New Roman" w:hAnsi="Times New Roman" w:eastAsia="宋体" w:cs="Times New Roman"/>
                      <w:color w:val="auto"/>
                      <w:spacing w:val="-5"/>
                      <w:sz w:val="21"/>
                      <w:szCs w:val="21"/>
                      <w:highlight w:val="none"/>
                      <w:u w:val="none" w:color="auto"/>
                    </w:rPr>
                    <w:t>用水水质》（GB/T18920-2020）</w:t>
                  </w:r>
                </w:p>
                <w:p w14:paraId="06F98BC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城市绿化、道路清扫、消防、建筑施工</w:t>
                  </w:r>
                </w:p>
              </w:tc>
              <w:tc>
                <w:tcPr>
                  <w:tcW w:w="553" w:type="dxa"/>
                  <w:gridSpan w:val="2"/>
                  <w:vAlign w:val="center"/>
                </w:tcPr>
                <w:p w14:paraId="1C96F6E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1A18E31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6~9</w:t>
                  </w:r>
                </w:p>
              </w:tc>
              <w:tc>
                <w:tcPr>
                  <w:tcW w:w="990" w:type="dxa"/>
                  <w:vAlign w:val="center"/>
                </w:tcPr>
                <w:p w14:paraId="7DED809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30287A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≤8</w:t>
                  </w:r>
                </w:p>
              </w:tc>
              <w:tc>
                <w:tcPr>
                  <w:tcW w:w="928" w:type="dxa"/>
                  <w:gridSpan w:val="2"/>
                  <w:vAlign w:val="center"/>
                </w:tcPr>
                <w:p w14:paraId="18BDDE8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31B9179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≤10</w:t>
                  </w:r>
                </w:p>
              </w:tc>
              <w:tc>
                <w:tcPr>
                  <w:tcW w:w="843" w:type="dxa"/>
                  <w:gridSpan w:val="2"/>
                  <w:vAlign w:val="center"/>
                </w:tcPr>
                <w:p w14:paraId="4DE9DA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77E7F7F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2F53759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676" w:type="dxa"/>
                  <w:gridSpan w:val="2"/>
                  <w:vAlign w:val="center"/>
                </w:tcPr>
                <w:p w14:paraId="07F4D07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1C75821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5F90BE2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876" w:type="dxa"/>
                  <w:gridSpan w:val="2"/>
                  <w:vAlign w:val="center"/>
                </w:tcPr>
                <w:p w14:paraId="6CB1174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73DBD61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27C9A64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744" w:type="dxa"/>
                  <w:tcBorders>
                    <w:right w:val="single" w:color="000000" w:sz="10" w:space="0"/>
                  </w:tcBorders>
                  <w:vAlign w:val="center"/>
                </w:tcPr>
                <w:p w14:paraId="3A94F4F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283A945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2790AFD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r>
            <w:tr w14:paraId="47ABF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44" w:hRule="atLeast"/>
              </w:trPr>
              <w:tc>
                <w:tcPr>
                  <w:tcW w:w="2480" w:type="dxa"/>
                  <w:gridSpan w:val="2"/>
                  <w:tcBorders>
                    <w:left w:val="single" w:color="000000" w:sz="10" w:space="0"/>
                  </w:tcBorders>
                  <w:vAlign w:val="center"/>
                </w:tcPr>
                <w:p w14:paraId="0016848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出水水质达标分析</w:t>
                  </w:r>
                </w:p>
              </w:tc>
              <w:tc>
                <w:tcPr>
                  <w:tcW w:w="553" w:type="dxa"/>
                  <w:gridSpan w:val="2"/>
                  <w:vAlign w:val="center"/>
                </w:tcPr>
                <w:p w14:paraId="5B46B58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90" w:type="dxa"/>
                  <w:vAlign w:val="center"/>
                </w:tcPr>
                <w:p w14:paraId="3889842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28" w:type="dxa"/>
                  <w:gridSpan w:val="2"/>
                  <w:vAlign w:val="center"/>
                </w:tcPr>
                <w:p w14:paraId="5975348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843" w:type="dxa"/>
                  <w:gridSpan w:val="2"/>
                  <w:vAlign w:val="center"/>
                </w:tcPr>
                <w:p w14:paraId="4D3CC31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676" w:type="dxa"/>
                  <w:gridSpan w:val="2"/>
                  <w:vAlign w:val="center"/>
                </w:tcPr>
                <w:p w14:paraId="6719269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876" w:type="dxa"/>
                  <w:gridSpan w:val="2"/>
                  <w:vAlign w:val="center"/>
                </w:tcPr>
                <w:p w14:paraId="0C5C661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744" w:type="dxa"/>
                  <w:tcBorders>
                    <w:right w:val="single" w:color="000000" w:sz="10" w:space="0"/>
                  </w:tcBorders>
                  <w:vAlign w:val="center"/>
                </w:tcPr>
                <w:p w14:paraId="7CFE860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r>
            <w:tr w14:paraId="05B9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1153" w:hRule="atLeast"/>
              </w:trPr>
              <w:tc>
                <w:tcPr>
                  <w:tcW w:w="2480" w:type="dxa"/>
                  <w:gridSpan w:val="2"/>
                  <w:tcBorders>
                    <w:left w:val="single" w:color="000000" w:sz="10" w:space="0"/>
                  </w:tcBorders>
                  <w:vAlign w:val="center"/>
                </w:tcPr>
                <w:p w14:paraId="7A06DE0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《城市污水再生利用工业用</w:t>
                  </w:r>
                  <w:r>
                    <w:rPr>
                      <w:rFonts w:ascii="Times New Roman" w:hAnsi="Times New Roman" w:eastAsia="宋体" w:cs="Times New Roman"/>
                      <w:color w:val="auto"/>
                      <w:spacing w:val="5"/>
                      <w:sz w:val="21"/>
                      <w:szCs w:val="21"/>
                      <w:highlight w:val="none"/>
                      <w:u w:val="none" w:color="auto"/>
                    </w:rPr>
                    <w:t>水水质标准》（</w:t>
                  </w:r>
                  <w:r>
                    <w:rPr>
                      <w:rFonts w:ascii="Times New Roman" w:hAnsi="Times New Roman" w:eastAsia="宋体" w:cs="Times New Roman"/>
                      <w:color w:val="auto"/>
                      <w:sz w:val="21"/>
                      <w:szCs w:val="21"/>
                      <w:highlight w:val="none"/>
                      <w:u w:val="none" w:color="auto"/>
                    </w:rPr>
                    <w:t>GB</w:t>
                  </w:r>
                  <w:r>
                    <w:rPr>
                      <w:rFonts w:ascii="Times New Roman" w:hAnsi="Times New Roman" w:eastAsia="宋体" w:cs="Times New Roman"/>
                      <w:color w:val="auto"/>
                      <w:spacing w:val="5"/>
                      <w:sz w:val="21"/>
                      <w:szCs w:val="21"/>
                      <w:highlight w:val="none"/>
                      <w:u w:val="none" w:color="auto"/>
                    </w:rPr>
                    <w:t>/T19923-</w:t>
                  </w:r>
                </w:p>
                <w:p w14:paraId="4C81E75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7"/>
                      <w:sz w:val="21"/>
                      <w:szCs w:val="21"/>
                      <w:highlight w:val="none"/>
                      <w:u w:val="none" w:color="auto"/>
                    </w:rPr>
                    <w:t>2024）洗涤用水</w:t>
                  </w:r>
                </w:p>
              </w:tc>
              <w:tc>
                <w:tcPr>
                  <w:tcW w:w="553" w:type="dxa"/>
                  <w:gridSpan w:val="2"/>
                  <w:vAlign w:val="center"/>
                </w:tcPr>
                <w:p w14:paraId="1343456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3E24532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6-9</w:t>
                  </w:r>
                </w:p>
              </w:tc>
              <w:tc>
                <w:tcPr>
                  <w:tcW w:w="990" w:type="dxa"/>
                  <w:vAlign w:val="center"/>
                </w:tcPr>
                <w:p w14:paraId="43958F5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7B8B44F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≤5</w:t>
                  </w:r>
                </w:p>
              </w:tc>
              <w:tc>
                <w:tcPr>
                  <w:tcW w:w="928" w:type="dxa"/>
                  <w:gridSpan w:val="2"/>
                  <w:vAlign w:val="center"/>
                </w:tcPr>
                <w:p w14:paraId="464C7CD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4A77A68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≤10</w:t>
                  </w:r>
                </w:p>
              </w:tc>
              <w:tc>
                <w:tcPr>
                  <w:tcW w:w="843" w:type="dxa"/>
                  <w:gridSpan w:val="2"/>
                  <w:vAlign w:val="center"/>
                </w:tcPr>
                <w:p w14:paraId="67D0F5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6B31398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4"/>
                      <w:sz w:val="21"/>
                      <w:szCs w:val="21"/>
                      <w:highlight w:val="none"/>
                      <w:u w:val="none" w:color="auto"/>
                    </w:rPr>
                    <w:t>≤50</w:t>
                  </w:r>
                </w:p>
              </w:tc>
              <w:tc>
                <w:tcPr>
                  <w:tcW w:w="676" w:type="dxa"/>
                  <w:gridSpan w:val="2"/>
                  <w:vAlign w:val="center"/>
                </w:tcPr>
                <w:p w14:paraId="20EEC177">
                  <w:pPr>
                    <w:keepNext w:val="0"/>
                    <w:keepLines w:val="0"/>
                    <w:pageBreakBefore w:val="0"/>
                    <w:widowControl w:val="0"/>
                    <w:tabs>
                      <w:tab w:val="left" w:pos="515"/>
                    </w:tabs>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876" w:type="dxa"/>
                  <w:gridSpan w:val="2"/>
                  <w:vAlign w:val="center"/>
                </w:tcPr>
                <w:p w14:paraId="6C9D09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53DB34B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≤1</w:t>
                  </w:r>
                </w:p>
              </w:tc>
              <w:tc>
                <w:tcPr>
                  <w:tcW w:w="744" w:type="dxa"/>
                  <w:tcBorders>
                    <w:right w:val="single" w:color="000000" w:sz="10" w:space="0"/>
                  </w:tcBorders>
                  <w:vAlign w:val="center"/>
                </w:tcPr>
                <w:p w14:paraId="1A96CD9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p w14:paraId="593931C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3"/>
                      <w:sz w:val="21"/>
                      <w:szCs w:val="21"/>
                      <w:highlight w:val="none"/>
                      <w:u w:val="none" w:color="auto"/>
                    </w:rPr>
                    <w:t>≤0.5</w:t>
                  </w:r>
                </w:p>
              </w:tc>
            </w:tr>
            <w:tr w14:paraId="6E78E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46" w:hRule="atLeast"/>
              </w:trPr>
              <w:tc>
                <w:tcPr>
                  <w:tcW w:w="2480" w:type="dxa"/>
                  <w:gridSpan w:val="2"/>
                  <w:tcBorders>
                    <w:left w:val="single" w:color="000000" w:sz="10" w:space="0"/>
                  </w:tcBorders>
                  <w:vAlign w:val="center"/>
                </w:tcPr>
                <w:p w14:paraId="0991D5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6"/>
                      <w:sz w:val="21"/>
                      <w:szCs w:val="21"/>
                      <w:highlight w:val="none"/>
                      <w:u w:val="none" w:color="auto"/>
                    </w:rPr>
                    <w:t>出水水质达标分析</w:t>
                  </w:r>
                </w:p>
              </w:tc>
              <w:tc>
                <w:tcPr>
                  <w:tcW w:w="553" w:type="dxa"/>
                  <w:gridSpan w:val="2"/>
                  <w:vAlign w:val="center"/>
                </w:tcPr>
                <w:p w14:paraId="1B2FA43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90" w:type="dxa"/>
                  <w:vAlign w:val="center"/>
                </w:tcPr>
                <w:p w14:paraId="6317CA4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928" w:type="dxa"/>
                  <w:gridSpan w:val="2"/>
                  <w:vAlign w:val="center"/>
                </w:tcPr>
                <w:p w14:paraId="64B350E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843" w:type="dxa"/>
                  <w:gridSpan w:val="2"/>
                  <w:vAlign w:val="center"/>
                </w:tcPr>
                <w:p w14:paraId="5AB1255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676" w:type="dxa"/>
                  <w:gridSpan w:val="2"/>
                  <w:vAlign w:val="center"/>
                </w:tcPr>
                <w:p w14:paraId="4A999DA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2"/>
                      <w:position w:val="-2"/>
                      <w:sz w:val="21"/>
                      <w:szCs w:val="21"/>
                      <w:highlight w:val="none"/>
                      <w:u w:val="none" w:color="auto"/>
                    </w:rPr>
                    <w:t>—</w:t>
                  </w:r>
                </w:p>
              </w:tc>
              <w:tc>
                <w:tcPr>
                  <w:tcW w:w="876" w:type="dxa"/>
                  <w:gridSpan w:val="2"/>
                  <w:vAlign w:val="center"/>
                </w:tcPr>
                <w:p w14:paraId="2813E6F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744" w:type="dxa"/>
                  <w:tcBorders>
                    <w:right w:val="single" w:color="000000" w:sz="10" w:space="0"/>
                  </w:tcBorders>
                  <w:vAlign w:val="center"/>
                </w:tcPr>
                <w:p w14:paraId="5B13022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7CEE5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04" w:hRule="atLeast"/>
              </w:trPr>
              <w:tc>
                <w:tcPr>
                  <w:tcW w:w="2480" w:type="dxa"/>
                  <w:gridSpan w:val="2"/>
                  <w:tcBorders>
                    <w:left w:val="single" w:color="000000" w:sz="10" w:space="0"/>
                    <w:bottom w:val="single" w:color="000000" w:sz="10" w:space="0"/>
                  </w:tcBorders>
                  <w:vAlign w:val="center"/>
                </w:tcPr>
                <w:p w14:paraId="6D5ABB2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8"/>
                      <w:sz w:val="21"/>
                      <w:szCs w:val="21"/>
                      <w:highlight w:val="none"/>
                      <w:u w:val="none" w:color="auto"/>
                    </w:rPr>
                    <w:t>污水处理效率（平均值%）</w:t>
                  </w:r>
                </w:p>
              </w:tc>
              <w:tc>
                <w:tcPr>
                  <w:tcW w:w="553" w:type="dxa"/>
                  <w:gridSpan w:val="2"/>
                  <w:tcBorders>
                    <w:bottom w:val="single" w:color="000000" w:sz="10" w:space="0"/>
                  </w:tcBorders>
                  <w:vAlign w:val="center"/>
                </w:tcPr>
                <w:p w14:paraId="5F7ECC7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w:t>
                  </w:r>
                </w:p>
              </w:tc>
              <w:tc>
                <w:tcPr>
                  <w:tcW w:w="990" w:type="dxa"/>
                  <w:tcBorders>
                    <w:bottom w:val="single" w:color="000000" w:sz="10" w:space="0"/>
                  </w:tcBorders>
                  <w:vAlign w:val="center"/>
                </w:tcPr>
                <w:p w14:paraId="5F7FD18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75.1</w:t>
                  </w:r>
                </w:p>
              </w:tc>
              <w:tc>
                <w:tcPr>
                  <w:tcW w:w="928" w:type="dxa"/>
                  <w:gridSpan w:val="2"/>
                  <w:tcBorders>
                    <w:bottom w:val="single" w:color="000000" w:sz="10" w:space="0"/>
                  </w:tcBorders>
                  <w:vAlign w:val="center"/>
                </w:tcPr>
                <w:p w14:paraId="0DE14D2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96.1</w:t>
                  </w:r>
                </w:p>
              </w:tc>
              <w:tc>
                <w:tcPr>
                  <w:tcW w:w="843" w:type="dxa"/>
                  <w:gridSpan w:val="2"/>
                  <w:tcBorders>
                    <w:bottom w:val="single" w:color="000000" w:sz="10" w:space="0"/>
                  </w:tcBorders>
                  <w:vAlign w:val="center"/>
                </w:tcPr>
                <w:p w14:paraId="380FCFE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95.6</w:t>
                  </w:r>
                </w:p>
              </w:tc>
              <w:tc>
                <w:tcPr>
                  <w:tcW w:w="676" w:type="dxa"/>
                  <w:gridSpan w:val="2"/>
                  <w:tcBorders>
                    <w:bottom w:val="single" w:color="000000" w:sz="10" w:space="0"/>
                  </w:tcBorders>
                  <w:vAlign w:val="center"/>
                </w:tcPr>
                <w:p w14:paraId="0AE8E8D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2"/>
                      <w:sz w:val="21"/>
                      <w:szCs w:val="21"/>
                      <w:highlight w:val="none"/>
                      <w:u w:val="none" w:color="auto"/>
                    </w:rPr>
                    <w:t>60.5</w:t>
                  </w:r>
                </w:p>
              </w:tc>
              <w:tc>
                <w:tcPr>
                  <w:tcW w:w="876" w:type="dxa"/>
                  <w:gridSpan w:val="2"/>
                  <w:tcBorders>
                    <w:bottom w:val="single" w:color="000000" w:sz="10" w:space="0"/>
                  </w:tcBorders>
                  <w:vAlign w:val="center"/>
                </w:tcPr>
                <w:p w14:paraId="6C241C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1"/>
                      <w:sz w:val="21"/>
                      <w:szCs w:val="21"/>
                      <w:highlight w:val="none"/>
                      <w:u w:val="none" w:color="auto"/>
                    </w:rPr>
                    <w:t>81.6</w:t>
                  </w:r>
                </w:p>
              </w:tc>
              <w:tc>
                <w:tcPr>
                  <w:tcW w:w="744" w:type="dxa"/>
                  <w:tcBorders>
                    <w:bottom w:val="single" w:color="000000" w:sz="10" w:space="0"/>
                    <w:right w:val="single" w:color="000000" w:sz="10" w:space="0"/>
                  </w:tcBorders>
                  <w:vAlign w:val="center"/>
                </w:tcPr>
                <w:p w14:paraId="496DC53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82.1</w:t>
                  </w:r>
                </w:p>
              </w:tc>
            </w:tr>
          </w:tbl>
          <w:p w14:paraId="05B1D2A2">
            <w:pPr>
              <w:keepNext w:val="0"/>
              <w:keepLines w:val="0"/>
              <w:suppressLineNumbers w:val="0"/>
              <w:bidi w:val="0"/>
              <w:spacing w:before="0" w:beforeAutospacing="0" w:after="0" w:afterAutospacing="0" w:line="360" w:lineRule="auto"/>
              <w:ind w:left="0" w:right="0" w:firstLine="488" w:firstLineChars="200"/>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color w:val="auto"/>
                <w:spacing w:val="2"/>
                <w:sz w:val="24"/>
                <w:szCs w:val="24"/>
                <w:highlight w:val="none"/>
                <w:u w:val="none" w:color="auto"/>
              </w:rPr>
              <w:t>监测结果表明，2#泊位含油污水处理站和5#泊位含油污水处理站运行良好，污水处理</w:t>
            </w:r>
            <w:r>
              <w:rPr>
                <w:rFonts w:hint="default" w:ascii="Times New Roman" w:hAnsi="Times New Roman" w:eastAsia="宋体" w:cs="Times New Roman"/>
                <w:color w:val="auto"/>
                <w:spacing w:val="-5"/>
                <w:sz w:val="24"/>
                <w:szCs w:val="24"/>
                <w:highlight w:val="none"/>
                <w:u w:val="none" w:color="auto"/>
              </w:rPr>
              <w:t>效率较高，出水水质能满足《城市污水再生利用-城市杂用水水质》</w:t>
            </w:r>
            <w:r>
              <w:rPr>
                <w:rFonts w:hint="default" w:ascii="Times New Roman" w:hAnsi="Times New Roman" w:eastAsia="宋体" w:cs="Times New Roman"/>
                <w:color w:val="auto"/>
                <w:spacing w:val="-6"/>
                <w:sz w:val="24"/>
                <w:szCs w:val="24"/>
                <w:highlight w:val="none"/>
                <w:u w:val="none" w:color="auto"/>
              </w:rPr>
              <w:t>（GB/T18920-2020）“城</w:t>
            </w:r>
            <w:r>
              <w:rPr>
                <w:rFonts w:hint="default" w:ascii="Times New Roman" w:hAnsi="Times New Roman" w:eastAsia="宋体" w:cs="Times New Roman"/>
                <w:color w:val="auto"/>
                <w:spacing w:val="-5"/>
                <w:sz w:val="24"/>
                <w:szCs w:val="24"/>
                <w:highlight w:val="none"/>
                <w:u w:val="none" w:color="auto"/>
              </w:rPr>
              <w:t>市绿化、道路清扫、消防、建筑施工”用水标准和《城市污水再生利用工业用水水质标准》</w:t>
            </w:r>
            <w:r>
              <w:rPr>
                <w:rFonts w:hint="default" w:ascii="Times New Roman" w:hAnsi="Times New Roman" w:eastAsia="宋体" w:cs="Times New Roman"/>
                <w:color w:val="auto"/>
                <w:spacing w:val="-1"/>
                <w:sz w:val="24"/>
                <w:szCs w:val="24"/>
                <w:highlight w:val="none"/>
                <w:u w:val="none" w:color="auto"/>
              </w:rPr>
              <w:t>（GB/T19923-2024）“洗涤用水”用水标准，出水可回用于</w:t>
            </w:r>
            <w:r>
              <w:rPr>
                <w:rFonts w:hint="default" w:ascii="Times New Roman" w:hAnsi="Times New Roman" w:eastAsia="宋体" w:cs="Times New Roman"/>
                <w:color w:val="auto"/>
                <w:spacing w:val="-2"/>
                <w:sz w:val="24"/>
                <w:szCs w:val="24"/>
                <w:highlight w:val="none"/>
                <w:u w:val="none" w:color="auto"/>
              </w:rPr>
              <w:t>机械冲洗用水、厂区绿化和道</w:t>
            </w:r>
            <w:r>
              <w:rPr>
                <w:rFonts w:hint="default" w:ascii="Times New Roman" w:hAnsi="Times New Roman" w:eastAsia="宋体" w:cs="Times New Roman"/>
                <w:color w:val="auto"/>
                <w:spacing w:val="-3"/>
                <w:sz w:val="24"/>
                <w:szCs w:val="24"/>
                <w:highlight w:val="none"/>
                <w:u w:val="none" w:color="auto"/>
              </w:rPr>
              <w:t>路清扫。</w:t>
            </w:r>
          </w:p>
          <w:p w14:paraId="2D501798">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eastAsia="zh-CN"/>
              </w:rPr>
              <w:t>（</w:t>
            </w:r>
            <w:r>
              <w:rPr>
                <w:rFonts w:hint="default" w:ascii="Times New Roman" w:hAnsi="Times New Roman" w:eastAsia="宋体" w:cs="Times New Roman"/>
                <w:b/>
                <w:bCs/>
                <w:color w:val="auto"/>
                <w:sz w:val="24"/>
                <w:szCs w:val="24"/>
                <w:highlight w:val="none"/>
                <w:u w:val="none" w:color="auto"/>
                <w:lang w:val="en-US" w:eastAsia="zh-CN"/>
              </w:rPr>
              <w:t>3</w:t>
            </w:r>
            <w:r>
              <w:rPr>
                <w:rFonts w:hint="default" w:ascii="Times New Roman" w:hAnsi="Times New Roman" w:eastAsia="宋体" w:cs="Times New Roman"/>
                <w:b/>
                <w:bCs/>
                <w:color w:val="auto"/>
                <w:sz w:val="24"/>
                <w:szCs w:val="24"/>
                <w:highlight w:val="none"/>
                <w:u w:val="none" w:color="auto"/>
                <w:lang w:eastAsia="zh-CN"/>
              </w:rPr>
              <w:t>）</w:t>
            </w:r>
            <w:r>
              <w:rPr>
                <w:rFonts w:hint="default" w:ascii="Times New Roman" w:hAnsi="Times New Roman" w:eastAsia="宋体" w:cs="Times New Roman"/>
                <w:b/>
                <w:bCs/>
                <w:color w:val="auto"/>
                <w:sz w:val="24"/>
                <w:szCs w:val="24"/>
                <w:highlight w:val="none"/>
                <w:u w:val="none" w:color="auto"/>
              </w:rPr>
              <w:t>噪声</w:t>
            </w:r>
          </w:p>
          <w:p w14:paraId="5C25B298">
            <w:pPr>
              <w:pStyle w:val="19"/>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eastAsia="宋体" w:cs="Times New Roman"/>
                <w:snapToGrid/>
                <w:color w:val="auto"/>
                <w:kern w:val="2"/>
                <w:sz w:val="24"/>
                <w:szCs w:val="24"/>
                <w:highlight w:val="none"/>
                <w:u w:val="none" w:color="auto"/>
                <w:lang w:val="en-US" w:eastAsia="zh-CN" w:bidi="ar-SA"/>
              </w:rPr>
            </w:pPr>
            <w:r>
              <w:rPr>
                <w:rFonts w:hint="eastAsia" w:ascii="Times New Roman" w:hAnsi="Times New Roman" w:eastAsia="宋体" w:cs="Times New Roman"/>
                <w:caps w:val="0"/>
                <w:color w:val="auto"/>
                <w:sz w:val="24"/>
                <w:szCs w:val="24"/>
                <w:highlight w:val="none"/>
                <w:u w:val="none" w:color="auto"/>
                <w:lang w:val="en-US" w:eastAsia="zh-CN"/>
              </w:rPr>
              <w:t>港区</w:t>
            </w:r>
            <w:r>
              <w:rPr>
                <w:rFonts w:hint="default" w:ascii="Times New Roman" w:hAnsi="Times New Roman" w:eastAsia="宋体" w:cs="Times New Roman"/>
                <w:caps w:val="0"/>
                <w:color w:val="auto"/>
                <w:sz w:val="24"/>
                <w:szCs w:val="24"/>
                <w:highlight w:val="none"/>
                <w:u w:val="none" w:color="auto"/>
              </w:rPr>
              <w:t>噪声源主要为岸边集装箱装卸桥、集装箱牵引车等装卸机械、船舶噪声</w:t>
            </w:r>
            <w:r>
              <w:rPr>
                <w:rFonts w:hint="eastAsia" w:ascii="Times New Roman" w:hAnsi="Times New Roman" w:eastAsia="宋体" w:cs="Times New Roman"/>
                <w:caps w:val="0"/>
                <w:color w:val="auto"/>
                <w:sz w:val="24"/>
                <w:szCs w:val="24"/>
                <w:highlight w:val="none"/>
                <w:u w:val="none" w:color="auto"/>
                <w:lang w:eastAsia="zh-CN"/>
              </w:rPr>
              <w:t>、</w:t>
            </w:r>
            <w:r>
              <w:rPr>
                <w:rFonts w:hint="eastAsia" w:ascii="Times New Roman" w:hAnsi="Times New Roman" w:eastAsia="宋体" w:cs="Times New Roman"/>
                <w:caps w:val="0"/>
                <w:color w:val="auto"/>
                <w:sz w:val="24"/>
                <w:szCs w:val="24"/>
                <w:highlight w:val="none"/>
                <w:u w:val="none" w:color="auto"/>
                <w:lang w:val="en-US" w:eastAsia="zh-CN"/>
              </w:rPr>
              <w:t>集装箱维修噪声等</w:t>
            </w:r>
            <w:r>
              <w:rPr>
                <w:rFonts w:hint="default" w:ascii="Times New Roman" w:hAnsi="Times New Roman" w:eastAsia="宋体" w:cs="Times New Roman"/>
                <w:caps w:val="0"/>
                <w:color w:val="auto"/>
                <w:sz w:val="24"/>
                <w:szCs w:val="24"/>
                <w:highlight w:val="none"/>
                <w:u w:val="none" w:color="auto"/>
              </w:rPr>
              <w:t>。船舶噪声源主要分布在港区水域，作业机械噪声源主要集中在码头区和堆场区。</w:t>
            </w:r>
            <w:r>
              <w:rPr>
                <w:rFonts w:hint="default" w:ascii="Times New Roman" w:hAnsi="Times New Roman" w:eastAsia="宋体" w:cs="Times New Roman"/>
                <w:caps w:val="0"/>
                <w:color w:val="auto"/>
                <w:sz w:val="24"/>
                <w:szCs w:val="24"/>
                <w:highlight w:val="none"/>
                <w:u w:val="none" w:color="auto"/>
                <w:lang w:val="en-US" w:eastAsia="zh-CN"/>
              </w:rPr>
              <w:t>本次评价引用</w:t>
            </w:r>
            <w:r>
              <w:rPr>
                <w:rFonts w:hint="eastAsia" w:ascii="Times New Roman" w:hAnsi="Times New Roman" w:eastAsia="宋体" w:cs="Times New Roman"/>
                <w:caps w:val="0"/>
                <w:color w:val="auto"/>
                <w:sz w:val="24"/>
                <w:szCs w:val="24"/>
                <w:highlight w:val="none"/>
                <w:u w:val="none" w:color="auto"/>
                <w:lang w:val="en-US" w:eastAsia="zh-CN"/>
              </w:rPr>
              <w:t>建设单位</w:t>
            </w:r>
            <w:r>
              <w:rPr>
                <w:rFonts w:hint="default" w:ascii="Times New Roman" w:hAnsi="Times New Roman" w:eastAsia="宋体" w:cs="Times New Roman"/>
                <w:caps w:val="0"/>
                <w:color w:val="auto"/>
                <w:sz w:val="24"/>
                <w:szCs w:val="24"/>
                <w:highlight w:val="none"/>
                <w:u w:val="none" w:color="auto"/>
              </w:rPr>
              <w:t>《</w:t>
            </w:r>
            <w:r>
              <w:rPr>
                <w:rFonts w:hint="eastAsia" w:ascii="Times New Roman" w:hAnsi="Times New Roman" w:eastAsia="宋体" w:cs="Times New Roman"/>
                <w:caps w:val="0"/>
                <w:color w:val="auto"/>
                <w:sz w:val="24"/>
                <w:szCs w:val="24"/>
                <w:highlight w:val="none"/>
                <w:u w:val="none" w:color="auto"/>
                <w:lang w:val="en-US" w:eastAsia="zh-CN"/>
              </w:rPr>
              <w:t>钦州港大榄坪南作业区1#-6#泊位2025年例行监测项目</w:t>
            </w:r>
            <w:r>
              <w:rPr>
                <w:rFonts w:hint="default" w:ascii="Times New Roman" w:hAnsi="Times New Roman" w:eastAsia="宋体" w:cs="Times New Roman"/>
                <w:caps w:val="0"/>
                <w:color w:val="auto"/>
                <w:sz w:val="24"/>
                <w:szCs w:val="24"/>
                <w:highlight w:val="none"/>
                <w:u w:val="none" w:color="auto"/>
              </w:rPr>
              <w:t>》中对</w:t>
            </w:r>
            <w:r>
              <w:rPr>
                <w:rFonts w:hint="eastAsia" w:ascii="Times New Roman" w:hAnsi="Times New Roman" w:eastAsia="宋体" w:cs="Times New Roman"/>
                <w:caps w:val="0"/>
                <w:color w:val="auto"/>
                <w:sz w:val="24"/>
                <w:szCs w:val="24"/>
                <w:highlight w:val="none"/>
                <w:u w:val="none" w:color="auto"/>
                <w:lang w:val="en-US" w:eastAsia="zh-CN"/>
              </w:rPr>
              <w:t>四周噪声的</w:t>
            </w:r>
            <w:r>
              <w:rPr>
                <w:rFonts w:hint="default" w:ascii="Times New Roman" w:hAnsi="Times New Roman" w:eastAsia="宋体" w:cs="Times New Roman"/>
                <w:caps w:val="0"/>
                <w:color w:val="auto"/>
                <w:sz w:val="24"/>
                <w:szCs w:val="24"/>
                <w:highlight w:val="none"/>
                <w:u w:val="none" w:color="auto"/>
              </w:rPr>
              <w:t>监测</w:t>
            </w:r>
            <w:r>
              <w:rPr>
                <w:rFonts w:hint="default" w:ascii="Times New Roman" w:hAnsi="Times New Roman" w:eastAsia="宋体" w:cs="Times New Roman"/>
                <w:snapToGrid/>
                <w:color w:val="auto"/>
                <w:kern w:val="2"/>
                <w:sz w:val="24"/>
                <w:szCs w:val="24"/>
                <w:highlight w:val="none"/>
                <w:u w:val="none" w:color="auto"/>
                <w:lang w:val="en-US" w:eastAsia="zh-CN" w:bidi="ar-SA"/>
              </w:rPr>
              <w:t>。</w:t>
            </w:r>
            <w:r>
              <w:rPr>
                <w:rFonts w:hint="eastAsia" w:ascii="Times New Roman" w:hAnsi="Times New Roman" w:eastAsia="宋体" w:cs="Times New Roman"/>
                <w:snapToGrid/>
                <w:color w:val="auto"/>
                <w:kern w:val="2"/>
                <w:sz w:val="24"/>
                <w:szCs w:val="24"/>
                <w:highlight w:val="none"/>
                <w:u w:val="none" w:color="auto"/>
                <w:lang w:val="en-US" w:eastAsia="zh-CN" w:bidi="ar-SA"/>
              </w:rPr>
              <w:t>监测结果见下表。</w:t>
            </w:r>
          </w:p>
          <w:p w14:paraId="488735E7">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113"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bCs/>
                <w:color w:val="auto"/>
                <w:spacing w:val="-1"/>
                <w:sz w:val="21"/>
                <w:szCs w:val="21"/>
                <w:highlight w:val="none"/>
                <w:u w:val="none" w:color="auto"/>
              </w:rPr>
              <w:t>表</w:t>
            </w:r>
            <w:r>
              <w:rPr>
                <w:rFonts w:hint="eastAsia" w:ascii="Times New Roman" w:hAnsi="Times New Roman" w:eastAsia="宋体" w:cs="Times New Roman"/>
                <w:b/>
                <w:bCs/>
                <w:color w:val="auto"/>
                <w:spacing w:val="-1"/>
                <w:sz w:val="21"/>
                <w:szCs w:val="21"/>
                <w:highlight w:val="none"/>
                <w:u w:val="none" w:color="auto"/>
                <w:lang w:val="en-US" w:eastAsia="zh-CN"/>
              </w:rPr>
              <w:t>2</w:t>
            </w:r>
            <w:r>
              <w:rPr>
                <w:rFonts w:hint="default" w:ascii="Times New Roman" w:hAnsi="Times New Roman" w:eastAsia="宋体" w:cs="Times New Roman"/>
                <w:b/>
                <w:bCs/>
                <w:color w:val="auto"/>
                <w:spacing w:val="-1"/>
                <w:sz w:val="21"/>
                <w:szCs w:val="21"/>
                <w:highlight w:val="none"/>
                <w:u w:val="none" w:color="auto"/>
              </w:rPr>
              <w:t>-</w:t>
            </w:r>
            <w:r>
              <w:rPr>
                <w:rFonts w:hint="eastAsia" w:ascii="Times New Roman" w:hAnsi="Times New Roman" w:eastAsia="宋体" w:cs="Times New Roman"/>
                <w:b/>
                <w:bCs/>
                <w:color w:val="auto"/>
                <w:spacing w:val="-1"/>
                <w:sz w:val="21"/>
                <w:szCs w:val="21"/>
                <w:highlight w:val="none"/>
                <w:u w:val="none" w:color="auto"/>
                <w:lang w:val="en-US" w:eastAsia="zh-CN"/>
              </w:rPr>
              <w:t xml:space="preserve">12 </w:t>
            </w:r>
            <w:r>
              <w:rPr>
                <w:rFonts w:hint="default" w:ascii="Times New Roman" w:hAnsi="Times New Roman" w:eastAsia="宋体" w:cs="Times New Roman"/>
                <w:b/>
                <w:bCs/>
                <w:color w:val="auto"/>
                <w:spacing w:val="-1"/>
                <w:sz w:val="21"/>
                <w:szCs w:val="21"/>
                <w:highlight w:val="none"/>
                <w:u w:val="none" w:color="auto"/>
              </w:rPr>
              <w:t>项目厂界噪声监测结果分析</w:t>
            </w:r>
            <w:r>
              <w:rPr>
                <w:rFonts w:hint="default" w:ascii="Times New Roman" w:hAnsi="Times New Roman" w:eastAsia="宋体" w:cs="Times New Roman"/>
                <w:b/>
                <w:bCs/>
                <w:color w:val="auto"/>
                <w:spacing w:val="-2"/>
                <w:sz w:val="21"/>
                <w:szCs w:val="21"/>
                <w:highlight w:val="none"/>
                <w:u w:val="none" w:color="auto"/>
              </w:rPr>
              <w:t>单位：dB（A）</w:t>
            </w:r>
          </w:p>
          <w:tbl>
            <w:tblPr>
              <w:tblStyle w:val="143"/>
              <w:tblW w:w="8058"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1"/>
              <w:gridCol w:w="839"/>
              <w:gridCol w:w="1066"/>
              <w:gridCol w:w="1230"/>
              <w:gridCol w:w="825"/>
              <w:gridCol w:w="790"/>
              <w:gridCol w:w="582"/>
              <w:gridCol w:w="595"/>
            </w:tblGrid>
            <w:tr w14:paraId="6599E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970" w:type="dxa"/>
                  <w:gridSpan w:val="2"/>
                  <w:vMerge w:val="restart"/>
                  <w:tcBorders>
                    <w:top w:val="single" w:color="000000" w:sz="10" w:space="0"/>
                    <w:left w:val="single" w:color="000000" w:sz="10" w:space="0"/>
                    <w:bottom w:val="nil"/>
                  </w:tcBorders>
                  <w:vAlign w:val="center"/>
                </w:tcPr>
                <w:p w14:paraId="5E86E66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监测点名称</w:t>
                  </w:r>
                </w:p>
              </w:tc>
              <w:tc>
                <w:tcPr>
                  <w:tcW w:w="2296" w:type="dxa"/>
                  <w:gridSpan w:val="2"/>
                  <w:tcBorders>
                    <w:top w:val="single" w:color="000000" w:sz="10" w:space="0"/>
                  </w:tcBorders>
                  <w:vAlign w:val="center"/>
                </w:tcPr>
                <w:p w14:paraId="107A0CD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监测结果</w:t>
                  </w:r>
                </w:p>
              </w:tc>
              <w:tc>
                <w:tcPr>
                  <w:tcW w:w="1615" w:type="dxa"/>
                  <w:gridSpan w:val="2"/>
                  <w:tcBorders>
                    <w:top w:val="single" w:color="000000" w:sz="10" w:space="0"/>
                  </w:tcBorders>
                  <w:vAlign w:val="center"/>
                </w:tcPr>
                <w:p w14:paraId="50CD7E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标准</w:t>
                  </w:r>
                </w:p>
              </w:tc>
              <w:tc>
                <w:tcPr>
                  <w:tcW w:w="1177" w:type="dxa"/>
                  <w:gridSpan w:val="2"/>
                  <w:tcBorders>
                    <w:top w:val="single" w:color="000000" w:sz="10" w:space="0"/>
                    <w:right w:val="single" w:color="000000" w:sz="10" w:space="0"/>
                  </w:tcBorders>
                  <w:vAlign w:val="center"/>
                </w:tcPr>
                <w:p w14:paraId="6F9DE67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超标情况</w:t>
                  </w:r>
                </w:p>
              </w:tc>
            </w:tr>
            <w:tr w14:paraId="43FCB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970" w:type="dxa"/>
                  <w:gridSpan w:val="2"/>
                  <w:vMerge w:val="continue"/>
                  <w:tcBorders>
                    <w:top w:val="nil"/>
                    <w:left w:val="single" w:color="000000" w:sz="10" w:space="0"/>
                  </w:tcBorders>
                  <w:vAlign w:val="center"/>
                </w:tcPr>
                <w:p w14:paraId="1183BE8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066" w:type="dxa"/>
                  <w:vAlign w:val="center"/>
                </w:tcPr>
                <w:p w14:paraId="32A3F1B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昼间</w:t>
                  </w:r>
                </w:p>
              </w:tc>
              <w:tc>
                <w:tcPr>
                  <w:tcW w:w="1230" w:type="dxa"/>
                  <w:vAlign w:val="center"/>
                </w:tcPr>
                <w:p w14:paraId="17DA81A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z w:val="21"/>
                      <w:szCs w:val="21"/>
                      <w:highlight w:val="none"/>
                      <w:u w:val="none" w:color="auto"/>
                    </w:rPr>
                    <w:t>夜间</w:t>
                  </w:r>
                </w:p>
              </w:tc>
              <w:tc>
                <w:tcPr>
                  <w:tcW w:w="825" w:type="dxa"/>
                  <w:vAlign w:val="center"/>
                </w:tcPr>
                <w:p w14:paraId="2ED8A19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4"/>
                      <w:sz w:val="21"/>
                      <w:szCs w:val="21"/>
                      <w:highlight w:val="none"/>
                      <w:u w:val="none" w:color="auto"/>
                    </w:rPr>
                    <w:t>昼间</w:t>
                  </w:r>
                </w:p>
              </w:tc>
              <w:tc>
                <w:tcPr>
                  <w:tcW w:w="790" w:type="dxa"/>
                  <w:vAlign w:val="center"/>
                </w:tcPr>
                <w:p w14:paraId="28296B4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夜间</w:t>
                  </w:r>
                </w:p>
              </w:tc>
              <w:tc>
                <w:tcPr>
                  <w:tcW w:w="582" w:type="dxa"/>
                  <w:vAlign w:val="center"/>
                </w:tcPr>
                <w:p w14:paraId="5BB6DB4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4"/>
                      <w:sz w:val="21"/>
                      <w:szCs w:val="21"/>
                      <w:highlight w:val="none"/>
                      <w:u w:val="none" w:color="auto"/>
                    </w:rPr>
                    <w:t>昼间</w:t>
                  </w:r>
                </w:p>
              </w:tc>
              <w:tc>
                <w:tcPr>
                  <w:tcW w:w="595" w:type="dxa"/>
                  <w:tcBorders>
                    <w:right w:val="single" w:color="000000" w:sz="10" w:space="0"/>
                  </w:tcBorders>
                  <w:vAlign w:val="center"/>
                </w:tcPr>
                <w:p w14:paraId="6343541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夜间</w:t>
                  </w:r>
                </w:p>
              </w:tc>
            </w:tr>
            <w:tr w14:paraId="40CF6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131" w:type="dxa"/>
                  <w:tcBorders>
                    <w:top w:val="single" w:color="auto" w:sz="4" w:space="0"/>
                    <w:left w:val="single" w:color="auto" w:sz="4" w:space="0"/>
                    <w:bottom w:val="single" w:color="auto" w:sz="4" w:space="0"/>
                    <w:right w:val="single" w:color="auto" w:sz="4" w:space="0"/>
                  </w:tcBorders>
                  <w:vAlign w:val="center"/>
                </w:tcPr>
                <w:p w14:paraId="2DADCF3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ascii="Times New Roman" w:hAnsi="Times New Roman" w:eastAsia="宋体" w:cs="Times New Roman"/>
                      <w:color w:val="auto"/>
                      <w:spacing w:val="6"/>
                      <w:sz w:val="21"/>
                      <w:szCs w:val="21"/>
                      <w:highlight w:val="none"/>
                      <w:u w:val="none" w:color="auto"/>
                    </w:rPr>
                    <w:t>1#</w:t>
                  </w:r>
                  <w:r>
                    <w:rPr>
                      <w:rFonts w:hint="eastAsia" w:ascii="Times New Roman" w:hAnsi="Times New Roman" w:eastAsia="宋体" w:cs="Times New Roman"/>
                      <w:color w:val="auto"/>
                      <w:spacing w:val="6"/>
                      <w:sz w:val="21"/>
                      <w:szCs w:val="21"/>
                      <w:highlight w:val="none"/>
                      <w:u w:val="none" w:color="auto"/>
                      <w:lang w:val="en-US" w:eastAsia="zh-CN"/>
                    </w:rPr>
                    <w:t>项目厂界东侧</w:t>
                  </w:r>
                </w:p>
              </w:tc>
              <w:tc>
                <w:tcPr>
                  <w:tcW w:w="839" w:type="dxa"/>
                  <w:vMerge w:val="restart"/>
                  <w:tcBorders>
                    <w:left w:val="single" w:color="auto" w:sz="4" w:space="0"/>
                  </w:tcBorders>
                  <w:vAlign w:val="center"/>
                </w:tcPr>
                <w:p w14:paraId="1079199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2025年5月15日</w:t>
                  </w:r>
                </w:p>
              </w:tc>
              <w:tc>
                <w:tcPr>
                  <w:tcW w:w="1066" w:type="dxa"/>
                  <w:vAlign w:val="center"/>
                </w:tcPr>
                <w:p w14:paraId="4CB1FAF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2"/>
                      <w:sz w:val="21"/>
                      <w:szCs w:val="21"/>
                      <w:highlight w:val="none"/>
                      <w:u w:val="none" w:color="auto"/>
                      <w:lang w:val="en-US" w:eastAsia="zh-CN"/>
                    </w:rPr>
                    <w:t>58.1</w:t>
                  </w:r>
                </w:p>
              </w:tc>
              <w:tc>
                <w:tcPr>
                  <w:tcW w:w="1230" w:type="dxa"/>
                  <w:vAlign w:val="center"/>
                </w:tcPr>
                <w:p w14:paraId="7B6479D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ascii="Times New Roman" w:hAnsi="Times New Roman" w:eastAsia="宋体" w:cs="Times New Roman"/>
                      <w:color w:val="auto"/>
                      <w:spacing w:val="2"/>
                      <w:sz w:val="21"/>
                      <w:szCs w:val="21"/>
                      <w:highlight w:val="none"/>
                      <w:u w:val="none" w:color="auto"/>
                    </w:rPr>
                    <w:t>53.</w:t>
                  </w:r>
                  <w:r>
                    <w:rPr>
                      <w:rFonts w:hint="eastAsia" w:ascii="Times New Roman" w:hAnsi="Times New Roman" w:eastAsia="宋体" w:cs="Times New Roman"/>
                      <w:color w:val="auto"/>
                      <w:spacing w:val="2"/>
                      <w:sz w:val="21"/>
                      <w:szCs w:val="21"/>
                      <w:highlight w:val="none"/>
                      <w:u w:val="none" w:color="auto"/>
                      <w:lang w:val="en-US" w:eastAsia="zh-CN"/>
                    </w:rPr>
                    <w:t>6</w:t>
                  </w:r>
                </w:p>
              </w:tc>
              <w:tc>
                <w:tcPr>
                  <w:tcW w:w="825" w:type="dxa"/>
                  <w:vAlign w:val="center"/>
                </w:tcPr>
                <w:p w14:paraId="61576D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70</w:t>
                  </w:r>
                </w:p>
              </w:tc>
              <w:tc>
                <w:tcPr>
                  <w:tcW w:w="790" w:type="dxa"/>
                  <w:vAlign w:val="center"/>
                </w:tcPr>
                <w:p w14:paraId="5A8EB5E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79DFAF7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03ED5D5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7D61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131" w:type="dxa"/>
                  <w:tcBorders>
                    <w:top w:val="single" w:color="auto" w:sz="4" w:space="0"/>
                    <w:left w:val="single" w:color="auto" w:sz="4" w:space="0"/>
                    <w:bottom w:val="single" w:color="auto" w:sz="4" w:space="0"/>
                    <w:right w:val="single" w:color="auto" w:sz="4" w:space="0"/>
                  </w:tcBorders>
                  <w:vAlign w:val="center"/>
                </w:tcPr>
                <w:p w14:paraId="207AF3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pacing w:val="6"/>
                      <w:sz w:val="21"/>
                      <w:szCs w:val="21"/>
                      <w:highlight w:val="none"/>
                      <w:u w:val="none" w:color="auto"/>
                      <w:lang w:val="en-US" w:eastAsia="zh-CN"/>
                    </w:rPr>
                    <w:t>2</w:t>
                  </w:r>
                  <w:r>
                    <w:rPr>
                      <w:rFonts w:ascii="Times New Roman" w:hAnsi="Times New Roman" w:eastAsia="宋体" w:cs="Times New Roman"/>
                      <w:color w:val="auto"/>
                      <w:spacing w:val="6"/>
                      <w:sz w:val="21"/>
                      <w:szCs w:val="21"/>
                      <w:highlight w:val="none"/>
                      <w:u w:val="none" w:color="auto"/>
                    </w:rPr>
                    <w:t>#</w:t>
                  </w:r>
                  <w:r>
                    <w:rPr>
                      <w:rFonts w:hint="eastAsia" w:ascii="Times New Roman" w:hAnsi="Times New Roman" w:eastAsia="宋体" w:cs="Times New Roman"/>
                      <w:color w:val="auto"/>
                      <w:spacing w:val="6"/>
                      <w:sz w:val="21"/>
                      <w:szCs w:val="21"/>
                      <w:highlight w:val="none"/>
                      <w:u w:val="none" w:color="auto"/>
                      <w:lang w:val="en-US" w:eastAsia="zh-CN"/>
                    </w:rPr>
                    <w:t>项目厂界南侧</w:t>
                  </w:r>
                </w:p>
              </w:tc>
              <w:tc>
                <w:tcPr>
                  <w:tcW w:w="839" w:type="dxa"/>
                  <w:vMerge w:val="continue"/>
                  <w:tcBorders>
                    <w:left w:val="single" w:color="auto" w:sz="4" w:space="0"/>
                  </w:tcBorders>
                  <w:vAlign w:val="center"/>
                </w:tcPr>
                <w:p w14:paraId="4B86F83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066" w:type="dxa"/>
                  <w:vAlign w:val="center"/>
                </w:tcPr>
                <w:p w14:paraId="296019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1"/>
                      <w:sz w:val="21"/>
                      <w:szCs w:val="21"/>
                      <w:highlight w:val="none"/>
                      <w:u w:val="none" w:color="auto"/>
                      <w:lang w:val="en-US" w:eastAsia="zh-CN"/>
                    </w:rPr>
                    <w:t>55.7</w:t>
                  </w:r>
                </w:p>
              </w:tc>
              <w:tc>
                <w:tcPr>
                  <w:tcW w:w="1230" w:type="dxa"/>
                  <w:vAlign w:val="center"/>
                </w:tcPr>
                <w:p w14:paraId="4DEFCD6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2"/>
                      <w:sz w:val="21"/>
                      <w:szCs w:val="21"/>
                      <w:highlight w:val="none"/>
                      <w:u w:val="none" w:color="auto"/>
                      <w:lang w:val="en-US" w:eastAsia="zh-CN"/>
                    </w:rPr>
                    <w:t>52.6</w:t>
                  </w:r>
                </w:p>
              </w:tc>
              <w:tc>
                <w:tcPr>
                  <w:tcW w:w="825" w:type="dxa"/>
                  <w:vAlign w:val="center"/>
                </w:tcPr>
                <w:p w14:paraId="3142986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1"/>
                      <w:sz w:val="21"/>
                      <w:szCs w:val="21"/>
                      <w:highlight w:val="none"/>
                      <w:u w:val="none" w:color="auto"/>
                      <w:lang w:val="en-US" w:eastAsia="zh-CN"/>
                    </w:rPr>
                    <w:t>65</w:t>
                  </w:r>
                </w:p>
              </w:tc>
              <w:tc>
                <w:tcPr>
                  <w:tcW w:w="790" w:type="dxa"/>
                  <w:vAlign w:val="center"/>
                </w:tcPr>
                <w:p w14:paraId="5737F8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38FA172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746AA77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139B0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131" w:type="dxa"/>
                  <w:tcBorders>
                    <w:top w:val="single" w:color="auto" w:sz="4" w:space="0"/>
                    <w:left w:val="single" w:color="auto" w:sz="4" w:space="0"/>
                    <w:bottom w:val="single" w:color="auto" w:sz="4" w:space="0"/>
                    <w:right w:val="single" w:color="auto" w:sz="4" w:space="0"/>
                  </w:tcBorders>
                  <w:vAlign w:val="center"/>
                </w:tcPr>
                <w:p w14:paraId="6790174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pacing w:val="6"/>
                      <w:sz w:val="21"/>
                      <w:szCs w:val="21"/>
                      <w:highlight w:val="none"/>
                      <w:u w:val="none" w:color="auto"/>
                      <w:lang w:val="en-US" w:eastAsia="zh-CN"/>
                    </w:rPr>
                    <w:t>3#项目厂界西侧</w:t>
                  </w:r>
                </w:p>
              </w:tc>
              <w:tc>
                <w:tcPr>
                  <w:tcW w:w="839" w:type="dxa"/>
                  <w:vMerge w:val="continue"/>
                  <w:tcBorders>
                    <w:left w:val="single" w:color="auto" w:sz="4" w:space="0"/>
                  </w:tcBorders>
                  <w:vAlign w:val="center"/>
                </w:tcPr>
                <w:p w14:paraId="1AFBE9D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066" w:type="dxa"/>
                  <w:vAlign w:val="center"/>
                </w:tcPr>
                <w:p w14:paraId="1C394CA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2"/>
                      <w:sz w:val="21"/>
                      <w:szCs w:val="21"/>
                      <w:highlight w:val="none"/>
                      <w:u w:val="none" w:color="auto"/>
                      <w:lang w:val="en-US" w:eastAsia="zh-CN"/>
                    </w:rPr>
                    <w:t>59.2</w:t>
                  </w:r>
                </w:p>
              </w:tc>
              <w:tc>
                <w:tcPr>
                  <w:tcW w:w="1230" w:type="dxa"/>
                  <w:vAlign w:val="center"/>
                </w:tcPr>
                <w:p w14:paraId="2B859C7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2"/>
                      <w:sz w:val="21"/>
                      <w:szCs w:val="21"/>
                      <w:highlight w:val="none"/>
                      <w:u w:val="none" w:color="auto"/>
                      <w:lang w:val="en-US" w:eastAsia="zh-CN"/>
                    </w:rPr>
                    <w:t>54.1</w:t>
                  </w:r>
                </w:p>
              </w:tc>
              <w:tc>
                <w:tcPr>
                  <w:tcW w:w="825" w:type="dxa"/>
                  <w:vAlign w:val="center"/>
                </w:tcPr>
                <w:p w14:paraId="6EFA155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65</w:t>
                  </w:r>
                </w:p>
              </w:tc>
              <w:tc>
                <w:tcPr>
                  <w:tcW w:w="790" w:type="dxa"/>
                  <w:vAlign w:val="center"/>
                </w:tcPr>
                <w:p w14:paraId="496247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73A8125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30FC982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185FF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131" w:type="dxa"/>
                  <w:tcBorders>
                    <w:top w:val="single" w:color="auto" w:sz="4" w:space="0"/>
                    <w:left w:val="single" w:color="auto" w:sz="4" w:space="0"/>
                    <w:bottom w:val="single" w:color="auto" w:sz="4" w:space="0"/>
                    <w:right w:val="single" w:color="auto" w:sz="4" w:space="0"/>
                  </w:tcBorders>
                  <w:vAlign w:val="center"/>
                </w:tcPr>
                <w:p w14:paraId="32D9D68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pacing w:val="7"/>
                      <w:sz w:val="21"/>
                      <w:szCs w:val="21"/>
                      <w:highlight w:val="none"/>
                      <w:u w:val="none" w:color="auto"/>
                      <w:lang w:val="en-US" w:eastAsia="zh-CN"/>
                    </w:rPr>
                    <w:t>4</w:t>
                  </w:r>
                  <w:r>
                    <w:rPr>
                      <w:rFonts w:ascii="Times New Roman" w:hAnsi="Times New Roman" w:eastAsia="宋体" w:cs="Times New Roman"/>
                      <w:color w:val="auto"/>
                      <w:spacing w:val="7"/>
                      <w:sz w:val="21"/>
                      <w:szCs w:val="21"/>
                      <w:highlight w:val="none"/>
                      <w:u w:val="none" w:color="auto"/>
                    </w:rPr>
                    <w:t>#</w:t>
                  </w:r>
                  <w:r>
                    <w:rPr>
                      <w:rFonts w:hint="eastAsia" w:ascii="Times New Roman" w:hAnsi="Times New Roman" w:eastAsia="宋体" w:cs="Times New Roman"/>
                      <w:color w:val="auto"/>
                      <w:spacing w:val="7"/>
                      <w:sz w:val="21"/>
                      <w:szCs w:val="21"/>
                      <w:highlight w:val="none"/>
                      <w:u w:val="none" w:color="auto"/>
                      <w:lang w:val="en-US" w:eastAsia="zh-CN"/>
                    </w:rPr>
                    <w:t>项目厂界北侧</w:t>
                  </w:r>
                </w:p>
              </w:tc>
              <w:tc>
                <w:tcPr>
                  <w:tcW w:w="839" w:type="dxa"/>
                  <w:vMerge w:val="continue"/>
                  <w:tcBorders>
                    <w:left w:val="single" w:color="auto" w:sz="4" w:space="0"/>
                  </w:tcBorders>
                  <w:vAlign w:val="center"/>
                </w:tcPr>
                <w:p w14:paraId="549A505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p>
              </w:tc>
              <w:tc>
                <w:tcPr>
                  <w:tcW w:w="1066" w:type="dxa"/>
                  <w:vAlign w:val="center"/>
                </w:tcPr>
                <w:p w14:paraId="601C4D3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2"/>
                      <w:sz w:val="21"/>
                      <w:szCs w:val="21"/>
                      <w:highlight w:val="none"/>
                      <w:u w:val="none" w:color="auto"/>
                      <w:lang w:val="en-US" w:eastAsia="zh-CN"/>
                    </w:rPr>
                    <w:t>56.5</w:t>
                  </w:r>
                </w:p>
              </w:tc>
              <w:tc>
                <w:tcPr>
                  <w:tcW w:w="1230" w:type="dxa"/>
                  <w:vAlign w:val="center"/>
                </w:tcPr>
                <w:p w14:paraId="57A1B7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2"/>
                      <w:sz w:val="21"/>
                      <w:szCs w:val="21"/>
                      <w:highlight w:val="none"/>
                      <w:u w:val="none" w:color="auto"/>
                      <w:lang w:val="en-US" w:eastAsia="zh-CN"/>
                    </w:rPr>
                    <w:t>51.7</w:t>
                  </w:r>
                </w:p>
              </w:tc>
              <w:tc>
                <w:tcPr>
                  <w:tcW w:w="825" w:type="dxa"/>
                  <w:vAlign w:val="center"/>
                </w:tcPr>
                <w:p w14:paraId="352E5DC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65</w:t>
                  </w:r>
                </w:p>
              </w:tc>
              <w:tc>
                <w:tcPr>
                  <w:tcW w:w="790" w:type="dxa"/>
                  <w:vAlign w:val="center"/>
                </w:tcPr>
                <w:p w14:paraId="1A16D6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3ADF8C2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1648712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bl>
          <w:p w14:paraId="133E592F">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kern w:val="0"/>
                <w:sz w:val="24"/>
                <w:szCs w:val="24"/>
                <w:highlight w:val="none"/>
                <w:u w:val="none" w:color="auto"/>
                <w:lang w:val="en-US" w:eastAsia="zh-CN" w:bidi="ar-SA"/>
              </w:rPr>
            </w:pPr>
            <w:r>
              <w:rPr>
                <w:rFonts w:hint="default" w:ascii="Times New Roman" w:hAnsi="Times New Roman" w:eastAsia="宋体" w:cs="Times New Roman"/>
                <w:caps w:val="0"/>
                <w:color w:val="auto"/>
                <w:kern w:val="0"/>
                <w:sz w:val="24"/>
                <w:szCs w:val="24"/>
                <w:highlight w:val="none"/>
                <w:u w:val="none" w:color="auto"/>
                <w:lang w:val="en-US" w:eastAsia="zh-CN" w:bidi="ar-SA"/>
              </w:rPr>
              <w:t>监测结果表明，</w:t>
            </w:r>
            <w:r>
              <w:rPr>
                <w:rFonts w:hint="eastAsia" w:ascii="Times New Roman" w:hAnsi="Times New Roman" w:eastAsia="宋体" w:cs="Times New Roman"/>
                <w:caps w:val="0"/>
                <w:color w:val="auto"/>
                <w:kern w:val="0"/>
                <w:sz w:val="24"/>
                <w:szCs w:val="24"/>
                <w:highlight w:val="none"/>
                <w:u w:val="none" w:color="auto"/>
                <w:lang w:val="en-US" w:eastAsia="zh-CN" w:bidi="ar-SA"/>
              </w:rPr>
              <w:t>港区</w:t>
            </w:r>
            <w:r>
              <w:rPr>
                <w:rFonts w:hint="default" w:ascii="Times New Roman" w:hAnsi="Times New Roman" w:eastAsia="宋体" w:cs="Times New Roman"/>
                <w:caps w:val="0"/>
                <w:color w:val="auto"/>
                <w:kern w:val="0"/>
                <w:sz w:val="24"/>
                <w:szCs w:val="24"/>
                <w:highlight w:val="none"/>
                <w:u w:val="none" w:color="auto"/>
                <w:lang w:val="en-US" w:eastAsia="zh-CN" w:bidi="ar-SA"/>
              </w:rPr>
              <w:t>南西北厂界均达到《工业企业厂界噪声标准》（12348-2008）3 类标准，东厂界满足4类标准</w:t>
            </w:r>
            <w:r>
              <w:rPr>
                <w:rFonts w:hint="eastAsia" w:ascii="Times New Roman" w:hAnsi="Times New Roman" w:eastAsia="宋体" w:cs="Times New Roman"/>
                <w:caps w:val="0"/>
                <w:color w:val="auto"/>
                <w:kern w:val="0"/>
                <w:sz w:val="24"/>
                <w:szCs w:val="24"/>
                <w:highlight w:val="none"/>
                <w:u w:val="none" w:color="auto"/>
                <w:lang w:val="en-US" w:eastAsia="zh-CN" w:bidi="ar-SA"/>
              </w:rPr>
              <w:t>。</w:t>
            </w:r>
          </w:p>
          <w:p w14:paraId="5C1ECF07">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lang w:eastAsia="zh-CN"/>
              </w:rPr>
            </w:pPr>
            <w:r>
              <w:rPr>
                <w:rFonts w:hint="default" w:ascii="Times New Roman" w:hAnsi="Times New Roman" w:eastAsia="宋体" w:cs="Times New Roman"/>
                <w:b/>
                <w:bCs/>
                <w:color w:val="auto"/>
                <w:sz w:val="24"/>
                <w:szCs w:val="24"/>
                <w:highlight w:val="none"/>
                <w:u w:val="none" w:color="auto"/>
                <w:lang w:eastAsia="zh-CN"/>
              </w:rPr>
              <w:t>（</w:t>
            </w:r>
            <w:r>
              <w:rPr>
                <w:rFonts w:hint="default" w:ascii="Times New Roman" w:hAnsi="Times New Roman" w:eastAsia="宋体" w:cs="Times New Roman"/>
                <w:b/>
                <w:bCs/>
                <w:color w:val="auto"/>
                <w:sz w:val="24"/>
                <w:szCs w:val="24"/>
                <w:highlight w:val="none"/>
                <w:u w:val="none" w:color="auto"/>
                <w:lang w:val="en-US" w:eastAsia="zh-CN"/>
              </w:rPr>
              <w:t>4</w:t>
            </w:r>
            <w:r>
              <w:rPr>
                <w:rFonts w:hint="default" w:ascii="Times New Roman" w:hAnsi="Times New Roman" w:eastAsia="宋体" w:cs="Times New Roman"/>
                <w:b/>
                <w:bCs/>
                <w:color w:val="auto"/>
                <w:sz w:val="24"/>
                <w:szCs w:val="24"/>
                <w:highlight w:val="none"/>
                <w:u w:val="none" w:color="auto"/>
                <w:lang w:eastAsia="zh-CN"/>
              </w:rPr>
              <w:t>）固体废物</w:t>
            </w:r>
          </w:p>
          <w:p w14:paraId="58211349">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码头固体废物主要包括</w:t>
            </w:r>
            <w:r>
              <w:rPr>
                <w:rFonts w:hint="eastAsia" w:ascii="Times New Roman" w:hAnsi="Times New Roman" w:eastAsia="宋体" w:cs="Times New Roman"/>
                <w:caps w:val="0"/>
                <w:color w:val="auto"/>
                <w:sz w:val="24"/>
                <w:szCs w:val="24"/>
                <w:highlight w:val="none"/>
                <w:u w:val="none" w:color="auto"/>
                <w:lang w:val="en-US" w:eastAsia="zh-CN"/>
              </w:rPr>
              <w:t>生活垃圾和危险废物，其中生活垃圾包括</w:t>
            </w:r>
            <w:r>
              <w:rPr>
                <w:rFonts w:hint="default" w:ascii="Times New Roman" w:hAnsi="Times New Roman" w:eastAsia="宋体" w:cs="Times New Roman"/>
                <w:caps w:val="0"/>
                <w:color w:val="auto"/>
                <w:sz w:val="24"/>
                <w:szCs w:val="24"/>
                <w:highlight w:val="none"/>
                <w:u w:val="none" w:color="auto"/>
              </w:rPr>
              <w:t>船舶生活垃圾、码头生活垃圾，</w:t>
            </w:r>
            <w:r>
              <w:rPr>
                <w:rFonts w:hint="eastAsia" w:ascii="Times New Roman" w:hAnsi="Times New Roman" w:eastAsia="宋体" w:cs="Times New Roman"/>
                <w:caps w:val="0"/>
                <w:color w:val="auto"/>
                <w:sz w:val="24"/>
                <w:szCs w:val="24"/>
                <w:highlight w:val="none"/>
                <w:u w:val="none" w:color="auto"/>
                <w:lang w:val="en-US" w:eastAsia="zh-CN"/>
              </w:rPr>
              <w:t>危险废物包括</w:t>
            </w:r>
            <w:r>
              <w:rPr>
                <w:rFonts w:hint="default" w:ascii="Times New Roman" w:hAnsi="Times New Roman" w:eastAsia="宋体" w:cs="Times New Roman"/>
                <w:caps w:val="0"/>
                <w:color w:val="auto"/>
                <w:sz w:val="24"/>
                <w:szCs w:val="24"/>
                <w:highlight w:val="none"/>
                <w:u w:val="none" w:color="auto"/>
              </w:rPr>
              <w:t>机修产生的废矿物油</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废锂基脂油</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含油抹布</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废油桶</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废油管</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废滤芯</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废油漆桶</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废铅蓄电池</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废灯管</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废电路板</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废墨盒</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废油漆渣</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废活性炭过滤棉和污水处理站产生的少量</w:t>
            </w:r>
            <w:r>
              <w:rPr>
                <w:rFonts w:hint="default" w:ascii="Times New Roman" w:hAnsi="Times New Roman" w:eastAsia="宋体" w:cs="Times New Roman"/>
                <w:caps w:val="0"/>
                <w:color w:val="auto"/>
                <w:sz w:val="24"/>
                <w:szCs w:val="24"/>
                <w:highlight w:val="none"/>
                <w:u w:val="none" w:color="auto"/>
                <w:lang w:val="en-US" w:eastAsia="zh-CN"/>
              </w:rPr>
              <w:t>含油</w:t>
            </w:r>
            <w:r>
              <w:rPr>
                <w:rFonts w:hint="default" w:ascii="Times New Roman" w:hAnsi="Times New Roman" w:eastAsia="宋体" w:cs="Times New Roman"/>
                <w:caps w:val="0"/>
                <w:color w:val="auto"/>
                <w:sz w:val="24"/>
                <w:szCs w:val="24"/>
                <w:highlight w:val="none"/>
                <w:u w:val="none" w:color="auto"/>
              </w:rPr>
              <w:t>油泥等。</w:t>
            </w:r>
          </w:p>
          <w:p w14:paraId="29B2ED96">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根据现有码头相关验收资料，码头目前生活垃圾产生量约50kg/d</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lang w:val="en-US" w:eastAsia="zh-CN"/>
              </w:rPr>
              <w:t>18.25</w:t>
            </w:r>
            <w:r>
              <w:rPr>
                <w:rFonts w:hint="default" w:ascii="Times New Roman" w:hAnsi="Times New Roman" w:eastAsia="宋体" w:cs="Times New Roman"/>
                <w:caps w:val="0"/>
                <w:color w:val="auto"/>
                <w:sz w:val="24"/>
                <w:szCs w:val="24"/>
                <w:highlight w:val="none"/>
                <w:u w:val="none" w:color="auto"/>
              </w:rPr>
              <w:t>t/a</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rPr>
              <w:t>，经垃圾桶收集后由当地环卫定期清运。船舶垃圾由项目运营单位委托有资质的外单位直接清运，不在港区存放。</w:t>
            </w:r>
          </w:p>
          <w:p w14:paraId="15177E3A">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aps w:val="0"/>
                <w:color w:val="auto"/>
                <w:sz w:val="24"/>
                <w:szCs w:val="24"/>
                <w:highlight w:val="none"/>
                <w:u w:val="none" w:color="auto"/>
              </w:rPr>
              <w:t>根据码头现有</w:t>
            </w:r>
            <w:r>
              <w:rPr>
                <w:rFonts w:hint="eastAsia" w:ascii="Times New Roman" w:hAnsi="Times New Roman" w:eastAsia="宋体" w:cs="Times New Roman"/>
                <w:caps w:val="0"/>
                <w:color w:val="auto"/>
                <w:sz w:val="24"/>
                <w:szCs w:val="24"/>
                <w:highlight w:val="none"/>
                <w:u w:val="none" w:color="auto"/>
                <w:lang w:eastAsia="zh-CN"/>
              </w:rPr>
              <w:t>危险</w:t>
            </w:r>
            <w:r>
              <w:rPr>
                <w:rFonts w:hint="default" w:ascii="Times New Roman" w:hAnsi="Times New Roman" w:eastAsia="宋体" w:cs="Times New Roman"/>
                <w:caps w:val="0"/>
                <w:color w:val="auto"/>
                <w:sz w:val="24"/>
                <w:szCs w:val="24"/>
                <w:highlight w:val="none"/>
                <w:u w:val="none" w:color="auto"/>
              </w:rPr>
              <w:t>废物暂存库</w:t>
            </w:r>
            <w:r>
              <w:rPr>
                <w:rFonts w:hint="eastAsia" w:ascii="Times New Roman" w:hAnsi="Times New Roman" w:eastAsia="宋体" w:cs="Times New Roman"/>
                <w:caps w:val="0"/>
                <w:color w:val="auto"/>
                <w:sz w:val="24"/>
                <w:szCs w:val="24"/>
                <w:highlight w:val="none"/>
                <w:u w:val="none" w:color="auto"/>
                <w:lang w:val="en-US" w:eastAsia="zh-CN"/>
              </w:rPr>
              <w:t>位于2#泊位后方，建筑面积为154m</w:t>
            </w:r>
            <w:r>
              <w:rPr>
                <w:rFonts w:hint="eastAsia" w:ascii="Times New Roman" w:hAnsi="Times New Roman" w:eastAsia="宋体" w:cs="Times New Roman"/>
                <w:caps w:val="0"/>
                <w:color w:val="auto"/>
                <w:sz w:val="24"/>
                <w:szCs w:val="24"/>
                <w:highlight w:val="none"/>
                <w:u w:val="none" w:color="auto"/>
                <w:vertAlign w:val="superscript"/>
                <w:lang w:val="en-US" w:eastAsia="zh-CN"/>
              </w:rPr>
              <w:t>2</w:t>
            </w:r>
            <w:r>
              <w:rPr>
                <w:rFonts w:hint="eastAsia" w:ascii="Times New Roman" w:hAnsi="Times New Roman" w:eastAsia="宋体" w:cs="Times New Roman"/>
                <w:caps w:val="0"/>
                <w:color w:val="auto"/>
                <w:sz w:val="24"/>
                <w:szCs w:val="24"/>
                <w:highlight w:val="none"/>
                <w:u w:val="none" w:color="auto"/>
                <w:lang w:val="en-US" w:eastAsia="zh-CN"/>
              </w:rPr>
              <w:t>，根据</w:t>
            </w:r>
            <w:r>
              <w:rPr>
                <w:rFonts w:hint="default" w:ascii="Times New Roman" w:hAnsi="Times New Roman" w:eastAsia="宋体" w:cs="Times New Roman"/>
                <w:caps w:val="0"/>
                <w:color w:val="auto"/>
                <w:sz w:val="24"/>
                <w:szCs w:val="24"/>
                <w:highlight w:val="none"/>
                <w:u w:val="none" w:color="auto"/>
              </w:rPr>
              <w:t>使用情况，</w:t>
            </w:r>
            <w:r>
              <w:rPr>
                <w:rFonts w:hint="default" w:ascii="Times New Roman" w:hAnsi="Times New Roman" w:eastAsia="宋体" w:cs="Times New Roman"/>
                <w:caps w:val="0"/>
                <w:color w:val="auto"/>
                <w:sz w:val="24"/>
                <w:szCs w:val="24"/>
                <w:highlight w:val="none"/>
                <w:u w:val="none" w:color="auto"/>
                <w:lang w:val="en-US" w:eastAsia="zh-CN"/>
              </w:rPr>
              <w:t>危险废物最大贮存量为16.2621t，最大贮存量满足“自贸钦港审批环〔2022〕3号”要求；</w:t>
            </w:r>
            <w:r>
              <w:rPr>
                <w:rFonts w:hint="eastAsia" w:ascii="Times New Roman" w:hAnsi="Times New Roman" w:eastAsia="宋体" w:cs="Times New Roman"/>
                <w:caps w:val="0"/>
                <w:color w:val="auto"/>
                <w:sz w:val="24"/>
                <w:szCs w:val="24"/>
                <w:highlight w:val="none"/>
                <w:u w:val="none" w:color="auto"/>
                <w:lang w:val="en-US" w:eastAsia="zh-CN"/>
              </w:rPr>
              <w:t>港区</w:t>
            </w:r>
            <w:r>
              <w:rPr>
                <w:rFonts w:hint="default" w:ascii="Times New Roman" w:hAnsi="Times New Roman" w:eastAsia="宋体" w:cs="Times New Roman"/>
                <w:caps w:val="0"/>
                <w:color w:val="auto"/>
                <w:sz w:val="24"/>
                <w:szCs w:val="24"/>
                <w:highlight w:val="none"/>
                <w:u w:val="none" w:color="auto"/>
              </w:rPr>
              <w:t>危险废物产生量约</w:t>
            </w:r>
            <w:r>
              <w:rPr>
                <w:rFonts w:hint="default" w:ascii="Times New Roman" w:hAnsi="Times New Roman" w:eastAsia="宋体" w:cs="Times New Roman"/>
                <w:caps w:val="0"/>
                <w:color w:val="auto"/>
                <w:sz w:val="24"/>
                <w:szCs w:val="24"/>
                <w:highlight w:val="none"/>
                <w:u w:val="none" w:color="auto"/>
                <w:lang w:val="en-US" w:eastAsia="zh-CN"/>
              </w:rPr>
              <w:t>62.0225</w:t>
            </w:r>
            <w:r>
              <w:rPr>
                <w:rFonts w:hint="default" w:ascii="Times New Roman" w:hAnsi="Times New Roman" w:eastAsia="宋体" w:cs="Times New Roman"/>
                <w:caps w:val="0"/>
                <w:color w:val="auto"/>
                <w:sz w:val="24"/>
                <w:szCs w:val="24"/>
                <w:highlight w:val="none"/>
                <w:u w:val="none" w:color="auto"/>
              </w:rPr>
              <w:t>t/a，</w:t>
            </w:r>
            <w:r>
              <w:rPr>
                <w:rFonts w:hint="default" w:ascii="Times New Roman" w:hAnsi="Times New Roman" w:eastAsia="宋体" w:cs="Times New Roman"/>
                <w:caps w:val="0"/>
                <w:color w:val="auto"/>
                <w:sz w:val="24"/>
                <w:szCs w:val="24"/>
                <w:highlight w:val="none"/>
                <w:u w:val="none" w:color="auto"/>
                <w:lang w:eastAsia="zh-CN"/>
              </w:rPr>
              <w:t>委托有资质单位定期收运处置。</w:t>
            </w:r>
            <w:r>
              <w:rPr>
                <w:rFonts w:hint="default" w:ascii="Times New Roman" w:hAnsi="Times New Roman" w:eastAsia="宋体" w:cs="Times New Roman"/>
                <w:caps w:val="0"/>
                <w:color w:val="auto"/>
                <w:sz w:val="24"/>
                <w:szCs w:val="24"/>
                <w:highlight w:val="none"/>
                <w:u w:val="none" w:color="auto"/>
              </w:rPr>
              <w:t>详见表</w:t>
            </w:r>
            <w:r>
              <w:rPr>
                <w:rFonts w:hint="eastAsia" w:cs="Times New Roman"/>
                <w:caps w:val="0"/>
                <w:color w:val="auto"/>
                <w:sz w:val="24"/>
                <w:szCs w:val="24"/>
                <w:highlight w:val="none"/>
                <w:u w:val="none" w:color="auto"/>
                <w:lang w:val="en-US" w:eastAsia="zh-CN"/>
              </w:rPr>
              <w:t>2</w:t>
            </w:r>
            <w:r>
              <w:rPr>
                <w:rFonts w:hint="default" w:ascii="Times New Roman" w:hAnsi="Times New Roman" w:eastAsia="宋体" w:cs="Times New Roman"/>
                <w:caps w:val="0"/>
                <w:color w:val="auto"/>
                <w:sz w:val="24"/>
                <w:szCs w:val="24"/>
                <w:highlight w:val="none"/>
                <w:u w:val="none" w:color="auto"/>
              </w:rPr>
              <w:t>-</w:t>
            </w:r>
            <w:r>
              <w:rPr>
                <w:rFonts w:hint="eastAsia" w:ascii="Times New Roman" w:hAnsi="Times New Roman" w:eastAsia="宋体" w:cs="Times New Roman"/>
                <w:caps w:val="0"/>
                <w:color w:val="auto"/>
                <w:sz w:val="24"/>
                <w:szCs w:val="24"/>
                <w:highlight w:val="none"/>
                <w:u w:val="none" w:color="auto"/>
                <w:lang w:val="en-US" w:eastAsia="zh-CN"/>
              </w:rPr>
              <w:t>13</w:t>
            </w:r>
            <w:r>
              <w:rPr>
                <w:rFonts w:hint="default" w:ascii="Times New Roman" w:hAnsi="Times New Roman" w:eastAsia="宋体" w:cs="Times New Roman"/>
                <w:caps w:val="0"/>
                <w:color w:val="auto"/>
                <w:sz w:val="24"/>
                <w:szCs w:val="24"/>
                <w:highlight w:val="none"/>
                <w:u w:val="none" w:color="auto"/>
              </w:rPr>
              <w:t>。</w:t>
            </w:r>
          </w:p>
          <w:p w14:paraId="5B2CCF67">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u w:val="none" w:color="auto"/>
              </w:rPr>
            </w:pPr>
            <w:r>
              <w:rPr>
                <w:rFonts w:hint="default" w:ascii="Times New Roman" w:hAnsi="Times New Roman" w:eastAsia="宋体" w:cs="Times New Roman"/>
                <w:b/>
                <w:bCs/>
                <w:caps w:val="0"/>
                <w:color w:val="auto"/>
                <w:sz w:val="21"/>
                <w:szCs w:val="21"/>
                <w:highlight w:val="none"/>
                <w:u w:val="none" w:color="auto"/>
                <w:lang w:val="en-US" w:eastAsia="zh-CN"/>
              </w:rPr>
              <w:t>表2-</w:t>
            </w:r>
            <w:r>
              <w:rPr>
                <w:rFonts w:hint="eastAsia" w:ascii="Times New Roman" w:hAnsi="Times New Roman" w:eastAsia="宋体" w:cs="Times New Roman"/>
                <w:b/>
                <w:bCs/>
                <w:caps w:val="0"/>
                <w:color w:val="auto"/>
                <w:sz w:val="21"/>
                <w:szCs w:val="21"/>
                <w:highlight w:val="none"/>
                <w:u w:val="none" w:color="auto"/>
                <w:lang w:val="en-US" w:eastAsia="zh-CN"/>
              </w:rPr>
              <w:t>13</w:t>
            </w:r>
            <w:r>
              <w:rPr>
                <w:rFonts w:hint="default" w:ascii="Times New Roman" w:hAnsi="Times New Roman" w:eastAsia="宋体" w:cs="Times New Roman"/>
                <w:b/>
                <w:bCs/>
                <w:caps w:val="0"/>
                <w:color w:val="auto"/>
                <w:sz w:val="21"/>
                <w:szCs w:val="21"/>
                <w:highlight w:val="none"/>
                <w:u w:val="none" w:color="auto"/>
              </w:rPr>
              <w:t>现有码头危险废物产生情况一览表</w:t>
            </w:r>
          </w:p>
          <w:tbl>
            <w:tblPr>
              <w:tblStyle w:val="4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4"/>
              <w:gridCol w:w="852"/>
              <w:gridCol w:w="1122"/>
              <w:gridCol w:w="959"/>
              <w:gridCol w:w="839"/>
              <w:gridCol w:w="2149"/>
              <w:gridCol w:w="706"/>
              <w:gridCol w:w="705"/>
            </w:tblGrid>
            <w:tr w14:paraId="27A55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tblHeader/>
                <w:jc w:val="center"/>
              </w:trPr>
              <w:tc>
                <w:tcPr>
                  <w:tcW w:w="704" w:type="dxa"/>
                  <w:tcBorders>
                    <w:tl2br w:val="nil"/>
                    <w:tr2bl w:val="nil"/>
                  </w:tcBorders>
                  <w:noWrap w:val="0"/>
                  <w:tcMar>
                    <w:left w:w="0" w:type="dxa"/>
                    <w:right w:w="0" w:type="dxa"/>
                  </w:tcMar>
                  <w:vAlign w:val="center"/>
                </w:tcPr>
                <w:p w14:paraId="2F1852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u w:val="none" w:color="auto"/>
                    </w:rPr>
                  </w:pPr>
                  <w:r>
                    <w:rPr>
                      <w:rFonts w:hint="default" w:ascii="Times New Roman" w:hAnsi="Times New Roman" w:eastAsia="宋体" w:cs="Times New Roman"/>
                      <w:b/>
                      <w:bCs/>
                      <w:caps w:val="0"/>
                      <w:color w:val="auto"/>
                      <w:kern w:val="0"/>
                      <w:sz w:val="21"/>
                      <w:szCs w:val="21"/>
                      <w:highlight w:val="none"/>
                      <w:u w:val="none" w:color="auto"/>
                    </w:rPr>
                    <w:t>名称</w:t>
                  </w:r>
                </w:p>
              </w:tc>
              <w:tc>
                <w:tcPr>
                  <w:tcW w:w="1974" w:type="dxa"/>
                  <w:gridSpan w:val="2"/>
                  <w:tcBorders>
                    <w:tl2br w:val="nil"/>
                    <w:tr2bl w:val="nil"/>
                  </w:tcBorders>
                  <w:noWrap w:val="0"/>
                  <w:tcMar>
                    <w:left w:w="0" w:type="dxa"/>
                    <w:right w:w="0" w:type="dxa"/>
                  </w:tcMar>
                  <w:vAlign w:val="center"/>
                </w:tcPr>
                <w:p w14:paraId="69D7FF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u w:val="none" w:color="auto"/>
                    </w:rPr>
                  </w:pPr>
                  <w:r>
                    <w:rPr>
                      <w:rFonts w:hint="default" w:ascii="Times New Roman" w:hAnsi="Times New Roman" w:eastAsia="宋体" w:cs="Times New Roman"/>
                      <w:b/>
                      <w:bCs/>
                      <w:caps w:val="0"/>
                      <w:color w:val="auto"/>
                      <w:kern w:val="0"/>
                      <w:sz w:val="21"/>
                      <w:szCs w:val="21"/>
                      <w:highlight w:val="none"/>
                      <w:u w:val="none" w:color="auto"/>
                    </w:rPr>
                    <w:t>危废代码</w:t>
                  </w:r>
                </w:p>
              </w:tc>
              <w:tc>
                <w:tcPr>
                  <w:tcW w:w="959" w:type="dxa"/>
                  <w:tcBorders>
                    <w:tl2br w:val="nil"/>
                    <w:tr2bl w:val="nil"/>
                  </w:tcBorders>
                  <w:noWrap w:val="0"/>
                  <w:tcMar>
                    <w:left w:w="0" w:type="dxa"/>
                    <w:right w:w="0" w:type="dxa"/>
                  </w:tcMar>
                  <w:vAlign w:val="center"/>
                </w:tcPr>
                <w:p w14:paraId="402105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u w:val="none" w:color="auto"/>
                    </w:rPr>
                  </w:pPr>
                  <w:r>
                    <w:rPr>
                      <w:rFonts w:hint="default" w:ascii="Times New Roman" w:hAnsi="Times New Roman" w:eastAsia="宋体" w:cs="Times New Roman"/>
                      <w:b/>
                      <w:bCs/>
                      <w:caps w:val="0"/>
                      <w:color w:val="auto"/>
                      <w:kern w:val="0"/>
                      <w:sz w:val="21"/>
                      <w:szCs w:val="21"/>
                      <w:highlight w:val="none"/>
                      <w:u w:val="none" w:color="auto"/>
                      <w:lang w:val="en-US" w:eastAsia="zh-CN"/>
                    </w:rPr>
                    <w:t>产生</w:t>
                  </w:r>
                  <w:r>
                    <w:rPr>
                      <w:rFonts w:hint="default" w:ascii="Times New Roman" w:hAnsi="Times New Roman" w:eastAsia="宋体" w:cs="Times New Roman"/>
                      <w:b/>
                      <w:bCs/>
                      <w:caps w:val="0"/>
                      <w:color w:val="auto"/>
                      <w:kern w:val="0"/>
                      <w:sz w:val="21"/>
                      <w:szCs w:val="21"/>
                      <w:highlight w:val="none"/>
                      <w:u w:val="none" w:color="auto"/>
                    </w:rPr>
                    <w:t>量（t/a）</w:t>
                  </w:r>
                </w:p>
              </w:tc>
              <w:tc>
                <w:tcPr>
                  <w:tcW w:w="839" w:type="dxa"/>
                  <w:tcBorders>
                    <w:tl2br w:val="nil"/>
                    <w:tr2bl w:val="nil"/>
                  </w:tcBorders>
                  <w:noWrap w:val="0"/>
                  <w:tcMar>
                    <w:left w:w="0" w:type="dxa"/>
                    <w:right w:w="0" w:type="dxa"/>
                  </w:tcMar>
                  <w:vAlign w:val="center"/>
                </w:tcPr>
                <w:p w14:paraId="0657D9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u w:val="none" w:color="auto"/>
                    </w:rPr>
                  </w:pPr>
                  <w:r>
                    <w:rPr>
                      <w:rFonts w:hint="default" w:ascii="Times New Roman" w:hAnsi="Times New Roman" w:eastAsia="宋体" w:cs="Times New Roman"/>
                      <w:b/>
                      <w:bCs/>
                      <w:caps w:val="0"/>
                      <w:color w:val="auto"/>
                      <w:kern w:val="0"/>
                      <w:sz w:val="21"/>
                      <w:szCs w:val="21"/>
                      <w:highlight w:val="none"/>
                      <w:u w:val="none" w:color="auto"/>
                    </w:rPr>
                    <w:t>最大贮存量（t/次）</w:t>
                  </w:r>
                </w:p>
              </w:tc>
              <w:tc>
                <w:tcPr>
                  <w:tcW w:w="2149" w:type="dxa"/>
                  <w:tcBorders>
                    <w:tl2br w:val="nil"/>
                    <w:tr2bl w:val="nil"/>
                  </w:tcBorders>
                  <w:noWrap w:val="0"/>
                  <w:tcMar>
                    <w:left w:w="0" w:type="dxa"/>
                    <w:right w:w="0" w:type="dxa"/>
                  </w:tcMar>
                  <w:vAlign w:val="center"/>
                </w:tcPr>
                <w:p w14:paraId="75878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u w:val="none" w:color="auto"/>
                    </w:rPr>
                  </w:pPr>
                  <w:r>
                    <w:rPr>
                      <w:rFonts w:hint="default" w:ascii="Times New Roman" w:hAnsi="Times New Roman" w:eastAsia="宋体" w:cs="Times New Roman"/>
                      <w:b/>
                      <w:bCs/>
                      <w:caps w:val="0"/>
                      <w:color w:val="auto"/>
                      <w:kern w:val="0"/>
                      <w:sz w:val="21"/>
                      <w:szCs w:val="21"/>
                      <w:highlight w:val="none"/>
                      <w:u w:val="none" w:color="auto"/>
                    </w:rPr>
                    <w:t>储存位置及方式</w:t>
                  </w:r>
                </w:p>
              </w:tc>
              <w:tc>
                <w:tcPr>
                  <w:tcW w:w="706" w:type="dxa"/>
                  <w:tcBorders>
                    <w:tl2br w:val="nil"/>
                    <w:tr2bl w:val="nil"/>
                  </w:tcBorders>
                  <w:noWrap w:val="0"/>
                  <w:tcMar>
                    <w:left w:w="0" w:type="dxa"/>
                    <w:right w:w="0" w:type="dxa"/>
                  </w:tcMar>
                  <w:vAlign w:val="center"/>
                </w:tcPr>
                <w:p w14:paraId="7924C5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u w:val="none" w:color="auto"/>
                    </w:rPr>
                  </w:pPr>
                  <w:r>
                    <w:rPr>
                      <w:rFonts w:hint="default" w:ascii="Times New Roman" w:hAnsi="Times New Roman" w:eastAsia="宋体" w:cs="Times New Roman"/>
                      <w:b/>
                      <w:bCs/>
                      <w:caps w:val="0"/>
                      <w:color w:val="auto"/>
                      <w:kern w:val="0"/>
                      <w:sz w:val="21"/>
                      <w:szCs w:val="21"/>
                      <w:highlight w:val="none"/>
                      <w:u w:val="none" w:color="auto"/>
                    </w:rPr>
                    <w:t>储存周期</w:t>
                  </w:r>
                </w:p>
              </w:tc>
              <w:tc>
                <w:tcPr>
                  <w:tcW w:w="705" w:type="dxa"/>
                  <w:tcBorders>
                    <w:tl2br w:val="nil"/>
                    <w:tr2bl w:val="nil"/>
                  </w:tcBorders>
                  <w:noWrap w:val="0"/>
                  <w:tcMar>
                    <w:left w:w="0" w:type="dxa"/>
                    <w:right w:w="0" w:type="dxa"/>
                  </w:tcMar>
                  <w:vAlign w:val="center"/>
                </w:tcPr>
                <w:p w14:paraId="781257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kern w:val="0"/>
                      <w:sz w:val="21"/>
                      <w:szCs w:val="21"/>
                      <w:highlight w:val="none"/>
                      <w:u w:val="none" w:color="auto"/>
                    </w:rPr>
                  </w:pPr>
                  <w:r>
                    <w:rPr>
                      <w:rFonts w:hint="default" w:ascii="Times New Roman" w:hAnsi="Times New Roman" w:eastAsia="宋体" w:cs="Times New Roman"/>
                      <w:b/>
                      <w:bCs/>
                      <w:caps w:val="0"/>
                      <w:color w:val="auto"/>
                      <w:kern w:val="0"/>
                      <w:sz w:val="21"/>
                      <w:szCs w:val="21"/>
                      <w:highlight w:val="none"/>
                      <w:u w:val="none" w:color="auto"/>
                    </w:rPr>
                    <w:t>处理方式</w:t>
                  </w:r>
                </w:p>
              </w:tc>
            </w:tr>
            <w:tr w14:paraId="6A108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6953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废矿物油</w:t>
                  </w:r>
                </w:p>
              </w:tc>
              <w:tc>
                <w:tcPr>
                  <w:tcW w:w="852" w:type="dxa"/>
                  <w:tcBorders>
                    <w:tl2br w:val="nil"/>
                    <w:tr2bl w:val="nil"/>
                  </w:tcBorders>
                  <w:noWrap w:val="0"/>
                  <w:tcMar>
                    <w:left w:w="0" w:type="dxa"/>
                    <w:right w:w="0" w:type="dxa"/>
                  </w:tcMar>
                  <w:vAlign w:val="center"/>
                </w:tcPr>
                <w:p w14:paraId="0F854F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HW08</w:t>
                  </w:r>
                </w:p>
              </w:tc>
              <w:tc>
                <w:tcPr>
                  <w:tcW w:w="1122" w:type="dxa"/>
                  <w:tcBorders>
                    <w:tl2br w:val="nil"/>
                    <w:tr2bl w:val="nil"/>
                  </w:tcBorders>
                  <w:noWrap w:val="0"/>
                  <w:tcMar>
                    <w:left w:w="0" w:type="dxa"/>
                    <w:right w:w="0" w:type="dxa"/>
                  </w:tcMar>
                  <w:vAlign w:val="center"/>
                </w:tcPr>
                <w:p w14:paraId="37808C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900-214-08</w:t>
                  </w:r>
                </w:p>
              </w:tc>
              <w:tc>
                <w:tcPr>
                  <w:tcW w:w="959" w:type="dxa"/>
                  <w:tcBorders>
                    <w:tl2br w:val="nil"/>
                    <w:tr2bl w:val="nil"/>
                  </w:tcBorders>
                  <w:noWrap w:val="0"/>
                  <w:tcMar>
                    <w:left w:w="0" w:type="dxa"/>
                    <w:right w:w="0" w:type="dxa"/>
                  </w:tcMar>
                  <w:vAlign w:val="center"/>
                </w:tcPr>
                <w:p w14:paraId="0D9DB6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27.0364</w:t>
                  </w:r>
                </w:p>
              </w:tc>
              <w:tc>
                <w:tcPr>
                  <w:tcW w:w="839" w:type="dxa"/>
                  <w:tcBorders>
                    <w:tl2br w:val="nil"/>
                    <w:tr2bl w:val="nil"/>
                  </w:tcBorders>
                  <w:noWrap w:val="0"/>
                  <w:tcMar>
                    <w:left w:w="0" w:type="dxa"/>
                    <w:right w:w="0" w:type="dxa"/>
                  </w:tcMar>
                  <w:vAlign w:val="center"/>
                </w:tcPr>
                <w:p w14:paraId="0A38F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8.682</w:t>
                  </w:r>
                </w:p>
              </w:tc>
              <w:tc>
                <w:tcPr>
                  <w:tcW w:w="2149" w:type="dxa"/>
                  <w:tcBorders>
                    <w:tl2br w:val="nil"/>
                    <w:tr2bl w:val="nil"/>
                  </w:tcBorders>
                  <w:noWrap w:val="0"/>
                  <w:tcMar>
                    <w:left w:w="0" w:type="dxa"/>
                    <w:right w:w="0" w:type="dxa"/>
                  </w:tcMar>
                  <w:vAlign w:val="center"/>
                </w:tcPr>
                <w:p w14:paraId="384AA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lang w:val="en-US" w:eastAsia="zh-CN"/>
                    </w:rPr>
                    <w:t>危废暂存库，</w:t>
                  </w:r>
                  <w:r>
                    <w:rPr>
                      <w:rFonts w:hint="default" w:ascii="Times New Roman" w:hAnsi="Times New Roman" w:eastAsia="宋体" w:cs="Times New Roman"/>
                      <w:caps w:val="0"/>
                      <w:color w:val="auto"/>
                      <w:kern w:val="0"/>
                      <w:sz w:val="21"/>
                      <w:szCs w:val="21"/>
                      <w:highlight w:val="none"/>
                      <w:u w:val="none" w:color="auto"/>
                    </w:rPr>
                    <w:t>桶装</w:t>
                  </w:r>
                </w:p>
              </w:tc>
              <w:tc>
                <w:tcPr>
                  <w:tcW w:w="706" w:type="dxa"/>
                  <w:tcBorders>
                    <w:tl2br w:val="nil"/>
                    <w:tr2bl w:val="nil"/>
                  </w:tcBorders>
                  <w:noWrap w:val="0"/>
                  <w:tcMar>
                    <w:left w:w="0" w:type="dxa"/>
                    <w:right w:w="0" w:type="dxa"/>
                  </w:tcMar>
                  <w:vAlign w:val="center"/>
                </w:tcPr>
                <w:p w14:paraId="3B0486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2个月</w:t>
                  </w:r>
                </w:p>
              </w:tc>
              <w:tc>
                <w:tcPr>
                  <w:tcW w:w="705" w:type="dxa"/>
                  <w:vMerge w:val="restart"/>
                  <w:tcBorders>
                    <w:tl2br w:val="nil"/>
                    <w:tr2bl w:val="nil"/>
                  </w:tcBorders>
                  <w:noWrap w:val="0"/>
                  <w:tcMar>
                    <w:left w:w="0" w:type="dxa"/>
                    <w:right w:w="0" w:type="dxa"/>
                  </w:tcMar>
                  <w:vAlign w:val="center"/>
                </w:tcPr>
                <w:p w14:paraId="093E9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委托有资质单位处置</w:t>
                  </w:r>
                </w:p>
              </w:tc>
            </w:tr>
            <w:tr w14:paraId="3C0E8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9E65C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废锂基脂油</w:t>
                  </w:r>
                </w:p>
              </w:tc>
              <w:tc>
                <w:tcPr>
                  <w:tcW w:w="852" w:type="dxa"/>
                  <w:tcBorders>
                    <w:tl2br w:val="nil"/>
                    <w:tr2bl w:val="nil"/>
                  </w:tcBorders>
                  <w:noWrap w:val="0"/>
                  <w:tcMar>
                    <w:left w:w="0" w:type="dxa"/>
                    <w:right w:w="0" w:type="dxa"/>
                  </w:tcMar>
                  <w:vAlign w:val="center"/>
                </w:tcPr>
                <w:p w14:paraId="535120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HW08</w:t>
                  </w:r>
                </w:p>
              </w:tc>
              <w:tc>
                <w:tcPr>
                  <w:tcW w:w="1122" w:type="dxa"/>
                  <w:tcBorders>
                    <w:tl2br w:val="nil"/>
                    <w:tr2bl w:val="nil"/>
                  </w:tcBorders>
                  <w:noWrap w:val="0"/>
                  <w:tcMar>
                    <w:left w:w="0" w:type="dxa"/>
                    <w:right w:w="0" w:type="dxa"/>
                  </w:tcMar>
                  <w:vAlign w:val="center"/>
                </w:tcPr>
                <w:p w14:paraId="4CB7AE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900-249-08</w:t>
                  </w:r>
                </w:p>
              </w:tc>
              <w:tc>
                <w:tcPr>
                  <w:tcW w:w="959" w:type="dxa"/>
                  <w:tcBorders>
                    <w:tl2br w:val="nil"/>
                    <w:tr2bl w:val="nil"/>
                  </w:tcBorders>
                  <w:noWrap w:val="0"/>
                  <w:tcMar>
                    <w:left w:w="0" w:type="dxa"/>
                    <w:right w:w="0" w:type="dxa"/>
                  </w:tcMar>
                  <w:vAlign w:val="center"/>
                </w:tcPr>
                <w:p w14:paraId="44D6E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7.4395</w:t>
                  </w:r>
                </w:p>
              </w:tc>
              <w:tc>
                <w:tcPr>
                  <w:tcW w:w="839" w:type="dxa"/>
                  <w:tcBorders>
                    <w:tl2br w:val="nil"/>
                    <w:tr2bl w:val="nil"/>
                  </w:tcBorders>
                  <w:noWrap w:val="0"/>
                  <w:tcMar>
                    <w:left w:w="0" w:type="dxa"/>
                    <w:right w:w="0" w:type="dxa"/>
                  </w:tcMar>
                  <w:vAlign w:val="center"/>
                </w:tcPr>
                <w:p w14:paraId="5FE397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1.4186</w:t>
                  </w:r>
                </w:p>
              </w:tc>
              <w:tc>
                <w:tcPr>
                  <w:tcW w:w="2149" w:type="dxa"/>
                  <w:tcBorders>
                    <w:tl2br w:val="nil"/>
                    <w:tr2bl w:val="nil"/>
                  </w:tcBorders>
                  <w:noWrap w:val="0"/>
                  <w:tcMar>
                    <w:left w:w="0" w:type="dxa"/>
                    <w:right w:w="0" w:type="dxa"/>
                  </w:tcMar>
                  <w:vAlign w:val="center"/>
                </w:tcPr>
                <w:p w14:paraId="5348C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lang w:val="en-US" w:eastAsia="zh-CN"/>
                    </w:rPr>
                    <w:t>危废暂存库，</w:t>
                  </w:r>
                  <w:r>
                    <w:rPr>
                      <w:rFonts w:hint="default" w:ascii="Times New Roman" w:hAnsi="Times New Roman" w:eastAsia="宋体" w:cs="Times New Roman"/>
                      <w:caps w:val="0"/>
                      <w:color w:val="auto"/>
                      <w:kern w:val="0"/>
                      <w:sz w:val="21"/>
                      <w:szCs w:val="21"/>
                      <w:highlight w:val="none"/>
                      <w:u w:val="none" w:color="auto"/>
                    </w:rPr>
                    <w:t>桶装</w:t>
                  </w:r>
                </w:p>
              </w:tc>
              <w:tc>
                <w:tcPr>
                  <w:tcW w:w="706" w:type="dxa"/>
                  <w:tcBorders>
                    <w:tl2br w:val="nil"/>
                    <w:tr2bl w:val="nil"/>
                  </w:tcBorders>
                  <w:noWrap w:val="0"/>
                  <w:tcMar>
                    <w:left w:w="0" w:type="dxa"/>
                    <w:right w:w="0" w:type="dxa"/>
                  </w:tcMar>
                  <w:vAlign w:val="center"/>
                </w:tcPr>
                <w:p w14:paraId="613487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1个月</w:t>
                  </w:r>
                </w:p>
              </w:tc>
              <w:tc>
                <w:tcPr>
                  <w:tcW w:w="705" w:type="dxa"/>
                  <w:vMerge w:val="continue"/>
                  <w:tcBorders>
                    <w:tl2br w:val="nil"/>
                    <w:tr2bl w:val="nil"/>
                  </w:tcBorders>
                  <w:noWrap w:val="0"/>
                  <w:tcMar>
                    <w:left w:w="0" w:type="dxa"/>
                    <w:right w:w="0" w:type="dxa"/>
                  </w:tcMar>
                  <w:vAlign w:val="center"/>
                </w:tcPr>
                <w:p w14:paraId="0B6BA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4DF7B0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0C261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含油废布</w:t>
                  </w:r>
                </w:p>
              </w:tc>
              <w:tc>
                <w:tcPr>
                  <w:tcW w:w="852" w:type="dxa"/>
                  <w:tcBorders>
                    <w:tl2br w:val="nil"/>
                    <w:tr2bl w:val="nil"/>
                  </w:tcBorders>
                  <w:noWrap w:val="0"/>
                  <w:tcMar>
                    <w:left w:w="0" w:type="dxa"/>
                    <w:right w:w="0" w:type="dxa"/>
                  </w:tcMar>
                  <w:vAlign w:val="center"/>
                </w:tcPr>
                <w:p w14:paraId="421F9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2BF4C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900-041-49</w:t>
                  </w:r>
                </w:p>
              </w:tc>
              <w:tc>
                <w:tcPr>
                  <w:tcW w:w="959" w:type="dxa"/>
                  <w:tcBorders>
                    <w:tl2br w:val="nil"/>
                    <w:tr2bl w:val="nil"/>
                  </w:tcBorders>
                  <w:noWrap w:val="0"/>
                  <w:tcMar>
                    <w:left w:w="0" w:type="dxa"/>
                    <w:right w:w="0" w:type="dxa"/>
                  </w:tcMar>
                  <w:vAlign w:val="center"/>
                </w:tcPr>
                <w:p w14:paraId="66D717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10.5493</w:t>
                  </w:r>
                </w:p>
              </w:tc>
              <w:tc>
                <w:tcPr>
                  <w:tcW w:w="839" w:type="dxa"/>
                  <w:tcBorders>
                    <w:tl2br w:val="nil"/>
                    <w:tr2bl w:val="nil"/>
                  </w:tcBorders>
                  <w:noWrap w:val="0"/>
                  <w:tcMar>
                    <w:left w:w="0" w:type="dxa"/>
                    <w:right w:w="0" w:type="dxa"/>
                  </w:tcMar>
                  <w:vAlign w:val="center"/>
                </w:tcPr>
                <w:p w14:paraId="5528D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2.0349</w:t>
                  </w:r>
                </w:p>
              </w:tc>
              <w:tc>
                <w:tcPr>
                  <w:tcW w:w="2149" w:type="dxa"/>
                  <w:tcBorders>
                    <w:tl2br w:val="nil"/>
                    <w:tr2bl w:val="nil"/>
                  </w:tcBorders>
                  <w:noWrap w:val="0"/>
                  <w:tcMar>
                    <w:left w:w="0" w:type="dxa"/>
                    <w:right w:w="0" w:type="dxa"/>
                  </w:tcMar>
                  <w:vAlign w:val="center"/>
                </w:tcPr>
                <w:p w14:paraId="38DEAD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lang w:val="en-US" w:eastAsia="zh-CN"/>
                    </w:rPr>
                    <w:t>危废暂存库，</w:t>
                  </w:r>
                  <w:r>
                    <w:rPr>
                      <w:rFonts w:hint="default" w:ascii="Times New Roman" w:hAnsi="Times New Roman" w:eastAsia="宋体" w:cs="Times New Roman"/>
                      <w:caps w:val="0"/>
                      <w:color w:val="auto"/>
                      <w:kern w:val="0"/>
                      <w:sz w:val="21"/>
                      <w:szCs w:val="21"/>
                      <w:highlight w:val="none"/>
                      <w:u w:val="none" w:color="auto"/>
                    </w:rPr>
                    <w:t>吨袋装</w:t>
                  </w:r>
                </w:p>
              </w:tc>
              <w:tc>
                <w:tcPr>
                  <w:tcW w:w="706" w:type="dxa"/>
                  <w:tcBorders>
                    <w:tl2br w:val="nil"/>
                    <w:tr2bl w:val="nil"/>
                  </w:tcBorders>
                  <w:noWrap w:val="0"/>
                  <w:tcMar>
                    <w:left w:w="0" w:type="dxa"/>
                    <w:right w:w="0" w:type="dxa"/>
                  </w:tcMar>
                  <w:vAlign w:val="center"/>
                </w:tcPr>
                <w:p w14:paraId="68277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1个月</w:t>
                  </w:r>
                </w:p>
              </w:tc>
              <w:tc>
                <w:tcPr>
                  <w:tcW w:w="705" w:type="dxa"/>
                  <w:vMerge w:val="continue"/>
                  <w:tcBorders>
                    <w:tl2br w:val="nil"/>
                    <w:tr2bl w:val="nil"/>
                  </w:tcBorders>
                  <w:noWrap w:val="0"/>
                  <w:tcMar>
                    <w:left w:w="0" w:type="dxa"/>
                    <w:right w:w="0" w:type="dxa"/>
                  </w:tcMar>
                  <w:vAlign w:val="center"/>
                </w:tcPr>
                <w:p w14:paraId="5D931F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48A7C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2402CE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废油桶</w:t>
                  </w:r>
                </w:p>
              </w:tc>
              <w:tc>
                <w:tcPr>
                  <w:tcW w:w="852" w:type="dxa"/>
                  <w:tcBorders>
                    <w:tl2br w:val="nil"/>
                    <w:tr2bl w:val="nil"/>
                  </w:tcBorders>
                  <w:noWrap w:val="0"/>
                  <w:tcMar>
                    <w:left w:w="0" w:type="dxa"/>
                    <w:right w:w="0" w:type="dxa"/>
                  </w:tcMar>
                  <w:vAlign w:val="center"/>
                </w:tcPr>
                <w:p w14:paraId="4DCFF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23FD0A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900-041-49</w:t>
                  </w:r>
                </w:p>
              </w:tc>
              <w:tc>
                <w:tcPr>
                  <w:tcW w:w="959" w:type="dxa"/>
                  <w:tcBorders>
                    <w:tl2br w:val="nil"/>
                    <w:tr2bl w:val="nil"/>
                  </w:tcBorders>
                  <w:noWrap w:val="0"/>
                  <w:tcMar>
                    <w:left w:w="0" w:type="dxa"/>
                    <w:right w:w="0" w:type="dxa"/>
                  </w:tcMar>
                  <w:vAlign w:val="center"/>
                </w:tcPr>
                <w:p w14:paraId="2E418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3.3233</w:t>
                  </w:r>
                </w:p>
              </w:tc>
              <w:tc>
                <w:tcPr>
                  <w:tcW w:w="839" w:type="dxa"/>
                  <w:tcBorders>
                    <w:tl2br w:val="nil"/>
                    <w:tr2bl w:val="nil"/>
                  </w:tcBorders>
                  <w:noWrap w:val="0"/>
                  <w:tcMar>
                    <w:left w:w="0" w:type="dxa"/>
                    <w:right w:w="0" w:type="dxa"/>
                  </w:tcMar>
                  <w:vAlign w:val="center"/>
                </w:tcPr>
                <w:p w14:paraId="4855FD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0.4316</w:t>
                  </w:r>
                </w:p>
              </w:tc>
              <w:tc>
                <w:tcPr>
                  <w:tcW w:w="2149" w:type="dxa"/>
                  <w:tcBorders>
                    <w:tl2br w:val="nil"/>
                    <w:tr2bl w:val="nil"/>
                  </w:tcBorders>
                  <w:noWrap w:val="0"/>
                  <w:tcMar>
                    <w:left w:w="0" w:type="dxa"/>
                    <w:right w:w="0" w:type="dxa"/>
                  </w:tcMar>
                  <w:vAlign w:val="center"/>
                </w:tcPr>
                <w:p w14:paraId="0D9D8E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lang w:val="en-US" w:eastAsia="zh-CN"/>
                    </w:rPr>
                    <w:t>危废暂存库，</w:t>
                  </w:r>
                  <w:r>
                    <w:rPr>
                      <w:rFonts w:hint="default" w:ascii="Times New Roman" w:hAnsi="Times New Roman" w:eastAsia="宋体" w:cs="Times New Roman"/>
                      <w:caps w:val="0"/>
                      <w:color w:val="auto"/>
                      <w:kern w:val="0"/>
                      <w:sz w:val="21"/>
                      <w:szCs w:val="21"/>
                      <w:highlight w:val="none"/>
                      <w:u w:val="none" w:color="auto"/>
                    </w:rPr>
                    <w:t>桶装</w:t>
                  </w:r>
                </w:p>
              </w:tc>
              <w:tc>
                <w:tcPr>
                  <w:tcW w:w="706" w:type="dxa"/>
                  <w:tcBorders>
                    <w:tl2br w:val="nil"/>
                    <w:tr2bl w:val="nil"/>
                  </w:tcBorders>
                  <w:noWrap w:val="0"/>
                  <w:tcMar>
                    <w:left w:w="0" w:type="dxa"/>
                    <w:right w:w="0" w:type="dxa"/>
                  </w:tcMar>
                  <w:vAlign w:val="center"/>
                </w:tcPr>
                <w:p w14:paraId="081776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1个月</w:t>
                  </w:r>
                </w:p>
              </w:tc>
              <w:tc>
                <w:tcPr>
                  <w:tcW w:w="705" w:type="dxa"/>
                  <w:vMerge w:val="continue"/>
                  <w:tcBorders>
                    <w:tl2br w:val="nil"/>
                    <w:tr2bl w:val="nil"/>
                  </w:tcBorders>
                  <w:noWrap w:val="0"/>
                  <w:tcMar>
                    <w:left w:w="0" w:type="dxa"/>
                    <w:right w:w="0" w:type="dxa"/>
                  </w:tcMar>
                  <w:vAlign w:val="center"/>
                </w:tcPr>
                <w:p w14:paraId="35279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7F0E5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43C43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废油管</w:t>
                  </w:r>
                </w:p>
              </w:tc>
              <w:tc>
                <w:tcPr>
                  <w:tcW w:w="852" w:type="dxa"/>
                  <w:tcBorders>
                    <w:tl2br w:val="nil"/>
                    <w:tr2bl w:val="nil"/>
                  </w:tcBorders>
                  <w:noWrap w:val="0"/>
                  <w:tcMar>
                    <w:left w:w="0" w:type="dxa"/>
                    <w:right w:w="0" w:type="dxa"/>
                  </w:tcMar>
                  <w:vAlign w:val="center"/>
                </w:tcPr>
                <w:p w14:paraId="477DEB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2C927D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900-041-49</w:t>
                  </w:r>
                </w:p>
              </w:tc>
              <w:tc>
                <w:tcPr>
                  <w:tcW w:w="959" w:type="dxa"/>
                  <w:tcBorders>
                    <w:tl2br w:val="nil"/>
                    <w:tr2bl w:val="nil"/>
                  </w:tcBorders>
                  <w:noWrap w:val="0"/>
                  <w:tcMar>
                    <w:left w:w="0" w:type="dxa"/>
                    <w:right w:w="0" w:type="dxa"/>
                  </w:tcMar>
                  <w:vAlign w:val="center"/>
                </w:tcPr>
                <w:p w14:paraId="7E302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1.1586</w:t>
                  </w:r>
                </w:p>
              </w:tc>
              <w:tc>
                <w:tcPr>
                  <w:tcW w:w="839" w:type="dxa"/>
                  <w:tcBorders>
                    <w:tl2br w:val="nil"/>
                    <w:tr2bl w:val="nil"/>
                  </w:tcBorders>
                  <w:noWrap w:val="0"/>
                  <w:tcMar>
                    <w:left w:w="0" w:type="dxa"/>
                    <w:right w:w="0" w:type="dxa"/>
                  </w:tcMar>
                  <w:vAlign w:val="center"/>
                </w:tcPr>
                <w:p w14:paraId="5E721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0.376</w:t>
                  </w:r>
                </w:p>
              </w:tc>
              <w:tc>
                <w:tcPr>
                  <w:tcW w:w="2149" w:type="dxa"/>
                  <w:tcBorders>
                    <w:tl2br w:val="nil"/>
                    <w:tr2bl w:val="nil"/>
                  </w:tcBorders>
                  <w:noWrap w:val="0"/>
                  <w:tcMar>
                    <w:left w:w="0" w:type="dxa"/>
                    <w:right w:w="0" w:type="dxa"/>
                  </w:tcMar>
                  <w:vAlign w:val="center"/>
                </w:tcPr>
                <w:p w14:paraId="2EEA10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lang w:val="en-US" w:eastAsia="zh-CN"/>
                    </w:rPr>
                    <w:t>危废暂存库，</w:t>
                  </w:r>
                  <w:r>
                    <w:rPr>
                      <w:rFonts w:hint="default" w:ascii="Times New Roman" w:hAnsi="Times New Roman" w:eastAsia="宋体" w:cs="Times New Roman"/>
                      <w:caps w:val="0"/>
                      <w:color w:val="auto"/>
                      <w:kern w:val="0"/>
                      <w:sz w:val="21"/>
                      <w:szCs w:val="21"/>
                      <w:highlight w:val="none"/>
                      <w:u w:val="none" w:color="auto"/>
                    </w:rPr>
                    <w:t>吨袋装</w:t>
                  </w:r>
                </w:p>
              </w:tc>
              <w:tc>
                <w:tcPr>
                  <w:tcW w:w="706" w:type="dxa"/>
                  <w:tcBorders>
                    <w:tl2br w:val="nil"/>
                    <w:tr2bl w:val="nil"/>
                  </w:tcBorders>
                  <w:noWrap w:val="0"/>
                  <w:tcMar>
                    <w:left w:w="0" w:type="dxa"/>
                    <w:right w:w="0" w:type="dxa"/>
                  </w:tcMar>
                  <w:vAlign w:val="center"/>
                </w:tcPr>
                <w:p w14:paraId="53018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4个月</w:t>
                  </w:r>
                </w:p>
              </w:tc>
              <w:tc>
                <w:tcPr>
                  <w:tcW w:w="705" w:type="dxa"/>
                  <w:vMerge w:val="continue"/>
                  <w:tcBorders>
                    <w:tl2br w:val="nil"/>
                    <w:tr2bl w:val="nil"/>
                  </w:tcBorders>
                  <w:noWrap w:val="0"/>
                  <w:tcMar>
                    <w:left w:w="0" w:type="dxa"/>
                    <w:right w:w="0" w:type="dxa"/>
                  </w:tcMar>
                  <w:vAlign w:val="center"/>
                </w:tcPr>
                <w:p w14:paraId="221FC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36493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2B9630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废滤芯</w:t>
                  </w:r>
                </w:p>
              </w:tc>
              <w:tc>
                <w:tcPr>
                  <w:tcW w:w="852" w:type="dxa"/>
                  <w:tcBorders>
                    <w:tl2br w:val="nil"/>
                    <w:tr2bl w:val="nil"/>
                  </w:tcBorders>
                  <w:noWrap w:val="0"/>
                  <w:tcMar>
                    <w:left w:w="0" w:type="dxa"/>
                    <w:right w:w="0" w:type="dxa"/>
                  </w:tcMar>
                  <w:vAlign w:val="center"/>
                </w:tcPr>
                <w:p w14:paraId="064D7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7F1A0A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900-041-49</w:t>
                  </w:r>
                </w:p>
              </w:tc>
              <w:tc>
                <w:tcPr>
                  <w:tcW w:w="959" w:type="dxa"/>
                  <w:tcBorders>
                    <w:tl2br w:val="nil"/>
                    <w:tr2bl w:val="nil"/>
                  </w:tcBorders>
                  <w:noWrap w:val="0"/>
                  <w:tcMar>
                    <w:left w:w="0" w:type="dxa"/>
                    <w:right w:w="0" w:type="dxa"/>
                  </w:tcMar>
                  <w:vAlign w:val="center"/>
                </w:tcPr>
                <w:p w14:paraId="320F9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0.9658</w:t>
                  </w:r>
                </w:p>
              </w:tc>
              <w:tc>
                <w:tcPr>
                  <w:tcW w:w="839" w:type="dxa"/>
                  <w:tcBorders>
                    <w:tl2br w:val="nil"/>
                    <w:tr2bl w:val="nil"/>
                  </w:tcBorders>
                  <w:noWrap w:val="0"/>
                  <w:tcMar>
                    <w:left w:w="0" w:type="dxa"/>
                    <w:right w:w="0" w:type="dxa"/>
                  </w:tcMar>
                  <w:vAlign w:val="center"/>
                </w:tcPr>
                <w:p w14:paraId="79E64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0.257</w:t>
                  </w:r>
                </w:p>
              </w:tc>
              <w:tc>
                <w:tcPr>
                  <w:tcW w:w="2149" w:type="dxa"/>
                  <w:tcBorders>
                    <w:tl2br w:val="nil"/>
                    <w:tr2bl w:val="nil"/>
                  </w:tcBorders>
                  <w:noWrap w:val="0"/>
                  <w:tcMar>
                    <w:left w:w="0" w:type="dxa"/>
                    <w:right w:w="0" w:type="dxa"/>
                  </w:tcMar>
                  <w:vAlign w:val="center"/>
                </w:tcPr>
                <w:p w14:paraId="1D9A1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lang w:val="en-US" w:eastAsia="zh-CN"/>
                    </w:rPr>
                    <w:t>危废暂存库，</w:t>
                  </w:r>
                  <w:r>
                    <w:rPr>
                      <w:rFonts w:hint="default" w:ascii="Times New Roman" w:hAnsi="Times New Roman" w:eastAsia="宋体" w:cs="Times New Roman"/>
                      <w:caps w:val="0"/>
                      <w:color w:val="auto"/>
                      <w:kern w:val="0"/>
                      <w:sz w:val="21"/>
                      <w:szCs w:val="21"/>
                      <w:highlight w:val="none"/>
                      <w:u w:val="none" w:color="auto"/>
                    </w:rPr>
                    <w:t>吨袋装</w:t>
                  </w:r>
                </w:p>
              </w:tc>
              <w:tc>
                <w:tcPr>
                  <w:tcW w:w="706" w:type="dxa"/>
                  <w:tcBorders>
                    <w:tl2br w:val="nil"/>
                    <w:tr2bl w:val="nil"/>
                  </w:tcBorders>
                  <w:noWrap w:val="0"/>
                  <w:tcMar>
                    <w:left w:w="0" w:type="dxa"/>
                    <w:right w:w="0" w:type="dxa"/>
                  </w:tcMar>
                  <w:vAlign w:val="center"/>
                </w:tcPr>
                <w:p w14:paraId="6C3B9B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4个月</w:t>
                  </w:r>
                </w:p>
              </w:tc>
              <w:tc>
                <w:tcPr>
                  <w:tcW w:w="705" w:type="dxa"/>
                  <w:vMerge w:val="continue"/>
                  <w:tcBorders>
                    <w:tl2br w:val="nil"/>
                    <w:tr2bl w:val="nil"/>
                  </w:tcBorders>
                  <w:noWrap w:val="0"/>
                  <w:tcMar>
                    <w:left w:w="0" w:type="dxa"/>
                    <w:right w:w="0" w:type="dxa"/>
                  </w:tcMar>
                  <w:vAlign w:val="center"/>
                </w:tcPr>
                <w:p w14:paraId="68090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626F4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60B57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废油漆桶</w:t>
                  </w:r>
                </w:p>
              </w:tc>
              <w:tc>
                <w:tcPr>
                  <w:tcW w:w="852" w:type="dxa"/>
                  <w:tcBorders>
                    <w:tl2br w:val="nil"/>
                    <w:tr2bl w:val="nil"/>
                  </w:tcBorders>
                  <w:noWrap w:val="0"/>
                  <w:tcMar>
                    <w:left w:w="0" w:type="dxa"/>
                    <w:right w:w="0" w:type="dxa"/>
                  </w:tcMar>
                  <w:vAlign w:val="center"/>
                </w:tcPr>
                <w:p w14:paraId="50FE0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06037C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900-041-49</w:t>
                  </w:r>
                </w:p>
              </w:tc>
              <w:tc>
                <w:tcPr>
                  <w:tcW w:w="959" w:type="dxa"/>
                  <w:tcBorders>
                    <w:tl2br w:val="nil"/>
                    <w:tr2bl w:val="nil"/>
                  </w:tcBorders>
                  <w:noWrap w:val="0"/>
                  <w:tcMar>
                    <w:left w:w="0" w:type="dxa"/>
                    <w:right w:w="0" w:type="dxa"/>
                  </w:tcMar>
                  <w:vAlign w:val="center"/>
                </w:tcPr>
                <w:p w14:paraId="2873E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0.5869</w:t>
                  </w:r>
                </w:p>
              </w:tc>
              <w:tc>
                <w:tcPr>
                  <w:tcW w:w="839" w:type="dxa"/>
                  <w:tcBorders>
                    <w:tl2br w:val="nil"/>
                    <w:tr2bl w:val="nil"/>
                  </w:tcBorders>
                  <w:noWrap w:val="0"/>
                  <w:tcMar>
                    <w:left w:w="0" w:type="dxa"/>
                    <w:right w:w="0" w:type="dxa"/>
                  </w:tcMar>
                  <w:vAlign w:val="center"/>
                </w:tcPr>
                <w:p w14:paraId="2C495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0.3293</w:t>
                  </w:r>
                </w:p>
              </w:tc>
              <w:tc>
                <w:tcPr>
                  <w:tcW w:w="2149" w:type="dxa"/>
                  <w:tcBorders>
                    <w:tl2br w:val="nil"/>
                    <w:tr2bl w:val="nil"/>
                  </w:tcBorders>
                  <w:noWrap w:val="0"/>
                  <w:tcMar>
                    <w:left w:w="0" w:type="dxa"/>
                    <w:right w:w="0" w:type="dxa"/>
                  </w:tcMar>
                  <w:vAlign w:val="center"/>
                </w:tcPr>
                <w:p w14:paraId="0A794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危废暂存库，桶装</w:t>
                  </w:r>
                </w:p>
              </w:tc>
              <w:tc>
                <w:tcPr>
                  <w:tcW w:w="706" w:type="dxa"/>
                  <w:tcBorders>
                    <w:tl2br w:val="nil"/>
                    <w:tr2bl w:val="nil"/>
                  </w:tcBorders>
                  <w:noWrap w:val="0"/>
                  <w:tcMar>
                    <w:left w:w="0" w:type="dxa"/>
                    <w:right w:w="0" w:type="dxa"/>
                  </w:tcMar>
                  <w:vAlign w:val="center"/>
                </w:tcPr>
                <w:p w14:paraId="4646F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4个月</w:t>
                  </w:r>
                </w:p>
              </w:tc>
              <w:tc>
                <w:tcPr>
                  <w:tcW w:w="705" w:type="dxa"/>
                  <w:vMerge w:val="continue"/>
                  <w:tcBorders>
                    <w:tl2br w:val="nil"/>
                    <w:tr2bl w:val="nil"/>
                  </w:tcBorders>
                  <w:noWrap w:val="0"/>
                  <w:tcMar>
                    <w:left w:w="0" w:type="dxa"/>
                    <w:right w:w="0" w:type="dxa"/>
                  </w:tcMar>
                  <w:vAlign w:val="center"/>
                </w:tcPr>
                <w:p w14:paraId="57D274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6EE60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04" w:type="dxa"/>
                  <w:tcBorders>
                    <w:tl2br w:val="nil"/>
                    <w:tr2bl w:val="nil"/>
                  </w:tcBorders>
                  <w:noWrap w:val="0"/>
                  <w:tcMar>
                    <w:left w:w="0" w:type="dxa"/>
                    <w:right w:w="0" w:type="dxa"/>
                  </w:tcMar>
                  <w:vAlign w:val="center"/>
                </w:tcPr>
                <w:p w14:paraId="1D215A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废铅蓄电池</w:t>
                  </w:r>
                </w:p>
              </w:tc>
              <w:tc>
                <w:tcPr>
                  <w:tcW w:w="852" w:type="dxa"/>
                  <w:tcBorders>
                    <w:tl2br w:val="nil"/>
                    <w:tr2bl w:val="nil"/>
                  </w:tcBorders>
                  <w:noWrap w:val="0"/>
                  <w:tcMar>
                    <w:left w:w="0" w:type="dxa"/>
                    <w:right w:w="0" w:type="dxa"/>
                  </w:tcMar>
                  <w:vAlign w:val="center"/>
                </w:tcPr>
                <w:p w14:paraId="32E5E9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HW31</w:t>
                  </w:r>
                </w:p>
              </w:tc>
              <w:tc>
                <w:tcPr>
                  <w:tcW w:w="1122" w:type="dxa"/>
                  <w:tcBorders>
                    <w:tl2br w:val="nil"/>
                    <w:tr2bl w:val="nil"/>
                  </w:tcBorders>
                  <w:noWrap w:val="0"/>
                  <w:tcMar>
                    <w:left w:w="0" w:type="dxa"/>
                    <w:right w:w="0" w:type="dxa"/>
                  </w:tcMar>
                  <w:vAlign w:val="center"/>
                </w:tcPr>
                <w:p w14:paraId="16740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900-052-31</w:t>
                  </w:r>
                </w:p>
              </w:tc>
              <w:tc>
                <w:tcPr>
                  <w:tcW w:w="959" w:type="dxa"/>
                  <w:tcBorders>
                    <w:tl2br w:val="nil"/>
                    <w:tr2bl w:val="nil"/>
                  </w:tcBorders>
                  <w:noWrap w:val="0"/>
                  <w:tcMar>
                    <w:left w:w="0" w:type="dxa"/>
                    <w:right w:w="0" w:type="dxa"/>
                  </w:tcMar>
                  <w:vAlign w:val="center"/>
                </w:tcPr>
                <w:p w14:paraId="7BF299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1.6104</w:t>
                  </w:r>
                </w:p>
              </w:tc>
              <w:tc>
                <w:tcPr>
                  <w:tcW w:w="839" w:type="dxa"/>
                  <w:tcBorders>
                    <w:tl2br w:val="nil"/>
                    <w:tr2bl w:val="nil"/>
                  </w:tcBorders>
                  <w:noWrap w:val="0"/>
                  <w:tcMar>
                    <w:left w:w="0" w:type="dxa"/>
                    <w:right w:w="0" w:type="dxa"/>
                  </w:tcMar>
                  <w:vAlign w:val="center"/>
                </w:tcPr>
                <w:p w14:paraId="22D90C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0.5544</w:t>
                  </w:r>
                </w:p>
              </w:tc>
              <w:tc>
                <w:tcPr>
                  <w:tcW w:w="2149" w:type="dxa"/>
                  <w:tcBorders>
                    <w:tl2br w:val="nil"/>
                    <w:tr2bl w:val="nil"/>
                  </w:tcBorders>
                  <w:noWrap w:val="0"/>
                  <w:tcMar>
                    <w:left w:w="0" w:type="dxa"/>
                    <w:right w:w="0" w:type="dxa"/>
                  </w:tcMar>
                  <w:vAlign w:val="center"/>
                </w:tcPr>
                <w:p w14:paraId="72E2D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危废暂存库，破损的废铅蓄电池存放于密闭容器内</w:t>
                  </w:r>
                </w:p>
              </w:tc>
              <w:tc>
                <w:tcPr>
                  <w:tcW w:w="706" w:type="dxa"/>
                  <w:tcBorders>
                    <w:tl2br w:val="nil"/>
                    <w:tr2bl w:val="nil"/>
                  </w:tcBorders>
                  <w:noWrap w:val="0"/>
                  <w:tcMar>
                    <w:left w:w="0" w:type="dxa"/>
                    <w:right w:w="0" w:type="dxa"/>
                  </w:tcMar>
                  <w:vAlign w:val="center"/>
                </w:tcPr>
                <w:p w14:paraId="2A06DC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4个月</w:t>
                  </w:r>
                </w:p>
              </w:tc>
              <w:tc>
                <w:tcPr>
                  <w:tcW w:w="705" w:type="dxa"/>
                  <w:vMerge w:val="continue"/>
                  <w:tcBorders>
                    <w:tl2br w:val="nil"/>
                    <w:tr2bl w:val="nil"/>
                  </w:tcBorders>
                  <w:noWrap w:val="0"/>
                  <w:tcMar>
                    <w:left w:w="0" w:type="dxa"/>
                    <w:right w:w="0" w:type="dxa"/>
                  </w:tcMar>
                  <w:vAlign w:val="center"/>
                </w:tcPr>
                <w:p w14:paraId="775C99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2481E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0C906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废灯管</w:t>
                  </w:r>
                </w:p>
              </w:tc>
              <w:tc>
                <w:tcPr>
                  <w:tcW w:w="852" w:type="dxa"/>
                  <w:tcBorders>
                    <w:tl2br w:val="nil"/>
                    <w:tr2bl w:val="nil"/>
                  </w:tcBorders>
                  <w:noWrap w:val="0"/>
                  <w:tcMar>
                    <w:left w:w="0" w:type="dxa"/>
                    <w:right w:w="0" w:type="dxa"/>
                  </w:tcMar>
                  <w:vAlign w:val="center"/>
                </w:tcPr>
                <w:p w14:paraId="0ED47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HW29</w:t>
                  </w:r>
                </w:p>
              </w:tc>
              <w:tc>
                <w:tcPr>
                  <w:tcW w:w="1122" w:type="dxa"/>
                  <w:tcBorders>
                    <w:tl2br w:val="nil"/>
                    <w:tr2bl w:val="nil"/>
                  </w:tcBorders>
                  <w:noWrap w:val="0"/>
                  <w:tcMar>
                    <w:left w:w="0" w:type="dxa"/>
                    <w:right w:w="0" w:type="dxa"/>
                  </w:tcMar>
                  <w:vAlign w:val="center"/>
                </w:tcPr>
                <w:p w14:paraId="2E934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900-023-29</w:t>
                  </w:r>
                </w:p>
              </w:tc>
              <w:tc>
                <w:tcPr>
                  <w:tcW w:w="959" w:type="dxa"/>
                  <w:tcBorders>
                    <w:tl2br w:val="nil"/>
                    <w:tr2bl w:val="nil"/>
                  </w:tcBorders>
                  <w:noWrap w:val="0"/>
                  <w:tcMar>
                    <w:left w:w="0" w:type="dxa"/>
                    <w:right w:w="0" w:type="dxa"/>
                  </w:tcMar>
                  <w:vAlign w:val="center"/>
                </w:tcPr>
                <w:p w14:paraId="7153F2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0.558</w:t>
                  </w:r>
                </w:p>
              </w:tc>
              <w:tc>
                <w:tcPr>
                  <w:tcW w:w="839" w:type="dxa"/>
                  <w:tcBorders>
                    <w:tl2br w:val="nil"/>
                    <w:tr2bl w:val="nil"/>
                  </w:tcBorders>
                  <w:noWrap w:val="0"/>
                  <w:tcMar>
                    <w:left w:w="0" w:type="dxa"/>
                    <w:right w:w="0" w:type="dxa"/>
                  </w:tcMar>
                  <w:vAlign w:val="center"/>
                </w:tcPr>
                <w:p w14:paraId="67396B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w:t>
                  </w:r>
                </w:p>
              </w:tc>
              <w:tc>
                <w:tcPr>
                  <w:tcW w:w="2149" w:type="dxa"/>
                  <w:tcBorders>
                    <w:tl2br w:val="nil"/>
                    <w:tr2bl w:val="nil"/>
                  </w:tcBorders>
                  <w:noWrap w:val="0"/>
                  <w:tcMar>
                    <w:left w:w="0" w:type="dxa"/>
                    <w:right w:w="0" w:type="dxa"/>
                  </w:tcMar>
                  <w:vAlign w:val="center"/>
                </w:tcPr>
                <w:p w14:paraId="32B8E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危废暂存库，桶装</w:t>
                  </w:r>
                </w:p>
              </w:tc>
              <w:tc>
                <w:tcPr>
                  <w:tcW w:w="706" w:type="dxa"/>
                  <w:tcBorders>
                    <w:tl2br w:val="nil"/>
                    <w:tr2bl w:val="nil"/>
                  </w:tcBorders>
                  <w:noWrap w:val="0"/>
                  <w:tcMar>
                    <w:left w:w="0" w:type="dxa"/>
                    <w:right w:w="0" w:type="dxa"/>
                  </w:tcMar>
                  <w:vAlign w:val="center"/>
                </w:tcPr>
                <w:p w14:paraId="0B13B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3个月</w:t>
                  </w:r>
                </w:p>
              </w:tc>
              <w:tc>
                <w:tcPr>
                  <w:tcW w:w="705" w:type="dxa"/>
                  <w:vMerge w:val="continue"/>
                  <w:tcBorders>
                    <w:tl2br w:val="nil"/>
                    <w:tr2bl w:val="nil"/>
                  </w:tcBorders>
                  <w:noWrap w:val="0"/>
                  <w:tcMar>
                    <w:left w:w="0" w:type="dxa"/>
                    <w:right w:w="0" w:type="dxa"/>
                  </w:tcMar>
                  <w:vAlign w:val="center"/>
                </w:tcPr>
                <w:p w14:paraId="2941E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10964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704" w:type="dxa"/>
                  <w:tcBorders>
                    <w:tl2br w:val="nil"/>
                    <w:tr2bl w:val="nil"/>
                  </w:tcBorders>
                  <w:noWrap w:val="0"/>
                  <w:tcMar>
                    <w:left w:w="0" w:type="dxa"/>
                    <w:right w:w="0" w:type="dxa"/>
                  </w:tcMar>
                  <w:vAlign w:val="center"/>
                </w:tcPr>
                <w:p w14:paraId="409A95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废墨盒</w:t>
                  </w:r>
                </w:p>
              </w:tc>
              <w:tc>
                <w:tcPr>
                  <w:tcW w:w="852" w:type="dxa"/>
                  <w:tcBorders>
                    <w:tl2br w:val="nil"/>
                    <w:tr2bl w:val="nil"/>
                  </w:tcBorders>
                  <w:noWrap w:val="0"/>
                  <w:tcMar>
                    <w:left w:w="0" w:type="dxa"/>
                    <w:right w:w="0" w:type="dxa"/>
                  </w:tcMar>
                  <w:vAlign w:val="center"/>
                </w:tcPr>
                <w:p w14:paraId="505B3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2294E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900-041-49</w:t>
                  </w:r>
                </w:p>
              </w:tc>
              <w:tc>
                <w:tcPr>
                  <w:tcW w:w="959" w:type="dxa"/>
                  <w:tcBorders>
                    <w:tl2br w:val="nil"/>
                    <w:tr2bl w:val="nil"/>
                  </w:tcBorders>
                  <w:noWrap w:val="0"/>
                  <w:tcMar>
                    <w:left w:w="0" w:type="dxa"/>
                    <w:right w:w="0" w:type="dxa"/>
                  </w:tcMar>
                  <w:vAlign w:val="center"/>
                </w:tcPr>
                <w:p w14:paraId="47888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0.1062</w:t>
                  </w:r>
                </w:p>
              </w:tc>
              <w:tc>
                <w:tcPr>
                  <w:tcW w:w="839" w:type="dxa"/>
                  <w:tcBorders>
                    <w:tl2br w:val="nil"/>
                    <w:tr2bl w:val="nil"/>
                  </w:tcBorders>
                  <w:noWrap w:val="0"/>
                  <w:tcMar>
                    <w:left w:w="0" w:type="dxa"/>
                    <w:right w:w="0" w:type="dxa"/>
                  </w:tcMar>
                  <w:vAlign w:val="center"/>
                </w:tcPr>
                <w:p w14:paraId="18CF72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0.0579</w:t>
                  </w:r>
                </w:p>
              </w:tc>
              <w:tc>
                <w:tcPr>
                  <w:tcW w:w="2149" w:type="dxa"/>
                  <w:tcBorders>
                    <w:tl2br w:val="nil"/>
                    <w:tr2bl w:val="nil"/>
                  </w:tcBorders>
                  <w:noWrap w:val="0"/>
                  <w:tcMar>
                    <w:left w:w="0" w:type="dxa"/>
                    <w:right w:w="0" w:type="dxa"/>
                  </w:tcMar>
                  <w:vAlign w:val="center"/>
                </w:tcPr>
                <w:p w14:paraId="4640BF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危废暂存库，桶装</w:t>
                  </w:r>
                </w:p>
              </w:tc>
              <w:tc>
                <w:tcPr>
                  <w:tcW w:w="706" w:type="dxa"/>
                  <w:tcBorders>
                    <w:tl2br w:val="nil"/>
                    <w:tr2bl w:val="nil"/>
                  </w:tcBorders>
                  <w:noWrap w:val="0"/>
                  <w:tcMar>
                    <w:left w:w="0" w:type="dxa"/>
                    <w:right w:w="0" w:type="dxa"/>
                  </w:tcMar>
                  <w:vAlign w:val="center"/>
                </w:tcPr>
                <w:p w14:paraId="7BCA00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6个月</w:t>
                  </w:r>
                </w:p>
              </w:tc>
              <w:tc>
                <w:tcPr>
                  <w:tcW w:w="705" w:type="dxa"/>
                  <w:vMerge w:val="continue"/>
                  <w:tcBorders>
                    <w:tl2br w:val="nil"/>
                    <w:tr2bl w:val="nil"/>
                  </w:tcBorders>
                  <w:noWrap w:val="0"/>
                  <w:tcMar>
                    <w:left w:w="0" w:type="dxa"/>
                    <w:right w:w="0" w:type="dxa"/>
                  </w:tcMar>
                  <w:vAlign w:val="center"/>
                </w:tcPr>
                <w:p w14:paraId="44ED7C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0D538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5ED27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废油漆渣</w:t>
                  </w:r>
                </w:p>
              </w:tc>
              <w:tc>
                <w:tcPr>
                  <w:tcW w:w="852" w:type="dxa"/>
                  <w:tcBorders>
                    <w:tl2br w:val="nil"/>
                    <w:tr2bl w:val="nil"/>
                  </w:tcBorders>
                  <w:noWrap w:val="0"/>
                  <w:tcMar>
                    <w:left w:w="0" w:type="dxa"/>
                    <w:right w:w="0" w:type="dxa"/>
                  </w:tcMar>
                  <w:vAlign w:val="center"/>
                </w:tcPr>
                <w:p w14:paraId="0A313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HW12</w:t>
                  </w:r>
                </w:p>
              </w:tc>
              <w:tc>
                <w:tcPr>
                  <w:tcW w:w="1122" w:type="dxa"/>
                  <w:tcBorders>
                    <w:tl2br w:val="nil"/>
                    <w:tr2bl w:val="nil"/>
                  </w:tcBorders>
                  <w:noWrap w:val="0"/>
                  <w:tcMar>
                    <w:left w:w="0" w:type="dxa"/>
                    <w:right w:w="0" w:type="dxa"/>
                  </w:tcMar>
                  <w:vAlign w:val="center"/>
                </w:tcPr>
                <w:p w14:paraId="676A2C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900-252-12</w:t>
                  </w:r>
                </w:p>
              </w:tc>
              <w:tc>
                <w:tcPr>
                  <w:tcW w:w="959" w:type="dxa"/>
                  <w:tcBorders>
                    <w:tl2br w:val="nil"/>
                    <w:tr2bl w:val="nil"/>
                  </w:tcBorders>
                  <w:noWrap w:val="0"/>
                  <w:tcMar>
                    <w:left w:w="0" w:type="dxa"/>
                    <w:right w:w="0" w:type="dxa"/>
                  </w:tcMar>
                  <w:vAlign w:val="center"/>
                </w:tcPr>
                <w:p w14:paraId="72016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1</w:t>
                  </w:r>
                </w:p>
              </w:tc>
              <w:tc>
                <w:tcPr>
                  <w:tcW w:w="839" w:type="dxa"/>
                  <w:tcBorders>
                    <w:tl2br w:val="nil"/>
                    <w:tr2bl w:val="nil"/>
                  </w:tcBorders>
                  <w:noWrap w:val="0"/>
                  <w:tcMar>
                    <w:left w:w="0" w:type="dxa"/>
                    <w:right w:w="0" w:type="dxa"/>
                  </w:tcMar>
                  <w:vAlign w:val="center"/>
                </w:tcPr>
                <w:p w14:paraId="7EC55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0.5</w:t>
                  </w:r>
                </w:p>
              </w:tc>
              <w:tc>
                <w:tcPr>
                  <w:tcW w:w="2149" w:type="dxa"/>
                  <w:tcBorders>
                    <w:tl2br w:val="nil"/>
                    <w:tr2bl w:val="nil"/>
                  </w:tcBorders>
                  <w:noWrap w:val="0"/>
                  <w:tcMar>
                    <w:left w:w="0" w:type="dxa"/>
                    <w:right w:w="0" w:type="dxa"/>
                  </w:tcMar>
                  <w:vAlign w:val="center"/>
                </w:tcPr>
                <w:p w14:paraId="570348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危废暂存库，袋装</w:t>
                  </w:r>
                </w:p>
              </w:tc>
              <w:tc>
                <w:tcPr>
                  <w:tcW w:w="706" w:type="dxa"/>
                  <w:tcBorders>
                    <w:tl2br w:val="nil"/>
                    <w:tr2bl w:val="nil"/>
                  </w:tcBorders>
                  <w:noWrap w:val="0"/>
                  <w:tcMar>
                    <w:left w:w="0" w:type="dxa"/>
                    <w:right w:w="0" w:type="dxa"/>
                  </w:tcMar>
                  <w:vAlign w:val="center"/>
                </w:tcPr>
                <w:p w14:paraId="73BD13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3个月</w:t>
                  </w:r>
                </w:p>
              </w:tc>
              <w:tc>
                <w:tcPr>
                  <w:tcW w:w="705" w:type="dxa"/>
                  <w:vMerge w:val="continue"/>
                  <w:tcBorders>
                    <w:tl2br w:val="nil"/>
                    <w:tr2bl w:val="nil"/>
                  </w:tcBorders>
                  <w:noWrap w:val="0"/>
                  <w:tcMar>
                    <w:left w:w="0" w:type="dxa"/>
                    <w:right w:w="0" w:type="dxa"/>
                  </w:tcMar>
                  <w:vAlign w:val="center"/>
                </w:tcPr>
                <w:p w14:paraId="318F9D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05FA9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280D9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废电路板</w:t>
                  </w:r>
                </w:p>
              </w:tc>
              <w:tc>
                <w:tcPr>
                  <w:tcW w:w="852" w:type="dxa"/>
                  <w:tcBorders>
                    <w:tl2br w:val="nil"/>
                    <w:tr2bl w:val="nil"/>
                  </w:tcBorders>
                  <w:noWrap w:val="0"/>
                  <w:tcMar>
                    <w:left w:w="0" w:type="dxa"/>
                    <w:right w:w="0" w:type="dxa"/>
                  </w:tcMar>
                  <w:vAlign w:val="center"/>
                </w:tcPr>
                <w:p w14:paraId="3E2C0C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50F191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900-045-49</w:t>
                  </w:r>
                </w:p>
              </w:tc>
              <w:tc>
                <w:tcPr>
                  <w:tcW w:w="959" w:type="dxa"/>
                  <w:tcBorders>
                    <w:tl2br w:val="nil"/>
                    <w:tr2bl w:val="nil"/>
                  </w:tcBorders>
                  <w:noWrap w:val="0"/>
                  <w:tcMar>
                    <w:left w:w="0" w:type="dxa"/>
                    <w:right w:w="0" w:type="dxa"/>
                  </w:tcMar>
                  <w:vAlign w:val="center"/>
                </w:tcPr>
                <w:p w14:paraId="786259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0.1</w:t>
                  </w:r>
                </w:p>
              </w:tc>
              <w:tc>
                <w:tcPr>
                  <w:tcW w:w="839" w:type="dxa"/>
                  <w:tcBorders>
                    <w:tl2br w:val="nil"/>
                    <w:tr2bl w:val="nil"/>
                  </w:tcBorders>
                  <w:noWrap w:val="0"/>
                  <w:tcMar>
                    <w:left w:w="0" w:type="dxa"/>
                    <w:right w:w="0" w:type="dxa"/>
                  </w:tcMar>
                  <w:vAlign w:val="center"/>
                </w:tcPr>
                <w:p w14:paraId="455D51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0.1</w:t>
                  </w:r>
                </w:p>
              </w:tc>
              <w:tc>
                <w:tcPr>
                  <w:tcW w:w="2149" w:type="dxa"/>
                  <w:tcBorders>
                    <w:tl2br w:val="nil"/>
                    <w:tr2bl w:val="nil"/>
                  </w:tcBorders>
                  <w:noWrap w:val="0"/>
                  <w:tcMar>
                    <w:left w:w="0" w:type="dxa"/>
                    <w:right w:w="0" w:type="dxa"/>
                  </w:tcMar>
                  <w:vAlign w:val="center"/>
                </w:tcPr>
                <w:p w14:paraId="46426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危废暂存库，袋装</w:t>
                  </w:r>
                </w:p>
              </w:tc>
              <w:tc>
                <w:tcPr>
                  <w:tcW w:w="706" w:type="dxa"/>
                  <w:tcBorders>
                    <w:tl2br w:val="nil"/>
                    <w:tr2bl w:val="nil"/>
                  </w:tcBorders>
                  <w:noWrap w:val="0"/>
                  <w:tcMar>
                    <w:left w:w="0" w:type="dxa"/>
                    <w:right w:w="0" w:type="dxa"/>
                  </w:tcMar>
                  <w:vAlign w:val="center"/>
                </w:tcPr>
                <w:p w14:paraId="6C482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3个月</w:t>
                  </w:r>
                </w:p>
              </w:tc>
              <w:tc>
                <w:tcPr>
                  <w:tcW w:w="705" w:type="dxa"/>
                  <w:vMerge w:val="continue"/>
                  <w:tcBorders>
                    <w:tl2br w:val="nil"/>
                    <w:tr2bl w:val="nil"/>
                  </w:tcBorders>
                  <w:noWrap w:val="0"/>
                  <w:tcMar>
                    <w:left w:w="0" w:type="dxa"/>
                    <w:right w:w="0" w:type="dxa"/>
                  </w:tcMar>
                  <w:vAlign w:val="center"/>
                </w:tcPr>
                <w:p w14:paraId="741A7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591C9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jc w:val="center"/>
              </w:trPr>
              <w:tc>
                <w:tcPr>
                  <w:tcW w:w="704" w:type="dxa"/>
                  <w:tcBorders>
                    <w:tl2br w:val="nil"/>
                    <w:tr2bl w:val="nil"/>
                  </w:tcBorders>
                  <w:noWrap w:val="0"/>
                  <w:tcMar>
                    <w:left w:w="0" w:type="dxa"/>
                    <w:right w:w="0" w:type="dxa"/>
                  </w:tcMar>
                  <w:vAlign w:val="center"/>
                </w:tcPr>
                <w:p w14:paraId="3E98D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含油污泥</w:t>
                  </w:r>
                </w:p>
              </w:tc>
              <w:tc>
                <w:tcPr>
                  <w:tcW w:w="852" w:type="dxa"/>
                  <w:tcBorders>
                    <w:tl2br w:val="nil"/>
                    <w:tr2bl w:val="nil"/>
                  </w:tcBorders>
                  <w:noWrap w:val="0"/>
                  <w:tcMar>
                    <w:left w:w="0" w:type="dxa"/>
                    <w:right w:w="0" w:type="dxa"/>
                  </w:tcMar>
                  <w:vAlign w:val="center"/>
                </w:tcPr>
                <w:p w14:paraId="33823B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HW08</w:t>
                  </w:r>
                </w:p>
              </w:tc>
              <w:tc>
                <w:tcPr>
                  <w:tcW w:w="1122" w:type="dxa"/>
                  <w:tcBorders>
                    <w:tl2br w:val="nil"/>
                    <w:tr2bl w:val="nil"/>
                  </w:tcBorders>
                  <w:noWrap w:val="0"/>
                  <w:tcMar>
                    <w:left w:w="0" w:type="dxa"/>
                    <w:right w:w="0" w:type="dxa"/>
                  </w:tcMar>
                  <w:vAlign w:val="center"/>
                </w:tcPr>
                <w:p w14:paraId="7F56C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900-210-08</w:t>
                  </w:r>
                </w:p>
              </w:tc>
              <w:tc>
                <w:tcPr>
                  <w:tcW w:w="959" w:type="dxa"/>
                  <w:tcBorders>
                    <w:tl2br w:val="nil"/>
                    <w:tr2bl w:val="nil"/>
                  </w:tcBorders>
                  <w:noWrap w:val="0"/>
                  <w:tcMar>
                    <w:left w:w="0" w:type="dxa"/>
                    <w:right w:w="0" w:type="dxa"/>
                  </w:tcMar>
                  <w:vAlign w:val="center"/>
                </w:tcPr>
                <w:p w14:paraId="2E19F4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7.5874</w:t>
                  </w:r>
                </w:p>
              </w:tc>
              <w:tc>
                <w:tcPr>
                  <w:tcW w:w="839" w:type="dxa"/>
                  <w:tcBorders>
                    <w:tl2br w:val="nil"/>
                    <w:tr2bl w:val="nil"/>
                  </w:tcBorders>
                  <w:noWrap w:val="0"/>
                  <w:tcMar>
                    <w:left w:w="0" w:type="dxa"/>
                    <w:right w:w="0" w:type="dxa"/>
                  </w:tcMar>
                  <w:vAlign w:val="center"/>
                </w:tcPr>
                <w:p w14:paraId="5CBED1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1.5197</w:t>
                  </w:r>
                </w:p>
              </w:tc>
              <w:tc>
                <w:tcPr>
                  <w:tcW w:w="2149" w:type="dxa"/>
                  <w:tcBorders>
                    <w:tl2br w:val="nil"/>
                    <w:tr2bl w:val="nil"/>
                  </w:tcBorders>
                  <w:noWrap w:val="0"/>
                  <w:tcMar>
                    <w:left w:w="0" w:type="dxa"/>
                    <w:right w:w="0" w:type="dxa"/>
                  </w:tcMar>
                  <w:vAlign w:val="center"/>
                </w:tcPr>
                <w:p w14:paraId="7D4F2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危废暂存库，袋装</w:t>
                  </w:r>
                </w:p>
              </w:tc>
              <w:tc>
                <w:tcPr>
                  <w:tcW w:w="706" w:type="dxa"/>
                  <w:tcBorders>
                    <w:tl2br w:val="nil"/>
                    <w:tr2bl w:val="nil"/>
                  </w:tcBorders>
                  <w:noWrap w:val="0"/>
                  <w:tcMar>
                    <w:left w:w="0" w:type="dxa"/>
                    <w:right w:w="0" w:type="dxa"/>
                  </w:tcMar>
                  <w:vAlign w:val="center"/>
                </w:tcPr>
                <w:p w14:paraId="50E9E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3个月</w:t>
                  </w:r>
                </w:p>
              </w:tc>
              <w:tc>
                <w:tcPr>
                  <w:tcW w:w="705" w:type="dxa"/>
                  <w:vMerge w:val="continue"/>
                  <w:tcBorders>
                    <w:tl2br w:val="nil"/>
                    <w:tr2bl w:val="nil"/>
                  </w:tcBorders>
                  <w:noWrap w:val="0"/>
                  <w:tcMar>
                    <w:left w:w="0" w:type="dxa"/>
                    <w:right w:w="0" w:type="dxa"/>
                  </w:tcMar>
                  <w:vAlign w:val="center"/>
                </w:tcPr>
                <w:p w14:paraId="5C42C2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32873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704" w:type="dxa"/>
                  <w:tcBorders>
                    <w:tl2br w:val="nil"/>
                    <w:tr2bl w:val="nil"/>
                  </w:tcBorders>
                  <w:noWrap w:val="0"/>
                  <w:tcMar>
                    <w:left w:w="0" w:type="dxa"/>
                    <w:right w:w="0" w:type="dxa"/>
                  </w:tcMar>
                  <w:vAlign w:val="center"/>
                </w:tcPr>
                <w:p w14:paraId="2FA3C1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废活性炭过滤棉</w:t>
                  </w:r>
                </w:p>
              </w:tc>
              <w:tc>
                <w:tcPr>
                  <w:tcW w:w="852" w:type="dxa"/>
                  <w:tcBorders>
                    <w:tl2br w:val="nil"/>
                    <w:tr2bl w:val="nil"/>
                  </w:tcBorders>
                  <w:noWrap w:val="0"/>
                  <w:tcMar>
                    <w:left w:w="0" w:type="dxa"/>
                    <w:right w:w="0" w:type="dxa"/>
                  </w:tcMar>
                  <w:vAlign w:val="center"/>
                </w:tcPr>
                <w:p w14:paraId="1A66E6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HW49</w:t>
                  </w:r>
                </w:p>
              </w:tc>
              <w:tc>
                <w:tcPr>
                  <w:tcW w:w="1122" w:type="dxa"/>
                  <w:tcBorders>
                    <w:tl2br w:val="nil"/>
                    <w:tr2bl w:val="nil"/>
                  </w:tcBorders>
                  <w:noWrap w:val="0"/>
                  <w:tcMar>
                    <w:left w:w="0" w:type="dxa"/>
                    <w:right w:w="0" w:type="dxa"/>
                  </w:tcMar>
                  <w:vAlign w:val="center"/>
                </w:tcPr>
                <w:p w14:paraId="13C8F1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900-041-49</w:t>
                  </w:r>
                </w:p>
              </w:tc>
              <w:tc>
                <w:tcPr>
                  <w:tcW w:w="959" w:type="dxa"/>
                  <w:tcBorders>
                    <w:tl2br w:val="nil"/>
                    <w:tr2bl w:val="nil"/>
                  </w:tcBorders>
                  <w:noWrap w:val="0"/>
                  <w:tcMar>
                    <w:left w:w="0" w:type="dxa"/>
                    <w:right w:w="0" w:type="dxa"/>
                  </w:tcMar>
                  <w:vAlign w:val="center"/>
                </w:tcPr>
                <w:p w14:paraId="3EAE2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0.0007</w:t>
                  </w:r>
                </w:p>
              </w:tc>
              <w:tc>
                <w:tcPr>
                  <w:tcW w:w="839" w:type="dxa"/>
                  <w:tcBorders>
                    <w:tl2br w:val="nil"/>
                    <w:tr2bl w:val="nil"/>
                  </w:tcBorders>
                  <w:noWrap w:val="0"/>
                  <w:tcMar>
                    <w:left w:w="0" w:type="dxa"/>
                    <w:right w:w="0" w:type="dxa"/>
                  </w:tcMar>
                  <w:vAlign w:val="center"/>
                </w:tcPr>
                <w:p w14:paraId="068751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0.0007</w:t>
                  </w:r>
                </w:p>
              </w:tc>
              <w:tc>
                <w:tcPr>
                  <w:tcW w:w="2149" w:type="dxa"/>
                  <w:tcBorders>
                    <w:tl2br w:val="nil"/>
                    <w:tr2bl w:val="nil"/>
                  </w:tcBorders>
                  <w:noWrap w:val="0"/>
                  <w:tcMar>
                    <w:left w:w="0" w:type="dxa"/>
                    <w:right w:w="0" w:type="dxa"/>
                  </w:tcMar>
                  <w:vAlign w:val="center"/>
                </w:tcPr>
                <w:p w14:paraId="1E8C6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危废暂存库，袋装</w:t>
                  </w:r>
                </w:p>
              </w:tc>
              <w:tc>
                <w:tcPr>
                  <w:tcW w:w="706" w:type="dxa"/>
                  <w:tcBorders>
                    <w:tl2br w:val="nil"/>
                    <w:tr2bl w:val="nil"/>
                  </w:tcBorders>
                  <w:noWrap w:val="0"/>
                  <w:tcMar>
                    <w:left w:w="0" w:type="dxa"/>
                    <w:right w:w="0" w:type="dxa"/>
                  </w:tcMar>
                  <w:vAlign w:val="center"/>
                </w:tcPr>
                <w:p w14:paraId="28AA00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rPr>
                  </w:pPr>
                  <w:r>
                    <w:rPr>
                      <w:rFonts w:hint="default" w:ascii="Times New Roman" w:hAnsi="Times New Roman" w:eastAsia="宋体" w:cs="Times New Roman"/>
                      <w:caps w:val="0"/>
                      <w:color w:val="auto"/>
                      <w:kern w:val="0"/>
                      <w:sz w:val="21"/>
                      <w:szCs w:val="21"/>
                      <w:highlight w:val="none"/>
                      <w:u w:val="none" w:color="auto"/>
                    </w:rPr>
                    <w:t>3个月</w:t>
                  </w:r>
                </w:p>
              </w:tc>
              <w:tc>
                <w:tcPr>
                  <w:tcW w:w="705" w:type="dxa"/>
                  <w:vMerge w:val="continue"/>
                  <w:tcBorders>
                    <w:tl2br w:val="nil"/>
                    <w:tr2bl w:val="nil"/>
                  </w:tcBorders>
                  <w:noWrap w:val="0"/>
                  <w:tcMar>
                    <w:left w:w="0" w:type="dxa"/>
                    <w:right w:w="0" w:type="dxa"/>
                  </w:tcMar>
                  <w:vAlign w:val="center"/>
                </w:tcPr>
                <w:p w14:paraId="6A2D5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aps w:val="0"/>
                      <w:color w:val="auto"/>
                      <w:kern w:val="0"/>
                      <w:sz w:val="21"/>
                      <w:szCs w:val="21"/>
                      <w:highlight w:val="none"/>
                      <w:u w:val="none" w:color="auto"/>
                    </w:rPr>
                  </w:pPr>
                </w:p>
              </w:tc>
            </w:tr>
            <w:tr w14:paraId="0CACB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704" w:type="dxa"/>
                  <w:tcBorders>
                    <w:tl2br w:val="nil"/>
                    <w:tr2bl w:val="nil"/>
                  </w:tcBorders>
                  <w:noWrap w:val="0"/>
                  <w:tcMar>
                    <w:left w:w="0" w:type="dxa"/>
                    <w:right w:w="0" w:type="dxa"/>
                  </w:tcMar>
                  <w:vAlign w:val="center"/>
                </w:tcPr>
                <w:p w14:paraId="3F796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合计</w:t>
                  </w:r>
                </w:p>
              </w:tc>
              <w:tc>
                <w:tcPr>
                  <w:tcW w:w="852" w:type="dxa"/>
                  <w:tcBorders>
                    <w:tl2br w:val="nil"/>
                    <w:tr2bl w:val="nil"/>
                  </w:tcBorders>
                  <w:noWrap w:val="0"/>
                  <w:tcMar>
                    <w:left w:w="0" w:type="dxa"/>
                    <w:right w:w="0" w:type="dxa"/>
                  </w:tcMar>
                  <w:vAlign w:val="center"/>
                </w:tcPr>
                <w:p w14:paraId="3D9337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w:t>
                  </w:r>
                </w:p>
              </w:tc>
              <w:tc>
                <w:tcPr>
                  <w:tcW w:w="1122" w:type="dxa"/>
                  <w:tcBorders>
                    <w:tl2br w:val="nil"/>
                    <w:tr2bl w:val="nil"/>
                  </w:tcBorders>
                  <w:noWrap w:val="0"/>
                  <w:tcMar>
                    <w:left w:w="0" w:type="dxa"/>
                    <w:right w:w="0" w:type="dxa"/>
                  </w:tcMar>
                  <w:vAlign w:val="center"/>
                </w:tcPr>
                <w:p w14:paraId="5B5F97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w:t>
                  </w:r>
                </w:p>
              </w:tc>
              <w:tc>
                <w:tcPr>
                  <w:tcW w:w="959" w:type="dxa"/>
                  <w:tcBorders>
                    <w:tl2br w:val="nil"/>
                    <w:tr2bl w:val="nil"/>
                  </w:tcBorders>
                  <w:noWrap w:val="0"/>
                  <w:tcMar>
                    <w:left w:w="0" w:type="dxa"/>
                    <w:right w:w="0" w:type="dxa"/>
                  </w:tcMar>
                  <w:vAlign w:val="center"/>
                </w:tcPr>
                <w:p w14:paraId="084932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62.0225</w:t>
                  </w:r>
                </w:p>
              </w:tc>
              <w:tc>
                <w:tcPr>
                  <w:tcW w:w="839" w:type="dxa"/>
                  <w:tcBorders>
                    <w:tl2br w:val="nil"/>
                    <w:tr2bl w:val="nil"/>
                  </w:tcBorders>
                  <w:noWrap w:val="0"/>
                  <w:tcMar>
                    <w:left w:w="0" w:type="dxa"/>
                    <w:right w:w="0" w:type="dxa"/>
                  </w:tcMar>
                  <w:vAlign w:val="center"/>
                </w:tcPr>
                <w:p w14:paraId="322D6E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16.2621</w:t>
                  </w:r>
                </w:p>
              </w:tc>
              <w:tc>
                <w:tcPr>
                  <w:tcW w:w="2149" w:type="dxa"/>
                  <w:tcBorders>
                    <w:tl2br w:val="nil"/>
                    <w:tr2bl w:val="nil"/>
                  </w:tcBorders>
                  <w:noWrap w:val="0"/>
                  <w:tcMar>
                    <w:left w:w="0" w:type="dxa"/>
                    <w:right w:w="0" w:type="dxa"/>
                  </w:tcMar>
                  <w:vAlign w:val="center"/>
                </w:tcPr>
                <w:p w14:paraId="776A5E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w:t>
                  </w:r>
                </w:p>
              </w:tc>
              <w:tc>
                <w:tcPr>
                  <w:tcW w:w="706" w:type="dxa"/>
                  <w:tcBorders>
                    <w:tl2br w:val="nil"/>
                    <w:tr2bl w:val="nil"/>
                  </w:tcBorders>
                  <w:noWrap w:val="0"/>
                  <w:tcMar>
                    <w:left w:w="0" w:type="dxa"/>
                    <w:right w:w="0" w:type="dxa"/>
                  </w:tcMar>
                  <w:vAlign w:val="center"/>
                </w:tcPr>
                <w:p w14:paraId="67A5F7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w:t>
                  </w:r>
                </w:p>
              </w:tc>
              <w:tc>
                <w:tcPr>
                  <w:tcW w:w="705" w:type="dxa"/>
                  <w:tcBorders>
                    <w:tl2br w:val="nil"/>
                    <w:tr2bl w:val="nil"/>
                  </w:tcBorders>
                  <w:noWrap w:val="0"/>
                  <w:tcMar>
                    <w:left w:w="0" w:type="dxa"/>
                    <w:right w:w="0" w:type="dxa"/>
                  </w:tcMar>
                  <w:vAlign w:val="center"/>
                </w:tcPr>
                <w:p w14:paraId="04F2F5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kern w:val="0"/>
                      <w:sz w:val="21"/>
                      <w:szCs w:val="21"/>
                      <w:highlight w:val="none"/>
                      <w:u w:val="none" w:color="auto"/>
                      <w:lang w:val="en-US" w:eastAsia="zh-CN"/>
                    </w:rPr>
                  </w:pPr>
                  <w:r>
                    <w:rPr>
                      <w:rFonts w:hint="default" w:ascii="Times New Roman" w:hAnsi="Times New Roman" w:eastAsia="宋体" w:cs="Times New Roman"/>
                      <w:caps w:val="0"/>
                      <w:color w:val="auto"/>
                      <w:kern w:val="0"/>
                      <w:sz w:val="21"/>
                      <w:szCs w:val="21"/>
                      <w:highlight w:val="none"/>
                      <w:u w:val="none" w:color="auto"/>
                      <w:lang w:val="en-US" w:eastAsia="zh-CN"/>
                    </w:rPr>
                    <w:t>/</w:t>
                  </w:r>
                </w:p>
              </w:tc>
            </w:tr>
          </w:tbl>
          <w:p w14:paraId="2C96F1CB">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lang w:eastAsia="zh-CN"/>
              </w:rPr>
            </w:pPr>
            <w:r>
              <w:rPr>
                <w:rFonts w:hint="eastAsia" w:ascii="Times New Roman" w:hAnsi="Times New Roman" w:eastAsia="宋体" w:cs="Times New Roman"/>
                <w:b/>
                <w:bCs/>
                <w:color w:val="auto"/>
                <w:sz w:val="24"/>
                <w:szCs w:val="24"/>
                <w:highlight w:val="none"/>
                <w:u w:val="none" w:color="auto"/>
                <w:lang w:eastAsia="zh-CN"/>
              </w:rPr>
              <w:t>（</w:t>
            </w:r>
            <w:r>
              <w:rPr>
                <w:rFonts w:hint="eastAsia" w:ascii="Times New Roman" w:hAnsi="Times New Roman" w:eastAsia="宋体" w:cs="Times New Roman"/>
                <w:b/>
                <w:bCs/>
                <w:color w:val="auto"/>
                <w:sz w:val="24"/>
                <w:szCs w:val="24"/>
                <w:highlight w:val="none"/>
                <w:u w:val="none" w:color="auto"/>
                <w:lang w:val="en-US" w:eastAsia="zh-CN"/>
              </w:rPr>
              <w:t>5</w:t>
            </w:r>
            <w:r>
              <w:rPr>
                <w:rFonts w:hint="eastAsia" w:ascii="Times New Roman" w:hAnsi="Times New Roman" w:eastAsia="宋体" w:cs="Times New Roman"/>
                <w:b/>
                <w:bCs/>
                <w:color w:val="auto"/>
                <w:sz w:val="24"/>
                <w:szCs w:val="24"/>
                <w:highlight w:val="none"/>
                <w:u w:val="none" w:color="auto"/>
                <w:lang w:eastAsia="zh-CN"/>
              </w:rPr>
              <w:t>）</w:t>
            </w:r>
            <w:r>
              <w:rPr>
                <w:rFonts w:hint="default" w:ascii="Times New Roman" w:hAnsi="Times New Roman" w:eastAsia="宋体" w:cs="Times New Roman"/>
                <w:b/>
                <w:bCs/>
                <w:color w:val="auto"/>
                <w:sz w:val="24"/>
                <w:szCs w:val="24"/>
                <w:highlight w:val="none"/>
                <w:u w:val="none" w:color="auto"/>
                <w:lang w:eastAsia="zh-CN"/>
              </w:rPr>
              <w:t>地下水环境影响调查结论</w:t>
            </w:r>
          </w:p>
          <w:p w14:paraId="2B09B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color="auto"/>
                <w:lang w:val="en-US" w:eastAsia="zh-CN"/>
              </w:rPr>
            </w:pPr>
            <w:r>
              <w:rPr>
                <w:rFonts w:hint="default" w:ascii="Times New Roman" w:hAnsi="Times New Roman" w:eastAsia="宋体" w:cs="Times New Roman"/>
                <w:snapToGrid/>
                <w:color w:val="auto"/>
                <w:kern w:val="2"/>
                <w:sz w:val="24"/>
                <w:szCs w:val="24"/>
                <w:highlight w:val="none"/>
                <w:u w:val="none" w:color="auto"/>
                <w:lang w:val="en-US" w:eastAsia="zh-CN"/>
              </w:rPr>
              <w:t>项目验收调查范围内无地下水饮用水源地、取水井等地下水环境保护目标</w:t>
            </w:r>
            <w:r>
              <w:rPr>
                <w:rFonts w:hint="eastAsia" w:ascii="Times New Roman" w:hAnsi="Times New Roman" w:eastAsia="宋体" w:cs="Times New Roman"/>
                <w:snapToGrid/>
                <w:color w:val="auto"/>
                <w:kern w:val="2"/>
                <w:sz w:val="24"/>
                <w:szCs w:val="24"/>
                <w:highlight w:val="none"/>
                <w:u w:val="none" w:color="auto"/>
                <w:lang w:val="en-US" w:eastAsia="zh-CN"/>
              </w:rPr>
              <w:t>。</w:t>
            </w:r>
            <w:r>
              <w:rPr>
                <w:rFonts w:hint="default" w:ascii="Times New Roman" w:hAnsi="Times New Roman" w:eastAsia="宋体" w:cs="Times New Roman"/>
                <w:snapToGrid/>
                <w:color w:val="auto"/>
                <w:kern w:val="2"/>
                <w:sz w:val="24"/>
                <w:szCs w:val="24"/>
                <w:highlight w:val="none"/>
                <w:u w:val="none" w:color="auto"/>
                <w:lang w:val="en-US" w:eastAsia="zh-CN"/>
              </w:rPr>
              <w:t>项目的普货拆装箱场、含油污水处理站、危险货物集装箱堆场、危废站</w:t>
            </w:r>
            <w:r>
              <w:rPr>
                <w:rFonts w:hint="default" w:ascii="Times New Roman" w:hAnsi="Times New Roman" w:eastAsia="宋体" w:cs="Times New Roman"/>
                <w:color w:val="auto"/>
                <w:spacing w:val="2"/>
                <w:sz w:val="24"/>
                <w:szCs w:val="24"/>
                <w:highlight w:val="none"/>
                <w:u w:val="none" w:color="auto"/>
              </w:rPr>
              <w:t>存库均采取</w:t>
            </w:r>
            <w:r>
              <w:rPr>
                <w:rFonts w:hint="default" w:ascii="Times New Roman" w:hAnsi="Times New Roman" w:eastAsia="宋体" w:cs="Times New Roman"/>
                <w:color w:val="auto"/>
                <w:spacing w:val="-2"/>
                <w:sz w:val="24"/>
                <w:szCs w:val="24"/>
                <w:highlight w:val="none"/>
                <w:u w:val="none" w:color="auto"/>
              </w:rPr>
              <w:t>了防渗措施，防渗措施达到等效黏土防渗层Mb≥1.5m，K≤1×10</w:t>
            </w:r>
            <w:r>
              <w:rPr>
                <w:rFonts w:hint="default" w:ascii="Times New Roman" w:hAnsi="Times New Roman" w:eastAsia="宋体" w:cs="Times New Roman"/>
                <w:color w:val="auto"/>
                <w:spacing w:val="-2"/>
                <w:position w:val="8"/>
                <w:sz w:val="15"/>
                <w:szCs w:val="15"/>
                <w:highlight w:val="none"/>
                <w:u w:val="none" w:color="auto"/>
              </w:rPr>
              <w:t>-7</w:t>
            </w:r>
            <w:r>
              <w:rPr>
                <w:rFonts w:hint="default" w:ascii="Times New Roman" w:hAnsi="Times New Roman" w:eastAsia="宋体" w:cs="Times New Roman"/>
                <w:color w:val="auto"/>
                <w:spacing w:val="-2"/>
                <w:sz w:val="24"/>
                <w:szCs w:val="24"/>
                <w:highlight w:val="none"/>
                <w:u w:val="none" w:color="auto"/>
              </w:rPr>
              <w:t>cm/s</w:t>
            </w:r>
            <w:r>
              <w:rPr>
                <w:rFonts w:hint="default" w:ascii="Times New Roman" w:hAnsi="Times New Roman" w:eastAsia="宋体" w:cs="Times New Roman"/>
                <w:snapToGrid/>
                <w:color w:val="auto"/>
                <w:kern w:val="2"/>
                <w:sz w:val="24"/>
                <w:szCs w:val="24"/>
                <w:highlight w:val="none"/>
                <w:u w:val="none" w:color="auto"/>
                <w:lang w:val="en-US" w:eastAsia="zh-CN" w:bidi="ar-SA"/>
              </w:rPr>
              <w:t>的要求。</w:t>
            </w:r>
            <w:r>
              <w:rPr>
                <w:rFonts w:hint="default" w:ascii="Times New Roman" w:hAnsi="Times New Roman" w:eastAsia="宋体" w:cs="Times New Roman"/>
                <w:snapToGrid/>
                <w:color w:val="auto"/>
                <w:kern w:val="2"/>
                <w:sz w:val="24"/>
                <w:szCs w:val="24"/>
                <w:highlight w:val="none"/>
                <w:u w:val="none" w:color="auto"/>
                <w:lang w:val="en-US" w:eastAsia="zh-CN"/>
              </w:rPr>
              <w:t>营运期码头生产废水处理达标后回用，生活污水接入大榄坪污水处理厂处理达标外排；危险品堆场已设置应急池和独立排水系统，可将</w:t>
            </w:r>
            <w:r>
              <w:rPr>
                <w:rFonts w:hint="eastAsia" w:ascii="Times New Roman" w:hAnsi="Times New Roman" w:eastAsia="宋体" w:cs="Times New Roman"/>
                <w:snapToGrid/>
                <w:color w:val="auto"/>
                <w:kern w:val="2"/>
                <w:sz w:val="24"/>
                <w:szCs w:val="24"/>
                <w:highlight w:val="none"/>
                <w:u w:val="none" w:color="auto"/>
                <w:lang w:val="en-US" w:eastAsia="zh-CN"/>
              </w:rPr>
              <w:t>事故状态下</w:t>
            </w:r>
            <w:r>
              <w:rPr>
                <w:rFonts w:hint="default" w:ascii="Times New Roman" w:hAnsi="Times New Roman" w:eastAsia="宋体" w:cs="Times New Roman"/>
                <w:snapToGrid/>
                <w:color w:val="auto"/>
                <w:kern w:val="2"/>
                <w:sz w:val="24"/>
                <w:szCs w:val="24"/>
                <w:highlight w:val="none"/>
                <w:u w:val="none" w:color="auto"/>
                <w:lang w:val="en-US" w:eastAsia="zh-CN"/>
              </w:rPr>
              <w:t>泄漏的物料或冲洗水收集至集污池后单独处理，堆场及相关设施已按要求做好防渗处理，一般情况下，港区污水能够</w:t>
            </w:r>
            <w:r>
              <w:rPr>
                <w:rFonts w:hint="eastAsia" w:ascii="Times New Roman" w:hAnsi="Times New Roman" w:eastAsia="宋体" w:cs="Times New Roman"/>
                <w:snapToGrid/>
                <w:color w:val="auto"/>
                <w:kern w:val="2"/>
                <w:sz w:val="24"/>
                <w:szCs w:val="24"/>
                <w:highlight w:val="none"/>
                <w:u w:val="none" w:color="auto"/>
                <w:lang w:val="en-US" w:eastAsia="zh-CN"/>
              </w:rPr>
              <w:t>得到有效的</w:t>
            </w:r>
            <w:r>
              <w:rPr>
                <w:rFonts w:hint="default" w:ascii="Times New Roman" w:hAnsi="Times New Roman" w:eastAsia="宋体" w:cs="Times New Roman"/>
                <w:snapToGrid/>
                <w:color w:val="auto"/>
                <w:kern w:val="2"/>
                <w:sz w:val="24"/>
                <w:szCs w:val="24"/>
                <w:highlight w:val="none"/>
                <w:u w:val="none" w:color="auto"/>
                <w:lang w:val="en-US" w:eastAsia="zh-CN"/>
              </w:rPr>
              <w:t>收集处理，不会渗漏对地下水造成污染。</w:t>
            </w:r>
          </w:p>
          <w:p w14:paraId="2A786C50">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u w:val="none" w:color="auto"/>
                <w:lang w:eastAsia="zh-CN"/>
              </w:rPr>
            </w:pPr>
            <w:r>
              <w:rPr>
                <w:rFonts w:hint="eastAsia" w:ascii="Times New Roman" w:hAnsi="Times New Roman" w:eastAsia="宋体" w:cs="Times New Roman"/>
                <w:b/>
                <w:bCs/>
                <w:color w:val="auto"/>
                <w:sz w:val="24"/>
                <w:szCs w:val="24"/>
                <w:highlight w:val="none"/>
                <w:u w:val="none" w:color="auto"/>
                <w:lang w:eastAsia="zh-CN"/>
              </w:rPr>
              <w:t>（</w:t>
            </w:r>
            <w:r>
              <w:rPr>
                <w:rFonts w:hint="eastAsia" w:ascii="Times New Roman" w:hAnsi="Times New Roman" w:eastAsia="宋体" w:cs="Times New Roman"/>
                <w:b/>
                <w:bCs/>
                <w:color w:val="auto"/>
                <w:sz w:val="24"/>
                <w:szCs w:val="24"/>
                <w:highlight w:val="none"/>
                <w:u w:val="none" w:color="auto"/>
                <w:lang w:val="en-US" w:eastAsia="zh-CN"/>
              </w:rPr>
              <w:t>6</w:t>
            </w:r>
            <w:r>
              <w:rPr>
                <w:rFonts w:hint="eastAsia" w:ascii="Times New Roman" w:hAnsi="Times New Roman" w:eastAsia="宋体" w:cs="Times New Roman"/>
                <w:b/>
                <w:bCs/>
                <w:color w:val="auto"/>
                <w:sz w:val="24"/>
                <w:szCs w:val="24"/>
                <w:highlight w:val="none"/>
                <w:u w:val="none" w:color="auto"/>
                <w:lang w:eastAsia="zh-CN"/>
              </w:rPr>
              <w:t>）</w:t>
            </w:r>
            <w:r>
              <w:rPr>
                <w:rFonts w:hint="default" w:ascii="Times New Roman" w:hAnsi="Times New Roman" w:eastAsia="宋体" w:cs="Times New Roman"/>
                <w:b/>
                <w:bCs/>
                <w:color w:val="auto"/>
                <w:sz w:val="24"/>
                <w:szCs w:val="24"/>
                <w:highlight w:val="none"/>
                <w:u w:val="none" w:color="auto"/>
                <w:lang w:eastAsia="zh-CN"/>
              </w:rPr>
              <w:t>环境风险防范设施及应急措施结论</w:t>
            </w:r>
          </w:p>
          <w:p w14:paraId="74CFD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none" w:color="auto"/>
                <w:lang w:val="en-US" w:eastAsia="zh-CN"/>
              </w:rPr>
            </w:pPr>
            <w:r>
              <w:rPr>
                <w:rFonts w:hint="default" w:ascii="Times New Roman" w:hAnsi="Times New Roman" w:eastAsia="宋体" w:cs="Times New Roman"/>
                <w:snapToGrid/>
                <w:color w:val="auto"/>
                <w:kern w:val="2"/>
                <w:sz w:val="24"/>
                <w:szCs w:val="24"/>
                <w:highlight w:val="none"/>
                <w:u w:val="none" w:color="auto"/>
                <w:lang w:val="en-US" w:eastAsia="zh-CN"/>
              </w:rPr>
              <w:t>1~6#泊位运营至今未发生突发环境污染事件。</w:t>
            </w:r>
          </w:p>
          <w:p w14:paraId="1CF160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snapToGrid/>
                <w:color w:val="auto"/>
                <w:kern w:val="2"/>
                <w:sz w:val="24"/>
                <w:szCs w:val="24"/>
                <w:highlight w:val="none"/>
                <w:u w:val="none" w:color="auto"/>
                <w:lang w:val="en-US" w:eastAsia="zh-CN"/>
              </w:rPr>
            </w:pPr>
            <w:r>
              <w:rPr>
                <w:rFonts w:hint="eastAsia" w:ascii="Times New Roman" w:hAnsi="Times New Roman" w:eastAsia="宋体" w:cs="Times New Roman"/>
                <w:snapToGrid/>
                <w:color w:val="auto"/>
                <w:kern w:val="2"/>
                <w:sz w:val="24"/>
                <w:szCs w:val="24"/>
                <w:highlight w:val="none"/>
                <w:u w:val="none" w:color="auto"/>
                <w:lang w:val="en-US" w:eastAsia="zh-CN"/>
              </w:rPr>
              <w:t>港区</w:t>
            </w:r>
            <w:r>
              <w:rPr>
                <w:rFonts w:hint="default" w:ascii="Times New Roman" w:hAnsi="Times New Roman" w:eastAsia="宋体" w:cs="Times New Roman"/>
                <w:snapToGrid/>
                <w:color w:val="auto"/>
                <w:kern w:val="2"/>
                <w:sz w:val="24"/>
                <w:szCs w:val="24"/>
                <w:highlight w:val="none"/>
                <w:u w:val="none" w:color="auto"/>
                <w:lang w:val="en-US" w:eastAsia="zh-CN"/>
              </w:rPr>
              <w:t>已按国家和自治区有关规定采取了一系列的环境风险防范设施/措施，包括：（1）港区对集装箱作业、堆存（包括危险货物集装箱堆场）设置有监控系统，对现场作业情况进行实时监控；（2）原有危险货物集装箱堆场设置了独立应急处理场地、应急处置池和集污池、独立环形排水沟、雨污水控制阀门；（3）码头前沿作业区每个泊位放置有移动应急收集池，5#泊位后方设有地埋式事故应急池；（4）建设单位编制有运营期突发环境事件应急预案，并配备环境应急物资</w:t>
            </w:r>
            <w:r>
              <w:rPr>
                <w:rFonts w:hint="eastAsia" w:cs="Times New Roman"/>
                <w:snapToGrid/>
                <w:color w:val="auto"/>
                <w:kern w:val="2"/>
                <w:sz w:val="24"/>
                <w:szCs w:val="24"/>
                <w:highlight w:val="none"/>
                <w:u w:val="none" w:color="auto"/>
                <w:lang w:val="en-US" w:eastAsia="zh-CN"/>
              </w:rPr>
              <w:t>；具体如下：</w:t>
            </w:r>
          </w:p>
          <w:p w14:paraId="1EAE08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single" w:color="auto"/>
                <w:lang w:val="en-US" w:eastAsia="zh-CN"/>
              </w:rPr>
            </w:pPr>
            <w:r>
              <w:rPr>
                <w:rFonts w:hint="default" w:ascii="Times New Roman" w:hAnsi="Times New Roman" w:eastAsia="宋体" w:cs="Times New Roman"/>
                <w:snapToGrid/>
                <w:color w:val="auto"/>
                <w:kern w:val="2"/>
                <w:sz w:val="24"/>
                <w:szCs w:val="24"/>
                <w:highlight w:val="none"/>
                <w:u w:val="single" w:color="auto"/>
                <w:lang w:val="en-US" w:eastAsia="zh-CN"/>
              </w:rPr>
              <w:t>①环境应急物资</w:t>
            </w:r>
            <w:r>
              <w:rPr>
                <w:rFonts w:hint="eastAsia" w:cs="Times New Roman"/>
                <w:snapToGrid/>
                <w:color w:val="auto"/>
                <w:kern w:val="2"/>
                <w:sz w:val="24"/>
                <w:szCs w:val="24"/>
                <w:highlight w:val="none"/>
                <w:u w:val="single" w:color="auto"/>
                <w:lang w:val="en-US" w:eastAsia="zh-CN"/>
              </w:rPr>
              <w:t>：</w:t>
            </w:r>
            <w:r>
              <w:rPr>
                <w:rFonts w:hint="eastAsia" w:ascii="Times New Roman" w:hAnsi="Times New Roman" w:eastAsia="宋体" w:cs="Times New Roman"/>
                <w:snapToGrid/>
                <w:color w:val="auto"/>
                <w:kern w:val="2"/>
                <w:sz w:val="24"/>
                <w:szCs w:val="24"/>
                <w:highlight w:val="none"/>
                <w:u w:val="single" w:color="auto"/>
                <w:lang w:val="en-US" w:eastAsia="zh-CN"/>
              </w:rPr>
              <w:t>在公司各仓库内、大型机械设备上都配备有灭火器，在仓库、各主干道设置消防栓，配备消防水带、水枪，在危险货物堆场及仓库周围配置各种灭火器和一定数量的防护装备。码头建设2处环保应急物资备品库，应急物资包括围油栏、吸油毡、消油剂、收油机等，确保及时收集港区发生事故后的污染物</w:t>
            </w:r>
            <w:r>
              <w:rPr>
                <w:rFonts w:hint="default" w:ascii="Times New Roman" w:hAnsi="Times New Roman" w:eastAsia="宋体" w:cs="Times New Roman"/>
                <w:snapToGrid/>
                <w:color w:val="auto"/>
                <w:kern w:val="2"/>
                <w:sz w:val="24"/>
                <w:szCs w:val="24"/>
                <w:highlight w:val="none"/>
                <w:u w:val="single" w:color="auto"/>
                <w:lang w:val="en-US" w:eastAsia="zh-CN"/>
              </w:rPr>
              <w:t>。</w:t>
            </w:r>
            <w:r>
              <w:rPr>
                <w:rFonts w:hint="eastAsia" w:ascii="Times New Roman" w:hAnsi="Times New Roman" w:eastAsia="宋体" w:cs="Times New Roman"/>
                <w:snapToGrid/>
                <w:color w:val="auto"/>
                <w:kern w:val="2"/>
                <w:sz w:val="24"/>
                <w:szCs w:val="24"/>
                <w:highlight w:val="none"/>
                <w:u w:val="single" w:color="auto"/>
                <w:lang w:val="en-US" w:eastAsia="zh-CN"/>
              </w:rPr>
              <w:t>同时还</w:t>
            </w:r>
            <w:r>
              <w:rPr>
                <w:rFonts w:hint="default" w:ascii="Times New Roman" w:hAnsi="Times New Roman" w:eastAsia="宋体" w:cs="Times New Roman"/>
                <w:snapToGrid/>
                <w:color w:val="auto"/>
                <w:kern w:val="2"/>
                <w:sz w:val="24"/>
                <w:szCs w:val="24"/>
                <w:highlight w:val="none"/>
                <w:u w:val="single" w:color="auto"/>
                <w:lang w:val="en-US" w:eastAsia="zh-CN"/>
              </w:rPr>
              <w:t>组建了应急队伍</w:t>
            </w:r>
            <w:r>
              <w:rPr>
                <w:rFonts w:hint="eastAsia" w:ascii="Times New Roman" w:hAnsi="Times New Roman" w:eastAsia="宋体" w:cs="Times New Roman"/>
                <w:snapToGrid/>
                <w:color w:val="auto"/>
                <w:kern w:val="2"/>
                <w:sz w:val="24"/>
                <w:szCs w:val="24"/>
                <w:highlight w:val="none"/>
                <w:u w:val="single" w:color="auto"/>
                <w:lang w:val="en-US" w:eastAsia="zh-CN"/>
              </w:rPr>
              <w:t>，设立突发环境应急组织体系，由应急指挥部、应急领导小组办公室、应急专家组、现场应急工作组组成。现场应急工作组下设抢险救援组、警戒疏散组、后勤保障组、通讯联络组、善后工作组、应急监测组。</w:t>
            </w:r>
          </w:p>
          <w:p w14:paraId="25FBFD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color w:val="auto"/>
                <w:kern w:val="2"/>
                <w:sz w:val="24"/>
                <w:szCs w:val="24"/>
                <w:highlight w:val="none"/>
                <w:u w:val="single" w:color="auto"/>
                <w:lang w:val="en-US" w:eastAsia="zh-CN"/>
              </w:rPr>
            </w:pPr>
            <w:r>
              <w:rPr>
                <w:rFonts w:hint="default" w:ascii="Times New Roman" w:hAnsi="Times New Roman" w:eastAsia="宋体" w:cs="Times New Roman"/>
                <w:snapToGrid/>
                <w:color w:val="auto"/>
                <w:kern w:val="2"/>
                <w:sz w:val="24"/>
                <w:szCs w:val="24"/>
                <w:highlight w:val="none"/>
                <w:u w:val="single" w:color="auto"/>
                <w:lang w:val="en-US" w:eastAsia="zh-CN"/>
              </w:rPr>
              <w:t>②应急预案</w:t>
            </w:r>
            <w:r>
              <w:rPr>
                <w:rFonts w:hint="eastAsia" w:cs="Times New Roman"/>
                <w:snapToGrid/>
                <w:color w:val="auto"/>
                <w:kern w:val="2"/>
                <w:sz w:val="24"/>
                <w:szCs w:val="24"/>
                <w:highlight w:val="none"/>
                <w:u w:val="single" w:color="auto"/>
                <w:lang w:val="en-US" w:eastAsia="zh-CN"/>
              </w:rPr>
              <w:t>：</w:t>
            </w:r>
            <w:r>
              <w:rPr>
                <w:rFonts w:hint="default" w:ascii="Times New Roman" w:hAnsi="Times New Roman" w:eastAsia="宋体" w:cs="Times New Roman"/>
                <w:snapToGrid/>
                <w:color w:val="auto"/>
                <w:kern w:val="2"/>
                <w:sz w:val="24"/>
                <w:szCs w:val="24"/>
                <w:highlight w:val="none"/>
                <w:u w:val="single" w:color="auto"/>
                <w:lang w:val="en-US" w:eastAsia="zh-CN"/>
              </w:rPr>
              <w:t>建设单位按照国家和自治区有关规定要求，对码头原有突发环境事件应急预案进行整合修订，并将项目新增危险货种作业纳入应急预案管理体系，编制完成《广西北部湾国际集装箱码头有限公司突发环境事件应急预案》</w:t>
            </w:r>
            <w:r>
              <w:rPr>
                <w:rFonts w:hint="eastAsia" w:ascii="Times New Roman" w:hAnsi="Times New Roman" w:eastAsia="宋体" w:cs="Times New Roman"/>
                <w:snapToGrid/>
                <w:color w:val="auto"/>
                <w:kern w:val="2"/>
                <w:sz w:val="24"/>
                <w:szCs w:val="24"/>
                <w:highlight w:val="none"/>
                <w:u w:val="single" w:color="auto"/>
                <w:lang w:val="en-US" w:eastAsia="zh-CN"/>
              </w:rPr>
              <w:t>并送往主管部门进行备案，备案号为450702-2024-0130-H</w:t>
            </w:r>
            <w:r>
              <w:rPr>
                <w:rFonts w:hint="default" w:ascii="Times New Roman" w:hAnsi="Times New Roman" w:eastAsia="宋体" w:cs="Times New Roman"/>
                <w:snapToGrid/>
                <w:color w:val="auto"/>
                <w:kern w:val="2"/>
                <w:sz w:val="24"/>
                <w:szCs w:val="24"/>
                <w:highlight w:val="none"/>
                <w:u w:val="single" w:color="auto"/>
                <w:lang w:val="en-US" w:eastAsia="zh-CN"/>
              </w:rPr>
              <w:t>。</w:t>
            </w:r>
          </w:p>
          <w:p w14:paraId="6F0F77C8">
            <w:pPr>
              <w:keepNext w:val="0"/>
              <w:keepLines w:val="0"/>
              <w:suppressLineNumbers w:val="0"/>
              <w:bidi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u w:val="none" w:color="auto"/>
                <w:lang w:eastAsia="zh-CN"/>
              </w:rPr>
            </w:pPr>
            <w:r>
              <w:rPr>
                <w:rFonts w:hint="eastAsia" w:ascii="Times New Roman" w:hAnsi="Times New Roman" w:eastAsia="宋体" w:cs="Times New Roman"/>
                <w:b/>
                <w:bCs/>
                <w:color w:val="auto"/>
                <w:sz w:val="24"/>
                <w:szCs w:val="24"/>
                <w:highlight w:val="none"/>
                <w:u w:val="none" w:color="auto"/>
                <w:lang w:eastAsia="zh-CN"/>
              </w:rPr>
              <w:t>（</w:t>
            </w:r>
            <w:r>
              <w:rPr>
                <w:rFonts w:hint="eastAsia" w:ascii="Times New Roman" w:hAnsi="Times New Roman" w:eastAsia="宋体" w:cs="Times New Roman"/>
                <w:b/>
                <w:bCs/>
                <w:color w:val="auto"/>
                <w:sz w:val="24"/>
                <w:szCs w:val="24"/>
                <w:highlight w:val="none"/>
                <w:u w:val="none" w:color="auto"/>
                <w:lang w:val="en-US" w:eastAsia="zh-CN"/>
              </w:rPr>
              <w:t>7</w:t>
            </w:r>
            <w:r>
              <w:rPr>
                <w:rFonts w:hint="eastAsia" w:ascii="Times New Roman" w:hAnsi="Times New Roman" w:eastAsia="宋体" w:cs="Times New Roman"/>
                <w:b/>
                <w:bCs/>
                <w:color w:val="auto"/>
                <w:sz w:val="24"/>
                <w:szCs w:val="24"/>
                <w:highlight w:val="none"/>
                <w:u w:val="none" w:color="auto"/>
                <w:lang w:eastAsia="zh-CN"/>
              </w:rPr>
              <w:t>）环境保护措施变动核查</w:t>
            </w:r>
          </w:p>
          <w:p w14:paraId="750EED95">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92"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pacing w:val="3"/>
                <w:sz w:val="24"/>
                <w:szCs w:val="24"/>
                <w:highlight w:val="none"/>
                <w:u w:val="none" w:color="auto"/>
              </w:rPr>
              <w:t>项目运营期，码头不接收处理船舶生活污水、船</w:t>
            </w:r>
            <w:r>
              <w:rPr>
                <w:rFonts w:hint="default" w:ascii="Times New Roman" w:hAnsi="Times New Roman" w:eastAsia="宋体" w:cs="Times New Roman"/>
                <w:color w:val="auto"/>
                <w:spacing w:val="2"/>
                <w:sz w:val="24"/>
                <w:szCs w:val="24"/>
                <w:highlight w:val="none"/>
                <w:u w:val="none" w:color="auto"/>
              </w:rPr>
              <w:t>舶压载水、船舶舱底</w:t>
            </w:r>
            <w:r>
              <w:rPr>
                <w:rFonts w:hint="default" w:ascii="Times New Roman" w:hAnsi="Times New Roman" w:eastAsia="宋体" w:cs="Times New Roman"/>
                <w:color w:val="auto"/>
                <w:spacing w:val="-3"/>
                <w:sz w:val="24"/>
                <w:szCs w:val="24"/>
                <w:highlight w:val="none"/>
                <w:u w:val="none" w:color="auto"/>
              </w:rPr>
              <w:t>油污水、船舶生活垃圾，由建设单位委托有资质单位进行接收、转运、处置；</w:t>
            </w:r>
            <w:r>
              <w:rPr>
                <w:rFonts w:hint="default" w:ascii="Times New Roman" w:hAnsi="Times New Roman" w:eastAsia="宋体" w:cs="Times New Roman"/>
                <w:color w:val="auto"/>
                <w:spacing w:val="2"/>
                <w:sz w:val="24"/>
                <w:szCs w:val="24"/>
                <w:highlight w:val="none"/>
                <w:u w:val="none" w:color="auto"/>
              </w:rPr>
              <w:t>生活污水进入现有港区生活化粪池预处理后，排入大榄坪污水处理厂；含油</w:t>
            </w:r>
            <w:r>
              <w:rPr>
                <w:rFonts w:hint="default" w:ascii="Times New Roman" w:hAnsi="Times New Roman" w:eastAsia="宋体" w:cs="Times New Roman"/>
                <w:color w:val="auto"/>
                <w:spacing w:val="3"/>
                <w:sz w:val="24"/>
                <w:szCs w:val="24"/>
                <w:highlight w:val="none"/>
                <w:u w:val="none" w:color="auto"/>
              </w:rPr>
              <w:t>污水经含油污水处理站处理后回用于机械冲洗用水、厂区绿化和道路清扫，</w:t>
            </w:r>
            <w:r>
              <w:rPr>
                <w:rFonts w:hint="default" w:ascii="Times New Roman" w:hAnsi="Times New Roman" w:eastAsia="宋体" w:cs="Times New Roman"/>
                <w:color w:val="auto"/>
                <w:spacing w:val="2"/>
                <w:sz w:val="24"/>
                <w:szCs w:val="24"/>
                <w:highlight w:val="none"/>
                <w:u w:val="none" w:color="auto"/>
              </w:rPr>
              <w:t>不外排；机械设备日常养护和维修产生的废润滑油及含油抹布，以及污水处理站产生的含油污泥均使用专用容器收集后依托现有危险废物暂存间，再交</w:t>
            </w:r>
            <w:r>
              <w:rPr>
                <w:rFonts w:hint="default" w:ascii="Times New Roman" w:hAnsi="Times New Roman" w:eastAsia="宋体" w:cs="Times New Roman"/>
                <w:color w:val="auto"/>
                <w:sz w:val="24"/>
                <w:szCs w:val="24"/>
                <w:highlight w:val="none"/>
                <w:u w:val="none" w:color="auto"/>
              </w:rPr>
              <w:t>由有资质的单位处置；港区生活垃圾经分类</w:t>
            </w:r>
            <w:r>
              <w:rPr>
                <w:rFonts w:hint="default" w:ascii="Times New Roman" w:hAnsi="Times New Roman" w:eastAsia="宋体" w:cs="Times New Roman"/>
                <w:color w:val="auto"/>
                <w:spacing w:val="-1"/>
                <w:sz w:val="24"/>
                <w:szCs w:val="24"/>
                <w:highlight w:val="none"/>
                <w:u w:val="none" w:color="auto"/>
              </w:rPr>
              <w:t>收集后由环卫部门定期清运。</w:t>
            </w:r>
          </w:p>
          <w:p w14:paraId="6CEE9E87">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76"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pacing w:val="-1"/>
                <w:sz w:val="24"/>
                <w:szCs w:val="24"/>
                <w:highlight w:val="none"/>
                <w:u w:val="none" w:color="auto"/>
              </w:rPr>
              <w:t>项目环境保护措施与环评报告要求一致，较环评无变化。</w:t>
            </w:r>
          </w:p>
          <w:p w14:paraId="57E07F69">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4" w:firstLineChars="200"/>
              <w:textAlignment w:val="auto"/>
              <w:rPr>
                <w:rFonts w:hint="eastAsia" w:ascii="Times New Roman" w:hAnsi="Times New Roman" w:eastAsia="宋体" w:cs="Times New Roman"/>
                <w:color w:val="auto"/>
                <w:spacing w:val="-5"/>
                <w:sz w:val="24"/>
                <w:szCs w:val="24"/>
                <w:highlight w:val="none"/>
                <w:u w:val="none" w:color="auto"/>
                <w:lang w:eastAsia="zh-CN"/>
              </w:rPr>
            </w:pPr>
            <w:r>
              <w:rPr>
                <w:rFonts w:hint="default" w:ascii="Times New Roman" w:hAnsi="Times New Roman" w:eastAsia="宋体" w:cs="Times New Roman"/>
                <w:color w:val="auto"/>
                <w:spacing w:val="1"/>
                <w:sz w:val="24"/>
                <w:szCs w:val="24"/>
                <w:highlight w:val="none"/>
                <w:u w:val="none" w:color="auto"/>
              </w:rPr>
              <w:t>总体来看，建设单位落实了项目环评要求的污</w:t>
            </w:r>
            <w:r>
              <w:rPr>
                <w:rFonts w:hint="default" w:ascii="Times New Roman" w:hAnsi="Times New Roman" w:eastAsia="宋体" w:cs="Times New Roman"/>
                <w:color w:val="auto"/>
                <w:sz w:val="24"/>
                <w:szCs w:val="24"/>
                <w:highlight w:val="none"/>
                <w:u w:val="none" w:color="auto"/>
              </w:rPr>
              <w:t>染防治和生态保护措施，</w:t>
            </w:r>
            <w:r>
              <w:rPr>
                <w:rFonts w:hint="default" w:ascii="Times New Roman" w:hAnsi="Times New Roman" w:eastAsia="宋体" w:cs="Times New Roman"/>
                <w:color w:val="auto"/>
                <w:spacing w:val="-1"/>
                <w:sz w:val="24"/>
                <w:szCs w:val="24"/>
                <w:highlight w:val="none"/>
                <w:u w:val="none" w:color="auto"/>
              </w:rPr>
              <w:t>现有的环境保护措施满足项目运营污染防治需要</w:t>
            </w:r>
            <w:r>
              <w:rPr>
                <w:rFonts w:hint="eastAsia" w:ascii="Times New Roman" w:hAnsi="Times New Roman" w:eastAsia="宋体" w:cs="Times New Roman"/>
                <w:color w:val="auto"/>
                <w:spacing w:val="-5"/>
                <w:sz w:val="24"/>
                <w:szCs w:val="24"/>
                <w:highlight w:val="none"/>
                <w:u w:val="none" w:color="auto"/>
                <w:lang w:eastAsia="zh-CN"/>
              </w:rPr>
              <w:t>。</w:t>
            </w:r>
          </w:p>
          <w:p w14:paraId="51D6FA57">
            <w:pPr>
              <w:keepNext w:val="0"/>
              <w:keepLines w:val="0"/>
              <w:suppressLineNumbers w:val="0"/>
              <w:bidi w:val="0"/>
              <w:spacing w:before="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（8）现有污染物排放情况</w:t>
            </w:r>
          </w:p>
          <w:p w14:paraId="5CA31FFF">
            <w:pPr>
              <w:pStyle w:val="1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420" w:leftChars="200" w:right="0" w:rightChars="0"/>
              <w:textAlignment w:val="auto"/>
              <w:rPr>
                <w:rFonts w:hint="eastAsia" w:cs="Times New Roman"/>
                <w:color w:val="auto"/>
                <w:spacing w:val="-5"/>
                <w:sz w:val="24"/>
                <w:szCs w:val="24"/>
                <w:highlight w:val="none"/>
                <w:u w:val="none" w:color="auto"/>
                <w:lang w:val="en-US" w:eastAsia="zh-CN"/>
              </w:rPr>
            </w:pPr>
            <w:r>
              <w:rPr>
                <w:rFonts w:hint="eastAsia" w:cs="Times New Roman"/>
                <w:color w:val="auto"/>
                <w:spacing w:val="-5"/>
                <w:sz w:val="24"/>
                <w:szCs w:val="24"/>
                <w:highlight w:val="none"/>
                <w:u w:val="none" w:color="auto"/>
                <w:lang w:val="en-US" w:eastAsia="zh-CN"/>
              </w:rPr>
              <w:t>根据调查，现有工程污染物排放量见下表。</w:t>
            </w:r>
          </w:p>
          <w:p w14:paraId="3294428F">
            <w:pPr>
              <w:pStyle w:val="1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0" w:leftChars="200" w:right="0" w:rightChars="0"/>
              <w:jc w:val="center"/>
              <w:textAlignment w:val="auto"/>
              <w:rPr>
                <w:rFonts w:hint="default" w:cs="Times New Roman"/>
                <w:b/>
                <w:bCs/>
                <w:color w:val="auto"/>
                <w:spacing w:val="-5"/>
                <w:sz w:val="21"/>
                <w:szCs w:val="21"/>
                <w:highlight w:val="none"/>
                <w:u w:val="none" w:color="auto"/>
                <w:lang w:val="en-US" w:eastAsia="zh-CN"/>
              </w:rPr>
            </w:pPr>
            <w:r>
              <w:rPr>
                <w:rFonts w:hint="eastAsia" w:cs="Times New Roman"/>
                <w:b/>
                <w:bCs/>
                <w:color w:val="auto"/>
                <w:spacing w:val="-5"/>
                <w:sz w:val="21"/>
                <w:szCs w:val="21"/>
                <w:highlight w:val="none"/>
                <w:u w:val="none" w:color="auto"/>
                <w:lang w:val="en-US" w:eastAsia="zh-CN"/>
              </w:rPr>
              <w:t>表2-14 现有污染物排放一览表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689"/>
              <w:gridCol w:w="2279"/>
              <w:gridCol w:w="2756"/>
            </w:tblGrid>
            <w:tr w14:paraId="2D87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Align w:val="center"/>
                </w:tcPr>
                <w:p w14:paraId="0BBFC77D">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类别</w:t>
                  </w:r>
                </w:p>
              </w:tc>
              <w:tc>
                <w:tcPr>
                  <w:tcW w:w="1532" w:type="dxa"/>
                  <w:gridSpan w:val="2"/>
                  <w:vAlign w:val="center"/>
                </w:tcPr>
                <w:p w14:paraId="595C16F6">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污染物</w:t>
                  </w:r>
                  <w:r>
                    <w:rPr>
                      <w:rFonts w:hint="eastAsia" w:ascii="Times New Roman" w:hAnsi="Times New Roman" w:eastAsia="宋体" w:cs="Times New Roman"/>
                      <w:b/>
                      <w:bCs/>
                      <w:color w:val="auto"/>
                      <w:sz w:val="21"/>
                      <w:szCs w:val="21"/>
                      <w:highlight w:val="none"/>
                      <w:u w:val="none" w:color="auto"/>
                    </w:rPr>
                    <w:t>名称</w:t>
                  </w:r>
                </w:p>
              </w:tc>
              <w:tc>
                <w:tcPr>
                  <w:tcW w:w="1064" w:type="dxa"/>
                  <w:vAlign w:val="center"/>
                </w:tcPr>
                <w:p w14:paraId="7D8480B2">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现有工程排放量</w:t>
                  </w:r>
                  <w:r>
                    <w:rPr>
                      <w:rFonts w:hint="eastAsia" w:ascii="Times New Roman" w:hAnsi="Times New Roman" w:eastAsia="宋体" w:cs="Times New Roman"/>
                      <w:b/>
                      <w:bCs/>
                      <w:color w:val="auto"/>
                      <w:sz w:val="21"/>
                      <w:szCs w:val="21"/>
                      <w:highlight w:val="none"/>
                      <w:u w:val="none" w:color="auto"/>
                    </w:rPr>
                    <w:t>（t/a）</w:t>
                  </w:r>
                </w:p>
              </w:tc>
            </w:tr>
            <w:tr w14:paraId="686C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restart"/>
                  <w:vAlign w:val="center"/>
                </w:tcPr>
                <w:p w14:paraId="1588BA4F">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p w14:paraId="591580D2">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p w14:paraId="1DC2E962">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p w14:paraId="167F1498">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p w14:paraId="6449A00C">
                  <w:pPr>
                    <w:pStyle w:val="160"/>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color w:val="auto"/>
                      <w:sz w:val="21"/>
                      <w:szCs w:val="21"/>
                      <w:highlight w:val="none"/>
                      <w:u w:val="none" w:color="auto"/>
                    </w:rPr>
                  </w:pPr>
                </w:p>
                <w:p w14:paraId="026F4D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shd w:val="clear" w:color="auto" w:fill="auto"/>
                  <w:vAlign w:val="center"/>
                </w:tcPr>
                <w:p w14:paraId="1616196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粉尘</w:t>
                  </w:r>
                </w:p>
              </w:tc>
              <w:tc>
                <w:tcPr>
                  <w:tcW w:w="880" w:type="dxa"/>
                  <w:shd w:val="clear" w:color="auto" w:fill="auto"/>
                  <w:vAlign w:val="center"/>
                </w:tcPr>
                <w:p w14:paraId="4178F6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TSP</w:t>
                  </w:r>
                </w:p>
              </w:tc>
              <w:tc>
                <w:tcPr>
                  <w:tcW w:w="1064" w:type="dxa"/>
                  <w:shd w:val="clear" w:color="auto" w:fill="auto"/>
                  <w:vAlign w:val="center"/>
                </w:tcPr>
                <w:p w14:paraId="2B6377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0.023</w:t>
                  </w:r>
                </w:p>
              </w:tc>
            </w:tr>
            <w:tr w14:paraId="1E80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3CC95AA6">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restart"/>
                  <w:vAlign w:val="center"/>
                </w:tcPr>
                <w:p w14:paraId="0525A9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rPr>
                    <w:t>机械燃油</w:t>
                  </w:r>
                  <w:r>
                    <w:rPr>
                      <w:rFonts w:hint="eastAsia" w:ascii="Times New Roman" w:hAnsi="Times New Roman" w:eastAsia="宋体" w:cs="Times New Roman"/>
                      <w:bCs/>
                      <w:color w:val="auto"/>
                      <w:sz w:val="21"/>
                      <w:szCs w:val="21"/>
                      <w:highlight w:val="none"/>
                      <w:u w:val="none" w:color="auto"/>
                      <w:lang w:eastAsia="en-US"/>
                    </w:rPr>
                    <w:t>废气</w:t>
                  </w:r>
                </w:p>
              </w:tc>
              <w:tc>
                <w:tcPr>
                  <w:tcW w:w="880" w:type="dxa"/>
                  <w:shd w:val="clear" w:color="auto" w:fill="auto"/>
                  <w:vAlign w:val="center"/>
                </w:tcPr>
                <w:p w14:paraId="3B4A9A63">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PM</w:t>
                  </w:r>
                  <w:r>
                    <w:rPr>
                      <w:rFonts w:hint="default" w:ascii="Times New Roman" w:hAnsi="Times New Roman" w:eastAsia="宋体" w:cs="Times New Roman"/>
                      <w:caps w:val="0"/>
                      <w:color w:val="auto"/>
                      <w:kern w:val="2"/>
                      <w:szCs w:val="21"/>
                      <w:highlight w:val="none"/>
                      <w:u w:val="none" w:color="auto"/>
                      <w:vertAlign w:val="subscript"/>
                    </w:rPr>
                    <w:t>2.5</w:t>
                  </w:r>
                </w:p>
              </w:tc>
              <w:tc>
                <w:tcPr>
                  <w:tcW w:w="1064" w:type="dxa"/>
                  <w:shd w:val="clear" w:color="auto" w:fill="auto"/>
                  <w:vAlign w:val="center"/>
                </w:tcPr>
                <w:p w14:paraId="30A52BD6">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r>
            <w:tr w14:paraId="5081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792C5B85">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59A03B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0" w:type="dxa"/>
                  <w:shd w:val="clear" w:color="auto" w:fill="auto"/>
                  <w:vAlign w:val="center"/>
                </w:tcPr>
                <w:p w14:paraId="0C2FDE28">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PM</w:t>
                  </w:r>
                  <w:r>
                    <w:rPr>
                      <w:rFonts w:hint="eastAsia" w:ascii="Times New Roman" w:hAnsi="Times New Roman" w:eastAsia="宋体" w:cs="Times New Roman"/>
                      <w:caps w:val="0"/>
                      <w:color w:val="auto"/>
                      <w:kern w:val="2"/>
                      <w:szCs w:val="21"/>
                      <w:highlight w:val="none"/>
                      <w:u w:val="none" w:color="auto"/>
                      <w:vertAlign w:val="subscript"/>
                      <w:lang w:val="en-US" w:eastAsia="zh-CN"/>
                    </w:rPr>
                    <w:t>10</w:t>
                  </w:r>
                </w:p>
              </w:tc>
              <w:tc>
                <w:tcPr>
                  <w:tcW w:w="1064" w:type="dxa"/>
                  <w:shd w:val="clear" w:color="auto" w:fill="auto"/>
                  <w:vAlign w:val="center"/>
                </w:tcPr>
                <w:p w14:paraId="206F5610">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r>
            <w:tr w14:paraId="501A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22F49ED7">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2FBE46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0" w:type="dxa"/>
                  <w:shd w:val="clear" w:color="auto" w:fill="auto"/>
                  <w:vAlign w:val="center"/>
                </w:tcPr>
                <w:p w14:paraId="323A3BD0">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SO</w:t>
                  </w:r>
                  <w:r>
                    <w:rPr>
                      <w:rFonts w:hint="default" w:ascii="Times New Roman" w:hAnsi="Times New Roman" w:eastAsia="宋体" w:cs="Times New Roman"/>
                      <w:caps w:val="0"/>
                      <w:color w:val="auto"/>
                      <w:kern w:val="2"/>
                      <w:szCs w:val="21"/>
                      <w:highlight w:val="none"/>
                      <w:u w:val="none" w:color="auto"/>
                      <w:vertAlign w:val="subscript"/>
                    </w:rPr>
                    <w:t>2</w:t>
                  </w:r>
                </w:p>
              </w:tc>
              <w:tc>
                <w:tcPr>
                  <w:tcW w:w="1064" w:type="dxa"/>
                  <w:shd w:val="clear" w:color="auto" w:fill="auto"/>
                  <w:vAlign w:val="center"/>
                </w:tcPr>
                <w:p w14:paraId="4CFDA8F5">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0.838</w:t>
                  </w:r>
                </w:p>
              </w:tc>
            </w:tr>
            <w:tr w14:paraId="63A6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12D44028">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660D47A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0" w:type="dxa"/>
                  <w:shd w:val="clear" w:color="auto" w:fill="auto"/>
                  <w:vAlign w:val="center"/>
                </w:tcPr>
                <w:p w14:paraId="67633CD0">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NO</w:t>
                  </w:r>
                  <w:r>
                    <w:rPr>
                      <w:rFonts w:hint="default" w:ascii="Times New Roman" w:hAnsi="Times New Roman" w:eastAsia="宋体" w:cs="Times New Roman"/>
                      <w:caps w:val="0"/>
                      <w:color w:val="auto"/>
                      <w:kern w:val="2"/>
                      <w:szCs w:val="21"/>
                      <w:highlight w:val="none"/>
                      <w:u w:val="none" w:color="auto"/>
                      <w:vertAlign w:val="subscript"/>
                    </w:rPr>
                    <w:t>x</w:t>
                  </w:r>
                </w:p>
              </w:tc>
              <w:tc>
                <w:tcPr>
                  <w:tcW w:w="1064" w:type="dxa"/>
                  <w:shd w:val="clear" w:color="auto" w:fill="auto"/>
                  <w:vAlign w:val="center"/>
                </w:tcPr>
                <w:p w14:paraId="5747DBAD">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11.214</w:t>
                  </w:r>
                </w:p>
              </w:tc>
            </w:tr>
            <w:tr w14:paraId="2630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33561EB8">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001E80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0" w:type="dxa"/>
                  <w:shd w:val="clear" w:color="auto" w:fill="auto"/>
                  <w:vAlign w:val="center"/>
                </w:tcPr>
                <w:p w14:paraId="5C471C62">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HC</w:t>
                  </w:r>
                </w:p>
              </w:tc>
              <w:tc>
                <w:tcPr>
                  <w:tcW w:w="1064" w:type="dxa"/>
                  <w:shd w:val="clear" w:color="auto" w:fill="auto"/>
                  <w:vAlign w:val="center"/>
                </w:tcPr>
                <w:p w14:paraId="7D586C43">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1.16</w:t>
                  </w:r>
                </w:p>
              </w:tc>
            </w:tr>
            <w:tr w14:paraId="4963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532E71D1">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117F88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0" w:type="dxa"/>
                  <w:shd w:val="clear" w:color="auto" w:fill="auto"/>
                  <w:vAlign w:val="center"/>
                </w:tcPr>
                <w:p w14:paraId="6C1BF82E">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CO</w:t>
                  </w:r>
                </w:p>
              </w:tc>
              <w:tc>
                <w:tcPr>
                  <w:tcW w:w="1064" w:type="dxa"/>
                  <w:shd w:val="clear" w:color="auto" w:fill="auto"/>
                  <w:vAlign w:val="center"/>
                </w:tcPr>
                <w:p w14:paraId="7F40B46C">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3.666</w:t>
                  </w:r>
                </w:p>
              </w:tc>
            </w:tr>
            <w:tr w14:paraId="5138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172CC6C8">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restart"/>
                  <w:vAlign w:val="center"/>
                </w:tcPr>
                <w:p w14:paraId="7A9197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刷漆、晾干废气</w:t>
                  </w:r>
                </w:p>
              </w:tc>
              <w:tc>
                <w:tcPr>
                  <w:tcW w:w="880" w:type="dxa"/>
                  <w:shd w:val="clear" w:color="auto" w:fill="auto"/>
                  <w:vAlign w:val="center"/>
                </w:tcPr>
                <w:p w14:paraId="2381C8A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非甲烷总烃</w:t>
                  </w:r>
                </w:p>
              </w:tc>
              <w:tc>
                <w:tcPr>
                  <w:tcW w:w="1064" w:type="dxa"/>
                  <w:vAlign w:val="center"/>
                </w:tcPr>
                <w:p w14:paraId="14B94B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0.253</w:t>
                  </w:r>
                </w:p>
              </w:tc>
            </w:tr>
            <w:tr w14:paraId="7C808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29BFB38C">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5026E68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0" w:type="dxa"/>
                  <w:shd w:val="clear" w:color="auto" w:fill="auto"/>
                  <w:vAlign w:val="center"/>
                </w:tcPr>
                <w:p w14:paraId="1D9793E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二甲苯</w:t>
                  </w:r>
                </w:p>
              </w:tc>
              <w:tc>
                <w:tcPr>
                  <w:tcW w:w="1064" w:type="dxa"/>
                  <w:vAlign w:val="center"/>
                </w:tcPr>
                <w:p w14:paraId="23E425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0.084</w:t>
                  </w:r>
                </w:p>
              </w:tc>
            </w:tr>
            <w:tr w14:paraId="3889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120A8D1E">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351E612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0" w:type="dxa"/>
                  <w:shd w:val="clear" w:color="auto" w:fill="auto"/>
                  <w:vAlign w:val="center"/>
                </w:tcPr>
                <w:p w14:paraId="7AB2FD8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甲苯</w:t>
                  </w:r>
                </w:p>
              </w:tc>
              <w:tc>
                <w:tcPr>
                  <w:tcW w:w="1064" w:type="dxa"/>
                  <w:vAlign w:val="center"/>
                </w:tcPr>
                <w:p w14:paraId="4F72C1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0.034</w:t>
                  </w:r>
                </w:p>
              </w:tc>
            </w:tr>
            <w:tr w14:paraId="4187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restart"/>
                  <w:vAlign w:val="center"/>
                </w:tcPr>
                <w:p w14:paraId="0A8AFB5D">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652" w:type="dxa"/>
                  <w:vAlign w:val="center"/>
                </w:tcPr>
                <w:p w14:paraId="27D8404E">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w:t>
                  </w:r>
                </w:p>
              </w:tc>
              <w:tc>
                <w:tcPr>
                  <w:tcW w:w="880" w:type="dxa"/>
                  <w:vAlign w:val="center"/>
                </w:tcPr>
                <w:p w14:paraId="4FF4B9A9">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含油废水</w:t>
                  </w:r>
                </w:p>
              </w:tc>
              <w:tc>
                <w:tcPr>
                  <w:tcW w:w="1064" w:type="dxa"/>
                  <w:vAlign w:val="center"/>
                </w:tcPr>
                <w:p w14:paraId="57A3CCAA">
                  <w:pPr>
                    <w:pStyle w:val="16"/>
                    <w:tabs>
                      <w:tab w:val="left" w:pos="357"/>
                    </w:tabs>
                    <w:spacing w:line="240" w:lineRule="auto"/>
                    <w:ind w:firstLine="0"/>
                    <w:jc w:val="center"/>
                    <w:rPr>
                      <w:rFonts w:ascii="Times New Roman" w:hAnsi="Times New Roman" w:eastAsia="宋体" w:cs="Times New Roman"/>
                      <w:bCs/>
                      <w:color w:val="auto"/>
                      <w:sz w:val="21"/>
                      <w:szCs w:val="21"/>
                      <w:highlight w:val="none"/>
                      <w:u w:val="none" w:color="auto"/>
                    </w:rPr>
                  </w:pPr>
                  <w:r>
                    <w:rPr>
                      <w:rFonts w:ascii="Times New Roman" w:hAnsi="Times New Roman" w:eastAsia="宋体" w:cs="Times New Roman"/>
                      <w:bCs/>
                      <w:color w:val="auto"/>
                      <w:sz w:val="21"/>
                      <w:szCs w:val="21"/>
                      <w:highlight w:val="none"/>
                      <w:u w:val="none" w:color="auto"/>
                    </w:rPr>
                    <w:t>1</w:t>
                  </w:r>
                  <w:r>
                    <w:rPr>
                      <w:rFonts w:hint="eastAsia" w:ascii="Times New Roman" w:hAnsi="Times New Roman" w:eastAsia="宋体" w:cs="Times New Roman"/>
                      <w:bCs/>
                      <w:color w:val="auto"/>
                      <w:sz w:val="21"/>
                      <w:szCs w:val="21"/>
                      <w:highlight w:val="none"/>
                      <w:u w:val="none" w:color="auto"/>
                      <w:lang w:val="en-US" w:eastAsia="zh-CN"/>
                    </w:rPr>
                    <w:t>898</w:t>
                  </w:r>
                </w:p>
              </w:tc>
            </w:tr>
            <w:tr w14:paraId="28B3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290E4910">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restart"/>
                  <w:vAlign w:val="center"/>
                </w:tcPr>
                <w:p w14:paraId="62DD9517">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生活污水</w:t>
                  </w:r>
                </w:p>
              </w:tc>
              <w:tc>
                <w:tcPr>
                  <w:tcW w:w="880" w:type="dxa"/>
                  <w:shd w:val="clear" w:color="auto" w:fill="auto"/>
                  <w:vAlign w:val="center"/>
                </w:tcPr>
                <w:p w14:paraId="075A3428">
                  <w:pPr>
                    <w:keepNext w:val="0"/>
                    <w:keepLines w:val="0"/>
                    <w:suppressLineNumbers w:val="0"/>
                    <w:autoSpaceDE w:val="0"/>
                    <w:autoSpaceDN w:val="0"/>
                    <w:snapToGrid w:val="0"/>
                    <w:spacing w:before="0" w:beforeAutospacing="0" w:after="0" w:afterAutospacing="0" w:line="240" w:lineRule="atLeast"/>
                    <w:ind w:left="0" w:right="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废水量</w:t>
                  </w:r>
                </w:p>
              </w:tc>
              <w:tc>
                <w:tcPr>
                  <w:tcW w:w="1064" w:type="dxa"/>
                  <w:shd w:val="clear" w:color="auto" w:fill="auto"/>
                  <w:vAlign w:val="center"/>
                </w:tcPr>
                <w:p w14:paraId="62DC913D">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4445.4</w:t>
                  </w:r>
                </w:p>
              </w:tc>
            </w:tr>
            <w:tr w14:paraId="7A06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41EBB8FB">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207B649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0" w:type="dxa"/>
                  <w:shd w:val="clear" w:color="auto" w:fill="auto"/>
                  <w:vAlign w:val="center"/>
                </w:tcPr>
                <w:p w14:paraId="7C4E723C">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COD</w:t>
                  </w:r>
                </w:p>
              </w:tc>
              <w:tc>
                <w:tcPr>
                  <w:tcW w:w="1064" w:type="dxa"/>
                  <w:shd w:val="clear" w:color="auto" w:fill="auto"/>
                  <w:vAlign w:val="center"/>
                </w:tcPr>
                <w:p w14:paraId="7CED5E22">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0.888</w:t>
                  </w:r>
                </w:p>
              </w:tc>
            </w:tr>
            <w:tr w14:paraId="25A1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51F97B59">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Merge w:val="continue"/>
                  <w:vAlign w:val="center"/>
                </w:tcPr>
                <w:p w14:paraId="2B4FBF9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0" w:type="dxa"/>
                  <w:shd w:val="clear" w:color="auto" w:fill="auto"/>
                  <w:vAlign w:val="center"/>
                </w:tcPr>
                <w:p w14:paraId="545F0301">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NH</w:t>
                  </w:r>
                  <w:r>
                    <w:rPr>
                      <w:rFonts w:hint="eastAsia" w:ascii="Times New Roman" w:hAnsi="Times New Roman" w:eastAsia="宋体" w:cs="Times New Roman"/>
                      <w:caps w:val="0"/>
                      <w:color w:val="auto"/>
                      <w:kern w:val="2"/>
                      <w:szCs w:val="21"/>
                      <w:highlight w:val="none"/>
                      <w:u w:val="none" w:color="auto"/>
                      <w:vertAlign w:val="subscript"/>
                      <w:lang w:val="en-US" w:eastAsia="zh-CN"/>
                    </w:rPr>
                    <w:t>3</w:t>
                  </w:r>
                  <w:r>
                    <w:rPr>
                      <w:rFonts w:hint="eastAsia" w:ascii="Times New Roman" w:hAnsi="Times New Roman" w:eastAsia="宋体" w:cs="Times New Roman"/>
                      <w:caps w:val="0"/>
                      <w:color w:val="auto"/>
                      <w:kern w:val="2"/>
                      <w:szCs w:val="21"/>
                      <w:highlight w:val="none"/>
                      <w:u w:val="none" w:color="auto"/>
                      <w:lang w:val="en-US" w:eastAsia="zh-CN"/>
                    </w:rPr>
                    <w:t>-N</w:t>
                  </w:r>
                </w:p>
              </w:tc>
              <w:tc>
                <w:tcPr>
                  <w:tcW w:w="1064" w:type="dxa"/>
                  <w:shd w:val="clear" w:color="auto" w:fill="auto"/>
                  <w:vAlign w:val="center"/>
                </w:tcPr>
                <w:p w14:paraId="381940CC">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0.130</w:t>
                  </w:r>
                </w:p>
              </w:tc>
            </w:tr>
            <w:tr w14:paraId="66FF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restart"/>
                  <w:vAlign w:val="center"/>
                </w:tcPr>
                <w:p w14:paraId="7E92F636">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固体废物</w:t>
                  </w:r>
                </w:p>
              </w:tc>
              <w:tc>
                <w:tcPr>
                  <w:tcW w:w="652" w:type="dxa"/>
                  <w:vAlign w:val="center"/>
                </w:tcPr>
                <w:p w14:paraId="73BDBE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码头员工</w:t>
                  </w:r>
                </w:p>
              </w:tc>
              <w:tc>
                <w:tcPr>
                  <w:tcW w:w="880" w:type="dxa"/>
                  <w:vAlign w:val="center"/>
                </w:tcPr>
                <w:p w14:paraId="217A0A4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生活垃圾</w:t>
                  </w:r>
                </w:p>
              </w:tc>
              <w:tc>
                <w:tcPr>
                  <w:tcW w:w="1064" w:type="dxa"/>
                  <w:vAlign w:val="center"/>
                </w:tcPr>
                <w:p w14:paraId="417008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25.34</w:t>
                  </w:r>
                </w:p>
              </w:tc>
            </w:tr>
            <w:tr w14:paraId="079B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31B29996">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Align w:val="center"/>
                </w:tcPr>
                <w:p w14:paraId="6D11B8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一般工业固体废物</w:t>
                  </w:r>
                </w:p>
              </w:tc>
              <w:tc>
                <w:tcPr>
                  <w:tcW w:w="880" w:type="dxa"/>
                  <w:vAlign w:val="center"/>
                </w:tcPr>
                <w:p w14:paraId="0FF6F6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废木屑、废焊丝、废木料、包装材料等</w:t>
                  </w:r>
                </w:p>
              </w:tc>
              <w:tc>
                <w:tcPr>
                  <w:tcW w:w="1064" w:type="dxa"/>
                  <w:vAlign w:val="center"/>
                </w:tcPr>
                <w:p w14:paraId="41F33FA2">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37.6</w:t>
                  </w:r>
                </w:p>
              </w:tc>
            </w:tr>
            <w:tr w14:paraId="0B2A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9" w:type="dxa"/>
                  <w:vMerge w:val="continue"/>
                  <w:vAlign w:val="center"/>
                </w:tcPr>
                <w:p w14:paraId="3702A3CF">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2" w:type="dxa"/>
                  <w:vAlign w:val="center"/>
                </w:tcPr>
                <w:p w14:paraId="4EB124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危险废物</w:t>
                  </w:r>
                </w:p>
              </w:tc>
              <w:tc>
                <w:tcPr>
                  <w:tcW w:w="880" w:type="dxa"/>
                  <w:vAlign w:val="center"/>
                </w:tcPr>
                <w:p w14:paraId="30826CD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废</w:t>
                  </w:r>
                  <w:r>
                    <w:rPr>
                      <w:rFonts w:hint="eastAsia" w:ascii="Times New Roman" w:hAnsi="Times New Roman" w:eastAsia="宋体" w:cs="Times New Roman"/>
                      <w:color w:val="auto"/>
                      <w:sz w:val="21"/>
                      <w:szCs w:val="21"/>
                      <w:highlight w:val="none"/>
                      <w:u w:val="none" w:color="auto"/>
                      <w:lang w:val="en-US" w:eastAsia="zh-CN"/>
                    </w:rPr>
                    <w:t>矿物油</w:t>
                  </w:r>
                  <w:r>
                    <w:rPr>
                      <w:rFonts w:hint="eastAsia" w:ascii="Times New Roman" w:hAnsi="Times New Roman" w:eastAsia="宋体" w:cs="Times New Roman"/>
                      <w:color w:val="auto"/>
                      <w:sz w:val="21"/>
                      <w:szCs w:val="21"/>
                      <w:highlight w:val="none"/>
                      <w:u w:val="none" w:color="auto"/>
                    </w:rPr>
                    <w:t>、</w:t>
                  </w:r>
                  <w:r>
                    <w:rPr>
                      <w:rFonts w:hint="eastAsia" w:ascii="Times New Roman" w:hAnsi="Times New Roman" w:eastAsia="宋体" w:cs="Times New Roman"/>
                      <w:color w:val="auto"/>
                      <w:sz w:val="21"/>
                      <w:szCs w:val="21"/>
                      <w:highlight w:val="none"/>
                      <w:u w:val="none" w:color="auto"/>
                      <w:lang w:val="en-US" w:eastAsia="zh-CN"/>
                    </w:rPr>
                    <w:t>含油抹布</w:t>
                  </w:r>
                  <w:r>
                    <w:rPr>
                      <w:rFonts w:hint="eastAsia" w:ascii="Times New Roman" w:hAnsi="Times New Roman" w:eastAsia="宋体" w:cs="Times New Roman"/>
                      <w:color w:val="auto"/>
                      <w:sz w:val="21"/>
                      <w:szCs w:val="21"/>
                      <w:highlight w:val="none"/>
                      <w:u w:val="none" w:color="auto"/>
                    </w:rPr>
                    <w:t>等</w:t>
                  </w:r>
                </w:p>
              </w:tc>
              <w:tc>
                <w:tcPr>
                  <w:tcW w:w="1064" w:type="dxa"/>
                  <w:vAlign w:val="center"/>
                </w:tcPr>
                <w:p w14:paraId="2E389129">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bCs/>
                      <w:caps w:val="0"/>
                      <w:color w:val="auto"/>
                      <w:sz w:val="21"/>
                      <w:szCs w:val="21"/>
                      <w:highlight w:val="none"/>
                      <w:u w:val="none" w:color="auto"/>
                      <w:lang w:val="en-US" w:eastAsia="zh-CN"/>
                    </w:rPr>
                    <w:t>65.845</w:t>
                  </w:r>
                </w:p>
              </w:tc>
            </w:tr>
          </w:tbl>
          <w:p w14:paraId="7EFE54C1">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60" w:firstLineChars="200"/>
              <w:textAlignment w:val="auto"/>
              <w:rPr>
                <w:rFonts w:hint="eastAsia" w:ascii="Times New Roman" w:hAnsi="Times New Roman" w:eastAsia="宋体" w:cs="Times New Roman"/>
                <w:color w:val="auto"/>
                <w:spacing w:val="-5"/>
                <w:sz w:val="24"/>
                <w:szCs w:val="24"/>
                <w:highlight w:val="none"/>
                <w:u w:val="none" w:color="auto"/>
                <w:lang w:eastAsia="zh-CN"/>
              </w:rPr>
            </w:pPr>
          </w:p>
          <w:p w14:paraId="5D97372E">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Times New Roman" w:hAnsi="Times New Roman" w:eastAsia="宋体" w:cs="Times New Roman"/>
                <w:color w:val="auto"/>
                <w:spacing w:val="-5"/>
                <w:sz w:val="24"/>
                <w:szCs w:val="24"/>
                <w:highlight w:val="none"/>
                <w:u w:val="none" w:color="auto"/>
                <w:lang w:eastAsia="zh-CN"/>
              </w:rPr>
            </w:pPr>
          </w:p>
          <w:p w14:paraId="5BB87FBF">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default" w:ascii="Times New Roman" w:hAnsi="Times New Roman" w:eastAsia="宋体" w:cs="Times New Roman"/>
                <w:color w:val="auto"/>
                <w:spacing w:val="-5"/>
                <w:sz w:val="24"/>
                <w:szCs w:val="24"/>
                <w:highlight w:val="none"/>
                <w:u w:val="none" w:color="auto"/>
                <w:lang w:val="en-US" w:eastAsia="zh-CN"/>
              </w:rPr>
            </w:pPr>
          </w:p>
        </w:tc>
      </w:tr>
    </w:tbl>
    <w:p w14:paraId="25B47CBB">
      <w:pPr>
        <w:pStyle w:val="42"/>
        <w:jc w:val="center"/>
        <w:rPr>
          <w:rFonts w:hint="default" w:ascii="Times New Roman" w:hAnsi="Times New Roman" w:eastAsia="宋体" w:cs="Times New Roman"/>
          <w:snapToGrid w:val="0"/>
          <w:color w:val="auto"/>
          <w:sz w:val="36"/>
          <w:szCs w:val="36"/>
          <w:highlight w:val="none"/>
          <w:u w:val="none" w:color="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F9DD229">
      <w:pPr>
        <w:pStyle w:val="42"/>
        <w:jc w:val="center"/>
        <w:outlineLvl w:val="0"/>
        <w:rPr>
          <w:rFonts w:hint="default" w:ascii="Times New Roman" w:hAnsi="Times New Roman" w:eastAsia="宋体" w:cs="Times New Roman"/>
          <w:snapToGrid w:val="0"/>
          <w:color w:val="auto"/>
          <w:sz w:val="30"/>
          <w:szCs w:val="30"/>
          <w:highlight w:val="none"/>
          <w:u w:val="none" w:color="auto"/>
        </w:rPr>
      </w:pPr>
      <w:bookmarkStart w:id="8" w:name="_Toc6865"/>
      <w:r>
        <w:rPr>
          <w:rFonts w:hint="default" w:ascii="Times New Roman" w:hAnsi="Times New Roman" w:eastAsia="宋体" w:cs="Times New Roman"/>
          <w:snapToGrid w:val="0"/>
          <w:color w:val="auto"/>
          <w:sz w:val="30"/>
          <w:szCs w:val="30"/>
          <w:highlight w:val="none"/>
          <w:u w:val="none" w:color="auto"/>
        </w:rPr>
        <w:t>三、区域环境质量现状、环境保护目标及评价标准</w:t>
      </w:r>
      <w:bookmarkEnd w:id="8"/>
    </w:p>
    <w:tbl>
      <w:tblPr>
        <w:tblStyle w:val="4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3E381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456" w:type="dxa"/>
            <w:noWrap w:val="0"/>
            <w:vAlign w:val="center"/>
          </w:tcPr>
          <w:p w14:paraId="14B605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区域</w:t>
            </w:r>
          </w:p>
          <w:p w14:paraId="384622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环境</w:t>
            </w:r>
          </w:p>
          <w:p w14:paraId="4E1751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质量</w:t>
            </w:r>
          </w:p>
          <w:p w14:paraId="592E96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现状</w:t>
            </w:r>
          </w:p>
        </w:tc>
        <w:tc>
          <w:tcPr>
            <w:tcW w:w="8604" w:type="dxa"/>
            <w:noWrap w:val="0"/>
            <w:vAlign w:val="center"/>
          </w:tcPr>
          <w:p w14:paraId="7EF7C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1、环境空气质量现状</w:t>
            </w:r>
          </w:p>
          <w:p w14:paraId="18556F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eastAsia="zh-CN"/>
              </w:rPr>
              <w:t>项目位于钦州港大榄坪南作业区后方陆域，</w:t>
            </w:r>
            <w:r>
              <w:rPr>
                <w:rFonts w:hint="default" w:ascii="Times New Roman" w:hAnsi="Times New Roman" w:eastAsia="宋体" w:cs="Times New Roman"/>
                <w:color w:val="auto"/>
                <w:sz w:val="24"/>
                <w:szCs w:val="24"/>
                <w:highlight w:val="none"/>
                <w:u w:val="none" w:color="auto"/>
              </w:rPr>
              <w:t>所在区域环境空气属于二类功能区，</w:t>
            </w:r>
            <w:r>
              <w:rPr>
                <w:rFonts w:hint="default" w:ascii="Times New Roman" w:hAnsi="Times New Roman" w:eastAsia="宋体" w:cs="Times New Roman"/>
                <w:color w:val="auto"/>
                <w:sz w:val="24"/>
                <w:szCs w:val="24"/>
                <w:highlight w:val="none"/>
                <w:u w:val="single" w:color="auto"/>
              </w:rPr>
              <w:t>环境空气执行《环境空气质量标准》（GB3095-2012）及其修改单中二级标准</w:t>
            </w:r>
            <w:r>
              <w:rPr>
                <w:rFonts w:hint="default" w:ascii="Times New Roman" w:hAnsi="Times New Roman" w:eastAsia="宋体" w:cs="Times New Roman"/>
                <w:color w:val="auto"/>
                <w:sz w:val="24"/>
                <w:szCs w:val="24"/>
                <w:highlight w:val="none"/>
                <w:u w:val="none" w:color="auto"/>
              </w:rPr>
              <w:t>。</w:t>
            </w:r>
          </w:p>
          <w:p w14:paraId="49FAD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u w:val="none" w:color="auto"/>
                <w:lang w:eastAsia="zh-CN"/>
              </w:rPr>
            </w:pPr>
            <w:r>
              <w:rPr>
                <w:rFonts w:hint="default" w:ascii="Times New Roman" w:hAnsi="Times New Roman" w:eastAsia="宋体" w:cs="Times New Roman"/>
                <w:b w:val="0"/>
                <w:bCs w:val="0"/>
                <w:color w:val="auto"/>
                <w:sz w:val="24"/>
                <w:szCs w:val="24"/>
                <w:highlight w:val="none"/>
                <w:u w:val="none" w:color="auto"/>
                <w:lang w:eastAsia="zh-CN"/>
              </w:rPr>
              <w:t>（1）空气质量达标区判定</w:t>
            </w:r>
          </w:p>
          <w:p w14:paraId="60BC1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根据</w:t>
            </w:r>
            <w:r>
              <w:rPr>
                <w:rFonts w:hint="default" w:ascii="Times New Roman" w:hAnsi="Times New Roman" w:eastAsia="宋体" w:cs="Times New Roman"/>
                <w:color w:val="auto"/>
                <w:sz w:val="24"/>
                <w:szCs w:val="24"/>
                <w:highlight w:val="none"/>
                <w:u w:val="none" w:color="auto"/>
              </w:rPr>
              <w:t>《自治区生态环境厅关于通报2023年设区市及各县（市、区）环境空气质量的函》（桂环函〔202</w:t>
            </w:r>
            <w:r>
              <w:rPr>
                <w:rFonts w:hint="default"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val="en-US" w:eastAsia="zh-CN"/>
              </w:rPr>
              <w:t>58</w:t>
            </w:r>
            <w:r>
              <w:rPr>
                <w:rFonts w:hint="default" w:ascii="Times New Roman" w:hAnsi="Times New Roman" w:eastAsia="宋体" w:cs="Times New Roman"/>
                <w:color w:val="auto"/>
                <w:sz w:val="24"/>
                <w:szCs w:val="24"/>
                <w:highlight w:val="none"/>
                <w:u w:val="none" w:color="auto"/>
              </w:rPr>
              <w:t>号）</w:t>
            </w:r>
            <w:r>
              <w:rPr>
                <w:rFonts w:hint="default" w:ascii="Times New Roman" w:hAnsi="Times New Roman" w:eastAsia="宋体" w:cs="Times New Roman"/>
                <w:color w:val="auto"/>
                <w:sz w:val="24"/>
                <w:szCs w:val="24"/>
                <w:highlight w:val="none"/>
                <w:u w:val="none" w:color="auto"/>
                <w:lang w:eastAsia="zh-CN"/>
              </w:rPr>
              <w:t>，202</w:t>
            </w:r>
            <w:r>
              <w:rPr>
                <w:rFonts w:hint="default" w:ascii="Times New Roman" w:hAnsi="Times New Roman" w:eastAsia="宋体" w:cs="Times New Roman"/>
                <w:color w:val="auto"/>
                <w:sz w:val="24"/>
                <w:szCs w:val="24"/>
                <w:highlight w:val="none"/>
                <w:u w:val="none" w:color="auto"/>
                <w:lang w:val="en-US" w:eastAsia="zh-CN"/>
              </w:rPr>
              <w:t>3年</w:t>
            </w:r>
            <w:r>
              <w:rPr>
                <w:rFonts w:hint="default" w:ascii="Times New Roman" w:hAnsi="Times New Roman" w:eastAsia="宋体" w:cs="Times New Roman"/>
                <w:color w:val="auto"/>
                <w:sz w:val="24"/>
                <w:szCs w:val="24"/>
                <w:highlight w:val="none"/>
                <w:u w:val="none" w:color="auto"/>
                <w:lang w:eastAsia="zh-CN"/>
              </w:rPr>
              <w:t>钦州市环境空气质量现状见表3-1。</w:t>
            </w:r>
          </w:p>
          <w:p w14:paraId="372012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kern w:val="0"/>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表3-1</w:t>
            </w:r>
            <w:r>
              <w:rPr>
                <w:rFonts w:hint="default" w:ascii="Times New Roman" w:hAnsi="Times New Roman" w:eastAsia="宋体" w:cs="Times New Roman"/>
                <w:b/>
                <w:color w:val="auto"/>
                <w:sz w:val="21"/>
                <w:szCs w:val="21"/>
                <w:highlight w:val="none"/>
                <w:u w:val="none" w:color="auto"/>
                <w:lang w:eastAsia="zh-CN"/>
              </w:rPr>
              <w:t>钦州市</w:t>
            </w:r>
            <w:r>
              <w:rPr>
                <w:rFonts w:hint="default" w:ascii="Times New Roman" w:hAnsi="Times New Roman" w:eastAsia="宋体" w:cs="Times New Roman"/>
                <w:b/>
                <w:color w:val="auto"/>
                <w:sz w:val="21"/>
                <w:szCs w:val="21"/>
                <w:highlight w:val="none"/>
                <w:u w:val="none" w:color="auto"/>
                <w:lang w:val="en-US" w:eastAsia="zh-CN"/>
              </w:rPr>
              <w:t>2023年环境空气质量现状评价表</w:t>
            </w:r>
          </w:p>
          <w:tbl>
            <w:tblPr>
              <w:tblStyle w:val="46"/>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412"/>
              <w:gridCol w:w="1290"/>
              <w:gridCol w:w="1261"/>
              <w:gridCol w:w="1165"/>
              <w:gridCol w:w="1254"/>
            </w:tblGrid>
            <w:tr w14:paraId="1CD7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0141B1E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szCs w:val="21"/>
                      <w:highlight w:val="none"/>
                      <w:u w:val="none" w:color="auto"/>
                    </w:rPr>
                    <w:t>污染物</w:t>
                  </w:r>
                </w:p>
              </w:tc>
              <w:tc>
                <w:tcPr>
                  <w:tcW w:w="2412" w:type="dxa"/>
                  <w:tcBorders>
                    <w:tl2br w:val="nil"/>
                    <w:tr2bl w:val="nil"/>
                  </w:tcBorders>
                  <w:noWrap w:val="0"/>
                  <w:vAlign w:val="center"/>
                </w:tcPr>
                <w:p w14:paraId="5F9672DA">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szCs w:val="21"/>
                      <w:highlight w:val="none"/>
                      <w:u w:val="none" w:color="auto"/>
                    </w:rPr>
                    <w:t>年评价指标</w:t>
                  </w:r>
                </w:p>
              </w:tc>
              <w:tc>
                <w:tcPr>
                  <w:tcW w:w="1290" w:type="dxa"/>
                  <w:tcBorders>
                    <w:tl2br w:val="nil"/>
                    <w:tr2bl w:val="nil"/>
                  </w:tcBorders>
                  <w:noWrap w:val="0"/>
                  <w:vAlign w:val="center"/>
                </w:tcPr>
                <w:p w14:paraId="4E9BF87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szCs w:val="21"/>
                      <w:highlight w:val="none"/>
                      <w:u w:val="none" w:color="auto"/>
                    </w:rPr>
                    <w:t>现状浓度（μg/m</w:t>
                  </w:r>
                  <w:r>
                    <w:rPr>
                      <w:rFonts w:hint="default" w:ascii="Times New Roman" w:hAnsi="Times New Roman" w:eastAsia="宋体" w:cs="Times New Roman"/>
                      <w:b/>
                      <w:bCs/>
                      <w:color w:val="auto"/>
                      <w:szCs w:val="21"/>
                      <w:highlight w:val="none"/>
                      <w:u w:val="none" w:color="auto"/>
                      <w:vertAlign w:val="superscript"/>
                    </w:rPr>
                    <w:t>3</w:t>
                  </w:r>
                  <w:r>
                    <w:rPr>
                      <w:rFonts w:hint="default" w:ascii="Times New Roman" w:hAnsi="Times New Roman" w:eastAsia="宋体" w:cs="Times New Roman"/>
                      <w:b/>
                      <w:bCs/>
                      <w:color w:val="auto"/>
                      <w:szCs w:val="21"/>
                      <w:highlight w:val="none"/>
                      <w:u w:val="none" w:color="auto"/>
                    </w:rPr>
                    <w:t>）</w:t>
                  </w:r>
                </w:p>
              </w:tc>
              <w:tc>
                <w:tcPr>
                  <w:tcW w:w="1261" w:type="dxa"/>
                  <w:tcBorders>
                    <w:tl2br w:val="nil"/>
                    <w:tr2bl w:val="nil"/>
                  </w:tcBorders>
                  <w:noWrap w:val="0"/>
                  <w:vAlign w:val="center"/>
                </w:tcPr>
                <w:p w14:paraId="476BE34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szCs w:val="21"/>
                      <w:highlight w:val="none"/>
                      <w:u w:val="none" w:color="auto"/>
                    </w:rPr>
                    <w:t>标准值（μg/m</w:t>
                  </w:r>
                  <w:r>
                    <w:rPr>
                      <w:rFonts w:hint="default" w:ascii="Times New Roman" w:hAnsi="Times New Roman" w:eastAsia="宋体" w:cs="Times New Roman"/>
                      <w:b/>
                      <w:bCs/>
                      <w:color w:val="auto"/>
                      <w:szCs w:val="21"/>
                      <w:highlight w:val="none"/>
                      <w:u w:val="none" w:color="auto"/>
                      <w:vertAlign w:val="superscript"/>
                    </w:rPr>
                    <w:t>3</w:t>
                  </w:r>
                  <w:r>
                    <w:rPr>
                      <w:rFonts w:hint="default" w:ascii="Times New Roman" w:hAnsi="Times New Roman" w:eastAsia="宋体" w:cs="Times New Roman"/>
                      <w:b/>
                      <w:bCs/>
                      <w:color w:val="auto"/>
                      <w:szCs w:val="21"/>
                      <w:highlight w:val="none"/>
                      <w:u w:val="none" w:color="auto"/>
                    </w:rPr>
                    <w:t>）</w:t>
                  </w:r>
                </w:p>
              </w:tc>
              <w:tc>
                <w:tcPr>
                  <w:tcW w:w="1165" w:type="dxa"/>
                  <w:tcBorders>
                    <w:tl2br w:val="nil"/>
                    <w:tr2bl w:val="nil"/>
                  </w:tcBorders>
                  <w:noWrap w:val="0"/>
                  <w:vAlign w:val="center"/>
                </w:tcPr>
                <w:p w14:paraId="2A7BDE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szCs w:val="21"/>
                      <w:highlight w:val="none"/>
                      <w:u w:val="none" w:color="auto"/>
                    </w:rPr>
                    <w:t>占标率%</w:t>
                  </w:r>
                </w:p>
              </w:tc>
              <w:tc>
                <w:tcPr>
                  <w:tcW w:w="1254" w:type="dxa"/>
                  <w:tcBorders>
                    <w:tl2br w:val="nil"/>
                    <w:tr2bl w:val="nil"/>
                  </w:tcBorders>
                  <w:noWrap w:val="0"/>
                  <w:vAlign w:val="center"/>
                </w:tcPr>
                <w:p w14:paraId="1C95199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szCs w:val="21"/>
                      <w:highlight w:val="none"/>
                      <w:u w:val="none" w:color="auto"/>
                    </w:rPr>
                    <w:t>达标情况</w:t>
                  </w:r>
                </w:p>
              </w:tc>
            </w:tr>
            <w:tr w14:paraId="0E68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5D2B71C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SO</w:t>
                  </w:r>
                  <w:r>
                    <w:rPr>
                      <w:rFonts w:hint="default" w:ascii="Times New Roman" w:hAnsi="Times New Roman" w:eastAsia="宋体" w:cs="Times New Roman"/>
                      <w:color w:val="auto"/>
                      <w:szCs w:val="21"/>
                      <w:highlight w:val="none"/>
                      <w:u w:val="none" w:color="auto"/>
                      <w:vertAlign w:val="subscript"/>
                    </w:rPr>
                    <w:t>2</w:t>
                  </w:r>
                </w:p>
              </w:tc>
              <w:tc>
                <w:tcPr>
                  <w:tcW w:w="2412" w:type="dxa"/>
                  <w:tcBorders>
                    <w:tl2br w:val="nil"/>
                    <w:tr2bl w:val="nil"/>
                  </w:tcBorders>
                  <w:noWrap w:val="0"/>
                  <w:vAlign w:val="center"/>
                </w:tcPr>
                <w:p w14:paraId="57B79F7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年平均质量浓度</w:t>
                  </w:r>
                </w:p>
              </w:tc>
              <w:tc>
                <w:tcPr>
                  <w:tcW w:w="1290" w:type="dxa"/>
                  <w:tcBorders>
                    <w:tl2br w:val="nil"/>
                    <w:tr2bl w:val="nil"/>
                  </w:tcBorders>
                  <w:noWrap w:val="0"/>
                  <w:vAlign w:val="center"/>
                </w:tcPr>
                <w:p w14:paraId="27F4850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lang w:eastAsia="zh-CN"/>
                    </w:rPr>
                  </w:pPr>
                </w:p>
              </w:tc>
              <w:tc>
                <w:tcPr>
                  <w:tcW w:w="1261" w:type="dxa"/>
                  <w:tcBorders>
                    <w:tl2br w:val="nil"/>
                    <w:tr2bl w:val="nil"/>
                  </w:tcBorders>
                  <w:noWrap w:val="0"/>
                  <w:vAlign w:val="center"/>
                </w:tcPr>
                <w:p w14:paraId="753F2D5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60</w:t>
                  </w:r>
                </w:p>
              </w:tc>
              <w:tc>
                <w:tcPr>
                  <w:tcW w:w="1165" w:type="dxa"/>
                  <w:tcBorders>
                    <w:tl2br w:val="nil"/>
                    <w:tr2bl w:val="nil"/>
                  </w:tcBorders>
                  <w:noWrap w:val="0"/>
                  <w:vAlign w:val="center"/>
                </w:tcPr>
                <w:p w14:paraId="65CB0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rPr>
                  </w:pPr>
                </w:p>
              </w:tc>
              <w:tc>
                <w:tcPr>
                  <w:tcW w:w="1254" w:type="dxa"/>
                  <w:tcBorders>
                    <w:tl2br w:val="nil"/>
                    <w:tr2bl w:val="nil"/>
                  </w:tcBorders>
                  <w:noWrap w:val="0"/>
                  <w:vAlign w:val="top"/>
                </w:tcPr>
                <w:p w14:paraId="59F5B76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达标</w:t>
                  </w:r>
                </w:p>
              </w:tc>
            </w:tr>
            <w:tr w14:paraId="673F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1CDBEF8D">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NO</w:t>
                  </w:r>
                  <w:r>
                    <w:rPr>
                      <w:rFonts w:hint="default" w:ascii="Times New Roman" w:hAnsi="Times New Roman" w:eastAsia="宋体" w:cs="Times New Roman"/>
                      <w:color w:val="auto"/>
                      <w:szCs w:val="21"/>
                      <w:highlight w:val="none"/>
                      <w:u w:val="none" w:color="auto"/>
                      <w:vertAlign w:val="subscript"/>
                    </w:rPr>
                    <w:t>2</w:t>
                  </w:r>
                </w:p>
              </w:tc>
              <w:tc>
                <w:tcPr>
                  <w:tcW w:w="2412" w:type="dxa"/>
                  <w:tcBorders>
                    <w:tl2br w:val="nil"/>
                    <w:tr2bl w:val="nil"/>
                  </w:tcBorders>
                  <w:noWrap w:val="0"/>
                  <w:vAlign w:val="center"/>
                </w:tcPr>
                <w:p w14:paraId="47703EA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年平均质量浓度</w:t>
                  </w:r>
                </w:p>
              </w:tc>
              <w:tc>
                <w:tcPr>
                  <w:tcW w:w="1290" w:type="dxa"/>
                  <w:tcBorders>
                    <w:tl2br w:val="nil"/>
                    <w:tr2bl w:val="nil"/>
                  </w:tcBorders>
                  <w:noWrap w:val="0"/>
                  <w:vAlign w:val="center"/>
                </w:tcPr>
                <w:p w14:paraId="0FD8E36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lang w:val="en-US" w:eastAsia="zh-CN"/>
                    </w:rPr>
                  </w:pPr>
                </w:p>
              </w:tc>
              <w:tc>
                <w:tcPr>
                  <w:tcW w:w="1261" w:type="dxa"/>
                  <w:tcBorders>
                    <w:tl2br w:val="nil"/>
                    <w:tr2bl w:val="nil"/>
                  </w:tcBorders>
                  <w:noWrap w:val="0"/>
                  <w:vAlign w:val="center"/>
                </w:tcPr>
                <w:p w14:paraId="27FC1CA1">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40</w:t>
                  </w:r>
                </w:p>
              </w:tc>
              <w:tc>
                <w:tcPr>
                  <w:tcW w:w="1165" w:type="dxa"/>
                  <w:tcBorders>
                    <w:tl2br w:val="nil"/>
                    <w:tr2bl w:val="nil"/>
                  </w:tcBorders>
                  <w:noWrap w:val="0"/>
                  <w:vAlign w:val="center"/>
                </w:tcPr>
                <w:p w14:paraId="3268A8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US" w:eastAsia="zh-CN"/>
                    </w:rPr>
                  </w:pPr>
                </w:p>
              </w:tc>
              <w:tc>
                <w:tcPr>
                  <w:tcW w:w="1254" w:type="dxa"/>
                  <w:tcBorders>
                    <w:tl2br w:val="nil"/>
                    <w:tr2bl w:val="nil"/>
                  </w:tcBorders>
                  <w:noWrap w:val="0"/>
                  <w:vAlign w:val="top"/>
                </w:tcPr>
                <w:p w14:paraId="16BEE38C">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达标</w:t>
                  </w:r>
                </w:p>
              </w:tc>
            </w:tr>
            <w:tr w14:paraId="5B22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6AE6B5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PM</w:t>
                  </w:r>
                  <w:r>
                    <w:rPr>
                      <w:rFonts w:hint="default" w:ascii="Times New Roman" w:hAnsi="Times New Roman" w:eastAsia="宋体" w:cs="Times New Roman"/>
                      <w:color w:val="auto"/>
                      <w:szCs w:val="21"/>
                      <w:highlight w:val="none"/>
                      <w:u w:val="none" w:color="auto"/>
                      <w:vertAlign w:val="subscript"/>
                    </w:rPr>
                    <w:t>10</w:t>
                  </w:r>
                </w:p>
              </w:tc>
              <w:tc>
                <w:tcPr>
                  <w:tcW w:w="2412" w:type="dxa"/>
                  <w:tcBorders>
                    <w:tl2br w:val="nil"/>
                    <w:tr2bl w:val="nil"/>
                  </w:tcBorders>
                  <w:noWrap w:val="0"/>
                  <w:vAlign w:val="center"/>
                </w:tcPr>
                <w:p w14:paraId="474D456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年平均质量浓度</w:t>
                  </w:r>
                </w:p>
              </w:tc>
              <w:tc>
                <w:tcPr>
                  <w:tcW w:w="1290" w:type="dxa"/>
                  <w:tcBorders>
                    <w:tl2br w:val="nil"/>
                    <w:tr2bl w:val="nil"/>
                  </w:tcBorders>
                  <w:noWrap w:val="0"/>
                  <w:vAlign w:val="center"/>
                </w:tcPr>
                <w:p w14:paraId="27E24C3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lang w:val="en-US" w:eastAsia="zh-CN"/>
                    </w:rPr>
                  </w:pPr>
                </w:p>
              </w:tc>
              <w:tc>
                <w:tcPr>
                  <w:tcW w:w="1261" w:type="dxa"/>
                  <w:tcBorders>
                    <w:tl2br w:val="nil"/>
                    <w:tr2bl w:val="nil"/>
                  </w:tcBorders>
                  <w:noWrap w:val="0"/>
                  <w:vAlign w:val="center"/>
                </w:tcPr>
                <w:p w14:paraId="7FCA21DC">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70</w:t>
                  </w:r>
                </w:p>
              </w:tc>
              <w:tc>
                <w:tcPr>
                  <w:tcW w:w="1165" w:type="dxa"/>
                  <w:tcBorders>
                    <w:tl2br w:val="nil"/>
                    <w:tr2bl w:val="nil"/>
                  </w:tcBorders>
                  <w:noWrap w:val="0"/>
                  <w:vAlign w:val="center"/>
                </w:tcPr>
                <w:p w14:paraId="19A1D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US" w:eastAsia="zh-CN"/>
                    </w:rPr>
                  </w:pPr>
                </w:p>
              </w:tc>
              <w:tc>
                <w:tcPr>
                  <w:tcW w:w="1254" w:type="dxa"/>
                  <w:tcBorders>
                    <w:tl2br w:val="nil"/>
                    <w:tr2bl w:val="nil"/>
                  </w:tcBorders>
                  <w:noWrap w:val="0"/>
                  <w:vAlign w:val="top"/>
                </w:tcPr>
                <w:p w14:paraId="59F020C5">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达标</w:t>
                  </w:r>
                </w:p>
              </w:tc>
            </w:tr>
            <w:tr w14:paraId="6BA7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4B2B391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PM</w:t>
                  </w:r>
                  <w:r>
                    <w:rPr>
                      <w:rFonts w:hint="default" w:ascii="Times New Roman" w:hAnsi="Times New Roman" w:eastAsia="宋体" w:cs="Times New Roman"/>
                      <w:color w:val="auto"/>
                      <w:szCs w:val="21"/>
                      <w:highlight w:val="none"/>
                      <w:u w:val="none" w:color="auto"/>
                      <w:vertAlign w:val="subscript"/>
                    </w:rPr>
                    <w:t>2.5</w:t>
                  </w:r>
                </w:p>
              </w:tc>
              <w:tc>
                <w:tcPr>
                  <w:tcW w:w="2412" w:type="dxa"/>
                  <w:tcBorders>
                    <w:tl2br w:val="nil"/>
                    <w:tr2bl w:val="nil"/>
                  </w:tcBorders>
                  <w:noWrap w:val="0"/>
                  <w:vAlign w:val="center"/>
                </w:tcPr>
                <w:p w14:paraId="5C7282AE">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年平均质量浓度</w:t>
                  </w:r>
                </w:p>
              </w:tc>
              <w:tc>
                <w:tcPr>
                  <w:tcW w:w="1290" w:type="dxa"/>
                  <w:tcBorders>
                    <w:tl2br w:val="nil"/>
                    <w:tr2bl w:val="nil"/>
                  </w:tcBorders>
                  <w:noWrap w:val="0"/>
                  <w:vAlign w:val="center"/>
                </w:tcPr>
                <w:p w14:paraId="738CB59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lang w:val="en-US" w:eastAsia="zh-CN"/>
                    </w:rPr>
                  </w:pPr>
                </w:p>
              </w:tc>
              <w:tc>
                <w:tcPr>
                  <w:tcW w:w="1261" w:type="dxa"/>
                  <w:tcBorders>
                    <w:tl2br w:val="nil"/>
                    <w:tr2bl w:val="nil"/>
                  </w:tcBorders>
                  <w:noWrap w:val="0"/>
                  <w:vAlign w:val="center"/>
                </w:tcPr>
                <w:p w14:paraId="42400898">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35</w:t>
                  </w:r>
                </w:p>
              </w:tc>
              <w:tc>
                <w:tcPr>
                  <w:tcW w:w="1165" w:type="dxa"/>
                  <w:tcBorders>
                    <w:tl2br w:val="nil"/>
                    <w:tr2bl w:val="nil"/>
                  </w:tcBorders>
                  <w:noWrap w:val="0"/>
                  <w:vAlign w:val="center"/>
                </w:tcPr>
                <w:p w14:paraId="5F894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US" w:eastAsia="zh-CN"/>
                    </w:rPr>
                  </w:pPr>
                </w:p>
              </w:tc>
              <w:tc>
                <w:tcPr>
                  <w:tcW w:w="1254" w:type="dxa"/>
                  <w:tcBorders>
                    <w:tl2br w:val="nil"/>
                    <w:tr2bl w:val="nil"/>
                  </w:tcBorders>
                  <w:noWrap w:val="0"/>
                  <w:vAlign w:val="top"/>
                </w:tcPr>
                <w:p w14:paraId="4D6AA2D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达标</w:t>
                  </w:r>
                </w:p>
              </w:tc>
            </w:tr>
            <w:tr w14:paraId="5F36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1CF3038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CO</w:t>
                  </w:r>
                </w:p>
              </w:tc>
              <w:tc>
                <w:tcPr>
                  <w:tcW w:w="2412" w:type="dxa"/>
                  <w:tcBorders>
                    <w:tl2br w:val="nil"/>
                    <w:tr2bl w:val="nil"/>
                  </w:tcBorders>
                  <w:noWrap w:val="0"/>
                  <w:vAlign w:val="center"/>
                </w:tcPr>
                <w:p w14:paraId="13B6D13B">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24小时平均浓度日</w:t>
                  </w:r>
                </w:p>
              </w:tc>
              <w:tc>
                <w:tcPr>
                  <w:tcW w:w="1290" w:type="dxa"/>
                  <w:tcBorders>
                    <w:tl2br w:val="nil"/>
                    <w:tr2bl w:val="nil"/>
                  </w:tcBorders>
                  <w:noWrap w:val="0"/>
                  <w:vAlign w:val="center"/>
                </w:tcPr>
                <w:p w14:paraId="54075483">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p>
              </w:tc>
              <w:tc>
                <w:tcPr>
                  <w:tcW w:w="1261" w:type="dxa"/>
                  <w:tcBorders>
                    <w:tl2br w:val="nil"/>
                    <w:tr2bl w:val="nil"/>
                  </w:tcBorders>
                  <w:noWrap w:val="0"/>
                  <w:vAlign w:val="center"/>
                </w:tcPr>
                <w:p w14:paraId="167185A9">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4mg/m</w:t>
                  </w:r>
                  <w:r>
                    <w:rPr>
                      <w:rFonts w:hint="default" w:ascii="Times New Roman" w:hAnsi="Times New Roman" w:eastAsia="宋体" w:cs="Times New Roman"/>
                      <w:color w:val="auto"/>
                      <w:szCs w:val="21"/>
                      <w:highlight w:val="none"/>
                      <w:u w:val="none" w:color="auto"/>
                      <w:vertAlign w:val="superscript"/>
                    </w:rPr>
                    <w:t>3</w:t>
                  </w:r>
                </w:p>
              </w:tc>
              <w:tc>
                <w:tcPr>
                  <w:tcW w:w="1165" w:type="dxa"/>
                  <w:tcBorders>
                    <w:tl2br w:val="nil"/>
                    <w:tr2bl w:val="nil"/>
                  </w:tcBorders>
                  <w:noWrap w:val="0"/>
                  <w:vAlign w:val="center"/>
                </w:tcPr>
                <w:p w14:paraId="47CECD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US" w:eastAsia="zh-CN"/>
                    </w:rPr>
                  </w:pPr>
                </w:p>
              </w:tc>
              <w:tc>
                <w:tcPr>
                  <w:tcW w:w="1254" w:type="dxa"/>
                  <w:tcBorders>
                    <w:tl2br w:val="nil"/>
                    <w:tr2bl w:val="nil"/>
                  </w:tcBorders>
                  <w:noWrap w:val="0"/>
                  <w:vAlign w:val="top"/>
                </w:tcPr>
                <w:p w14:paraId="3F95FAB4">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达标</w:t>
                  </w:r>
                </w:p>
              </w:tc>
            </w:tr>
            <w:tr w14:paraId="650A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76" w:type="dxa"/>
                  <w:tcBorders>
                    <w:tl2br w:val="nil"/>
                    <w:tr2bl w:val="nil"/>
                  </w:tcBorders>
                  <w:noWrap w:val="0"/>
                  <w:vAlign w:val="center"/>
                </w:tcPr>
                <w:p w14:paraId="74DF398F">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O</w:t>
                  </w:r>
                  <w:r>
                    <w:rPr>
                      <w:rFonts w:hint="default" w:ascii="Times New Roman" w:hAnsi="Times New Roman" w:eastAsia="宋体" w:cs="Times New Roman"/>
                      <w:color w:val="auto"/>
                      <w:szCs w:val="21"/>
                      <w:highlight w:val="none"/>
                      <w:u w:val="none" w:color="auto"/>
                      <w:vertAlign w:val="subscript"/>
                    </w:rPr>
                    <w:t>3</w:t>
                  </w:r>
                </w:p>
              </w:tc>
              <w:tc>
                <w:tcPr>
                  <w:tcW w:w="2412" w:type="dxa"/>
                  <w:tcBorders>
                    <w:tl2br w:val="nil"/>
                    <w:tr2bl w:val="nil"/>
                  </w:tcBorders>
                  <w:noWrap w:val="0"/>
                  <w:vAlign w:val="center"/>
                </w:tcPr>
                <w:p w14:paraId="507AEE26">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日最大8小时平均浓度</w:t>
                  </w:r>
                </w:p>
              </w:tc>
              <w:tc>
                <w:tcPr>
                  <w:tcW w:w="1290" w:type="dxa"/>
                  <w:tcBorders>
                    <w:tl2br w:val="nil"/>
                    <w:tr2bl w:val="nil"/>
                  </w:tcBorders>
                  <w:noWrap w:val="0"/>
                  <w:vAlign w:val="center"/>
                </w:tcPr>
                <w:p w14:paraId="233AE15D">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lang w:val="en-US" w:eastAsia="zh-CN"/>
                    </w:rPr>
                  </w:pPr>
                </w:p>
              </w:tc>
              <w:tc>
                <w:tcPr>
                  <w:tcW w:w="1261" w:type="dxa"/>
                  <w:tcBorders>
                    <w:tl2br w:val="nil"/>
                    <w:tr2bl w:val="nil"/>
                  </w:tcBorders>
                  <w:noWrap w:val="0"/>
                  <w:vAlign w:val="center"/>
                </w:tcPr>
                <w:p w14:paraId="60603007">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160</w:t>
                  </w:r>
                </w:p>
              </w:tc>
              <w:tc>
                <w:tcPr>
                  <w:tcW w:w="1165" w:type="dxa"/>
                  <w:tcBorders>
                    <w:tl2br w:val="nil"/>
                    <w:tr2bl w:val="nil"/>
                  </w:tcBorders>
                  <w:noWrap w:val="0"/>
                  <w:vAlign w:val="center"/>
                </w:tcPr>
                <w:p w14:paraId="25DA18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u w:val="none" w:color="auto"/>
                      <w:lang w:val="en-US" w:eastAsia="zh-CN"/>
                    </w:rPr>
                  </w:pPr>
                </w:p>
              </w:tc>
              <w:tc>
                <w:tcPr>
                  <w:tcW w:w="1254" w:type="dxa"/>
                  <w:tcBorders>
                    <w:tl2br w:val="nil"/>
                    <w:tr2bl w:val="nil"/>
                  </w:tcBorders>
                  <w:noWrap w:val="0"/>
                  <w:vAlign w:val="center"/>
                </w:tcPr>
                <w:p w14:paraId="72704F82">
                  <w:pPr>
                    <w:keepNext w:val="0"/>
                    <w:keepLines w:val="0"/>
                    <w:widowControl/>
                    <w:suppressLineNumbers w:val="0"/>
                    <w:adjustRightInd w:val="0"/>
                    <w:snapToGrid w:val="0"/>
                    <w:spacing w:before="0" w:beforeAutospacing="0" w:after="0" w:afterAutospacing="0"/>
                    <w:ind w:left="0" w:right="0"/>
                    <w:contextualSpacing/>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Cs w:val="21"/>
                      <w:highlight w:val="none"/>
                      <w:u w:val="none" w:color="auto"/>
                    </w:rPr>
                    <w:t>达标</w:t>
                  </w:r>
                </w:p>
              </w:tc>
            </w:tr>
          </w:tbl>
          <w:p w14:paraId="23F9EA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lang w:eastAsia="zh-CN"/>
              </w:rPr>
              <w:t>由表3</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eastAsia="zh-CN"/>
              </w:rPr>
              <w:t>1所示，所在区域环境空气SO</w:t>
            </w:r>
            <w:r>
              <w:rPr>
                <w:rFonts w:hint="default" w:ascii="Times New Roman" w:hAnsi="Times New Roman" w:eastAsia="宋体" w:cs="Times New Roman"/>
                <w:color w:val="auto"/>
                <w:sz w:val="24"/>
                <w:szCs w:val="24"/>
                <w:highlight w:val="none"/>
                <w:u w:val="none" w:color="auto"/>
                <w:vertAlign w:val="subscript"/>
                <w:lang w:eastAsia="zh-CN"/>
              </w:rPr>
              <w:t>2</w:t>
            </w:r>
            <w:r>
              <w:rPr>
                <w:rFonts w:hint="default" w:ascii="Times New Roman" w:hAnsi="Times New Roman" w:eastAsia="宋体" w:cs="Times New Roman"/>
                <w:color w:val="auto"/>
                <w:sz w:val="24"/>
                <w:szCs w:val="24"/>
                <w:highlight w:val="none"/>
                <w:u w:val="none" w:color="auto"/>
                <w:lang w:eastAsia="zh-CN"/>
              </w:rPr>
              <w:t>、NO</w:t>
            </w:r>
            <w:r>
              <w:rPr>
                <w:rFonts w:hint="default" w:ascii="Times New Roman" w:hAnsi="Times New Roman" w:eastAsia="宋体" w:cs="Times New Roman"/>
                <w:color w:val="auto"/>
                <w:sz w:val="24"/>
                <w:szCs w:val="24"/>
                <w:highlight w:val="none"/>
                <w:u w:val="none" w:color="auto"/>
                <w:vertAlign w:val="subscript"/>
                <w:lang w:eastAsia="zh-CN"/>
              </w:rPr>
              <w:t>2</w:t>
            </w:r>
            <w:r>
              <w:rPr>
                <w:rFonts w:hint="default" w:ascii="Times New Roman" w:hAnsi="Times New Roman" w:eastAsia="宋体" w:cs="Times New Roman"/>
                <w:color w:val="auto"/>
                <w:sz w:val="24"/>
                <w:szCs w:val="24"/>
                <w:highlight w:val="none"/>
                <w:u w:val="none" w:color="auto"/>
                <w:lang w:eastAsia="zh-CN"/>
              </w:rPr>
              <w:t>、PM</w:t>
            </w:r>
            <w:r>
              <w:rPr>
                <w:rFonts w:hint="default" w:ascii="Times New Roman" w:hAnsi="Times New Roman" w:eastAsia="宋体" w:cs="Times New Roman"/>
                <w:color w:val="auto"/>
                <w:sz w:val="24"/>
                <w:szCs w:val="24"/>
                <w:highlight w:val="none"/>
                <w:u w:val="none" w:color="auto"/>
                <w:vertAlign w:val="subscript"/>
                <w:lang w:eastAsia="zh-CN"/>
              </w:rPr>
              <w:t>10</w:t>
            </w:r>
            <w:r>
              <w:rPr>
                <w:rFonts w:hint="default" w:ascii="Times New Roman" w:hAnsi="Times New Roman" w:eastAsia="宋体" w:cs="Times New Roman"/>
                <w:color w:val="auto"/>
                <w:sz w:val="24"/>
                <w:szCs w:val="24"/>
                <w:highlight w:val="none"/>
                <w:u w:val="none" w:color="auto"/>
                <w:lang w:eastAsia="zh-CN"/>
              </w:rPr>
              <w:t>、PM</w:t>
            </w:r>
            <w:r>
              <w:rPr>
                <w:rFonts w:hint="default" w:ascii="Times New Roman" w:hAnsi="Times New Roman" w:eastAsia="宋体" w:cs="Times New Roman"/>
                <w:color w:val="auto"/>
                <w:sz w:val="24"/>
                <w:szCs w:val="24"/>
                <w:highlight w:val="none"/>
                <w:u w:val="none" w:color="auto"/>
                <w:vertAlign w:val="subscript"/>
                <w:lang w:eastAsia="zh-CN"/>
              </w:rPr>
              <w:t>2.5</w:t>
            </w:r>
            <w:r>
              <w:rPr>
                <w:rFonts w:hint="default" w:ascii="Times New Roman" w:hAnsi="Times New Roman" w:eastAsia="宋体" w:cs="Times New Roman"/>
                <w:color w:val="auto"/>
                <w:sz w:val="24"/>
                <w:szCs w:val="24"/>
                <w:highlight w:val="none"/>
                <w:u w:val="none" w:color="auto"/>
                <w:lang w:eastAsia="zh-CN"/>
              </w:rPr>
              <w:t>、CO、O</w:t>
            </w:r>
            <w:r>
              <w:rPr>
                <w:rFonts w:hint="default" w:ascii="Times New Roman" w:hAnsi="Times New Roman" w:eastAsia="宋体" w:cs="Times New Roman"/>
                <w:color w:val="auto"/>
                <w:sz w:val="24"/>
                <w:szCs w:val="24"/>
                <w:highlight w:val="none"/>
                <w:u w:val="none" w:color="auto"/>
                <w:vertAlign w:val="subscript"/>
                <w:lang w:eastAsia="zh-CN"/>
              </w:rPr>
              <w:t>3</w:t>
            </w:r>
            <w:r>
              <w:rPr>
                <w:rFonts w:hint="default" w:ascii="Times New Roman" w:hAnsi="Times New Roman" w:eastAsia="宋体" w:cs="Times New Roman"/>
                <w:color w:val="auto"/>
                <w:sz w:val="24"/>
                <w:szCs w:val="24"/>
                <w:highlight w:val="none"/>
                <w:u w:val="none" w:color="auto"/>
                <w:lang w:eastAsia="zh-CN"/>
              </w:rPr>
              <w:t>均达到</w:t>
            </w:r>
            <w:r>
              <w:rPr>
                <w:rFonts w:hint="default" w:ascii="Times New Roman" w:hAnsi="Times New Roman" w:eastAsia="宋体" w:cs="Times New Roman"/>
                <w:color w:val="auto"/>
                <w:sz w:val="24"/>
                <w:szCs w:val="24"/>
                <w:highlight w:val="none"/>
                <w:u w:val="single" w:color="auto"/>
                <w:lang w:eastAsia="zh-CN"/>
              </w:rPr>
              <w:t>《环境空气质量标准》（GB3095-2012）及其修改单中二级标准的要求</w:t>
            </w:r>
            <w:r>
              <w:rPr>
                <w:rFonts w:hint="default" w:ascii="Times New Roman" w:hAnsi="Times New Roman" w:eastAsia="宋体" w:cs="Times New Roman"/>
                <w:color w:val="auto"/>
                <w:sz w:val="24"/>
                <w:szCs w:val="24"/>
                <w:highlight w:val="none"/>
                <w:u w:val="none" w:color="auto"/>
                <w:lang w:eastAsia="zh-CN"/>
              </w:rPr>
              <w:t>，故项目所在区域属于环境空气质量达标区。</w:t>
            </w:r>
          </w:p>
          <w:p w14:paraId="40C1F2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2、</w:t>
            </w:r>
            <w:r>
              <w:rPr>
                <w:rFonts w:hint="default" w:ascii="Times New Roman" w:hAnsi="Times New Roman" w:eastAsia="宋体" w:cs="Times New Roman"/>
                <w:b/>
                <w:bCs/>
                <w:color w:val="auto"/>
                <w:sz w:val="24"/>
                <w:szCs w:val="24"/>
                <w:highlight w:val="none"/>
                <w:u w:val="none" w:color="auto"/>
                <w:lang w:eastAsia="zh-CN"/>
              </w:rPr>
              <w:t>地表</w:t>
            </w:r>
            <w:r>
              <w:rPr>
                <w:rFonts w:hint="default" w:ascii="Times New Roman" w:hAnsi="Times New Roman" w:eastAsia="宋体" w:cs="Times New Roman"/>
                <w:b/>
                <w:bCs/>
                <w:color w:val="auto"/>
                <w:sz w:val="24"/>
                <w:szCs w:val="24"/>
                <w:highlight w:val="none"/>
                <w:u w:val="none" w:color="auto"/>
              </w:rPr>
              <w:t>水环境质量状况</w:t>
            </w:r>
          </w:p>
          <w:p w14:paraId="3E9AD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single" w:color="auto"/>
                <w:lang w:val="en-US" w:eastAsia="zh-CN"/>
              </w:rPr>
            </w:pPr>
            <w:r>
              <w:rPr>
                <w:rFonts w:hint="default" w:ascii="Times New Roman" w:hAnsi="Times New Roman" w:eastAsia="宋体" w:cs="Times New Roman"/>
                <w:color w:val="auto"/>
                <w:sz w:val="24"/>
                <w:highlight w:val="none"/>
                <w:u w:val="single" w:color="auto"/>
                <w:lang w:val="en-US" w:eastAsia="zh-CN"/>
              </w:rPr>
              <w:t>根据《广西壮族自治区近岸海域环境功能区划调整方案》（桂环发〔2023〕9号），项目周边海域为钦州港果子山港口区（代码：GX05</w:t>
            </w:r>
            <w:r>
              <w:rPr>
                <w:rFonts w:hint="eastAsia" w:cs="Times New Roman"/>
                <w:color w:val="auto"/>
                <w:sz w:val="24"/>
                <w:highlight w:val="none"/>
                <w:u w:val="single" w:color="auto"/>
                <w:lang w:val="en-US" w:eastAsia="zh-CN"/>
              </w:rPr>
              <w:t>4</w:t>
            </w:r>
            <w:r>
              <w:rPr>
                <w:rFonts w:hint="default" w:ascii="Times New Roman" w:hAnsi="Times New Roman" w:eastAsia="宋体" w:cs="Times New Roman"/>
                <w:color w:val="auto"/>
                <w:sz w:val="24"/>
                <w:highlight w:val="none"/>
                <w:u w:val="single" w:color="auto"/>
                <w:lang w:val="en-US" w:eastAsia="zh-CN"/>
              </w:rPr>
              <w:t>DⅣ）</w:t>
            </w:r>
            <w:r>
              <w:rPr>
                <w:rFonts w:hint="eastAsia" w:ascii="Times New Roman" w:hAnsi="Times New Roman" w:eastAsia="宋体" w:cs="Times New Roman"/>
                <w:color w:val="auto"/>
                <w:sz w:val="24"/>
                <w:highlight w:val="none"/>
                <w:u w:val="single" w:color="auto"/>
                <w:lang w:val="en-US" w:eastAsia="zh-CN"/>
              </w:rPr>
              <w:t>主导功能为港口和工业用海，属四类环境功能区，水质执行《海水水质标准》(GB3097-1997)四类标准限值要求</w:t>
            </w:r>
            <w:r>
              <w:rPr>
                <w:rFonts w:hint="default" w:ascii="Times New Roman" w:hAnsi="Times New Roman" w:eastAsia="宋体" w:cs="Times New Roman"/>
                <w:color w:val="auto"/>
                <w:sz w:val="24"/>
                <w:highlight w:val="none"/>
                <w:u w:val="single" w:color="auto"/>
                <w:lang w:val="en-US" w:eastAsia="zh-CN"/>
              </w:rPr>
              <w:t>。</w:t>
            </w:r>
          </w:p>
          <w:p w14:paraId="34461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u w:val="none" w:color="auto"/>
                <w:lang w:val="en-US" w:eastAsia="zh-CN"/>
              </w:rPr>
            </w:pPr>
            <w:r>
              <w:rPr>
                <w:rFonts w:hint="default" w:ascii="Times New Roman" w:hAnsi="Times New Roman" w:eastAsia="宋体" w:cs="Times New Roman"/>
                <w:color w:val="auto"/>
                <w:sz w:val="24"/>
                <w:highlight w:val="none"/>
                <w:u w:val="none" w:color="auto"/>
                <w:lang w:val="en-US" w:eastAsia="zh-CN"/>
              </w:rPr>
              <w:t>根据《</w:t>
            </w:r>
            <w:r>
              <w:rPr>
                <w:rFonts w:hint="eastAsia" w:ascii="Times New Roman" w:hAnsi="Times New Roman" w:eastAsia="宋体" w:cs="Times New Roman"/>
                <w:color w:val="auto"/>
                <w:sz w:val="24"/>
                <w:highlight w:val="none"/>
                <w:u w:val="none" w:color="auto"/>
                <w:lang w:val="en-US" w:eastAsia="zh-CN"/>
              </w:rPr>
              <w:t>2025年6月广西近岸海域自动监测水质状况</w:t>
            </w:r>
            <w:r>
              <w:rPr>
                <w:rFonts w:hint="default" w:ascii="Times New Roman" w:hAnsi="Times New Roman" w:eastAsia="宋体"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根据自动监测结果，6月广西近岸海域17个自动监测站中，水质优良（第一、二类水质）站位共12个，同比持平；第三类水质站位共1个，同比上升1个，第四类水质站位共2个，同比下降2个；劣四类水质站位共2个，同比上升1个；水质优良天数比例为71.37%，同比上升16.02个百分点。</w:t>
            </w:r>
          </w:p>
          <w:p w14:paraId="1042C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lang w:val="en-US"/>
              </w:rPr>
            </w:pPr>
            <w:r>
              <w:rPr>
                <w:rFonts w:hint="eastAsia" w:ascii="Times New Roman" w:hAnsi="Times New Roman" w:eastAsia="宋体" w:cs="Times New Roman"/>
                <w:color w:val="auto"/>
                <w:sz w:val="24"/>
                <w:highlight w:val="none"/>
                <w:u w:val="none" w:color="auto"/>
                <w:lang w:val="en-US" w:eastAsia="zh-CN"/>
              </w:rPr>
              <w:t>与上年同期相比；钦州市GX07站位（龙门海域）水质由第四类下降为劣四类。</w:t>
            </w:r>
          </w:p>
          <w:p w14:paraId="10C32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3、声环境质量状况</w:t>
            </w:r>
          </w:p>
          <w:p w14:paraId="6AEF1C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highlight w:val="none"/>
                <w:u w:val="none" w:color="auto"/>
                <w:lang w:val="en-US" w:eastAsia="zh-CN"/>
              </w:rPr>
            </w:pPr>
            <w:bookmarkStart w:id="9" w:name="_Toc372294727"/>
            <w:bookmarkStart w:id="10" w:name="_Toc327216118"/>
            <w:r>
              <w:rPr>
                <w:rFonts w:hint="default" w:ascii="Times New Roman" w:hAnsi="Times New Roman" w:eastAsia="宋体" w:cs="Times New Roman"/>
                <w:color w:val="auto"/>
                <w:kern w:val="0"/>
                <w:sz w:val="24"/>
                <w:szCs w:val="24"/>
                <w:highlight w:val="none"/>
                <w:u w:val="none" w:color="auto"/>
                <w:lang w:val="en-US" w:eastAsia="zh-CN" w:bidi="ar"/>
              </w:rPr>
              <w:t>本项目位于钦州港大榄坪南作业区后方陆域</w:t>
            </w:r>
            <w:r>
              <w:rPr>
                <w:rFonts w:hint="default" w:ascii="Times New Roman" w:hAnsi="Times New Roman" w:eastAsia="宋体" w:cs="Times New Roman"/>
                <w:bCs/>
                <w:color w:val="auto"/>
                <w:sz w:val="24"/>
                <w:highlight w:val="none"/>
                <w:u w:val="none" w:color="auto"/>
                <w:lang w:eastAsia="zh-CN"/>
              </w:rPr>
              <w:t>，</w:t>
            </w:r>
            <w:r>
              <w:rPr>
                <w:rFonts w:hint="default" w:ascii="Times New Roman" w:hAnsi="Times New Roman" w:eastAsia="宋体" w:cs="Times New Roman"/>
                <w:color w:val="auto"/>
                <w:sz w:val="24"/>
                <w:szCs w:val="32"/>
                <w:highlight w:val="none"/>
                <w:u w:val="none" w:color="auto"/>
              </w:rPr>
              <w:t>属于</w:t>
            </w:r>
            <w:r>
              <w:rPr>
                <w:rFonts w:hint="default" w:ascii="Times New Roman" w:hAnsi="Times New Roman" w:eastAsia="宋体" w:cs="Times New Roman"/>
                <w:color w:val="auto"/>
                <w:sz w:val="24"/>
                <w:szCs w:val="32"/>
                <w:highlight w:val="none"/>
                <w:u w:val="none" w:color="auto"/>
                <w:lang w:val="en-US" w:eastAsia="zh-CN"/>
              </w:rPr>
              <w:t>3</w:t>
            </w:r>
            <w:r>
              <w:rPr>
                <w:rFonts w:hint="default" w:ascii="Times New Roman" w:hAnsi="Times New Roman" w:eastAsia="宋体" w:cs="Times New Roman"/>
                <w:color w:val="auto"/>
                <w:sz w:val="24"/>
                <w:szCs w:val="32"/>
                <w:highlight w:val="none"/>
                <w:u w:val="none" w:color="auto"/>
              </w:rPr>
              <w:t>类</w:t>
            </w:r>
            <w:r>
              <w:rPr>
                <w:rFonts w:hint="default" w:ascii="Times New Roman" w:hAnsi="Times New Roman" w:eastAsia="宋体" w:cs="Times New Roman"/>
                <w:color w:val="auto"/>
                <w:sz w:val="24"/>
                <w:szCs w:val="32"/>
                <w:highlight w:val="none"/>
                <w:u w:val="none" w:color="auto"/>
                <w:lang w:eastAsia="zh-CN"/>
              </w:rPr>
              <w:t>声</w:t>
            </w:r>
            <w:r>
              <w:rPr>
                <w:rFonts w:hint="default" w:ascii="Times New Roman" w:hAnsi="Times New Roman" w:eastAsia="宋体" w:cs="Times New Roman"/>
                <w:color w:val="auto"/>
                <w:sz w:val="24"/>
                <w:szCs w:val="32"/>
                <w:highlight w:val="none"/>
                <w:u w:val="none" w:color="auto"/>
              </w:rPr>
              <w:t>环境功能区，执行《声环境质量标准》（GB3096-2008）</w:t>
            </w:r>
            <w:r>
              <w:rPr>
                <w:rFonts w:hint="default" w:ascii="Times New Roman" w:hAnsi="Times New Roman" w:eastAsia="宋体" w:cs="Times New Roman"/>
                <w:color w:val="auto"/>
                <w:sz w:val="24"/>
                <w:szCs w:val="32"/>
                <w:highlight w:val="none"/>
                <w:u w:val="none" w:color="auto"/>
                <w:lang w:val="en-US" w:eastAsia="zh-CN"/>
              </w:rPr>
              <w:t>3</w:t>
            </w:r>
            <w:r>
              <w:rPr>
                <w:rFonts w:hint="default" w:ascii="Times New Roman" w:hAnsi="Times New Roman" w:eastAsia="宋体" w:cs="Times New Roman"/>
                <w:color w:val="auto"/>
                <w:sz w:val="24"/>
                <w:szCs w:val="32"/>
                <w:highlight w:val="none"/>
                <w:u w:val="none" w:color="auto"/>
              </w:rPr>
              <w:t>类标准</w:t>
            </w:r>
            <w:r>
              <w:rPr>
                <w:rFonts w:hint="default" w:ascii="Times New Roman" w:hAnsi="Times New Roman" w:eastAsia="宋体" w:cs="Times New Roman"/>
                <w:color w:val="auto"/>
                <w:sz w:val="24"/>
                <w:szCs w:val="32"/>
                <w:highlight w:val="none"/>
                <w:u w:val="none" w:color="auto"/>
                <w:lang w:eastAsia="zh-CN"/>
              </w:rPr>
              <w:t>。</w:t>
            </w:r>
            <w:r>
              <w:rPr>
                <w:rFonts w:hint="default" w:ascii="Times New Roman" w:hAnsi="Times New Roman" w:eastAsia="宋体" w:cs="Times New Roman"/>
                <w:color w:val="auto"/>
                <w:kern w:val="0"/>
                <w:sz w:val="24"/>
                <w:highlight w:val="none"/>
                <w:u w:val="none" w:color="auto"/>
                <w:lang w:val="en-US" w:eastAsia="zh-CN"/>
              </w:rPr>
              <w:t>项目周边50m范围内无声环境保护目标</w:t>
            </w:r>
            <w:r>
              <w:rPr>
                <w:rFonts w:hint="eastAsia" w:ascii="Times New Roman" w:hAnsi="Times New Roman" w:eastAsia="宋体"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为了解项目地声环境质量现状，本次评价委托广西正大天成检测技术有限公司</w:t>
            </w:r>
            <w:r>
              <w:rPr>
                <w:rFonts w:hint="eastAsia" w:ascii="Times New Roman" w:hAnsi="Times New Roman" w:eastAsia="宋体" w:cs="Times New Roman"/>
                <w:color w:val="auto"/>
                <w:kern w:val="0"/>
                <w:sz w:val="24"/>
                <w:highlight w:val="none"/>
                <w:u w:val="none" w:color="auto"/>
                <w:lang w:val="en-US" w:eastAsia="zh-CN"/>
              </w:rPr>
              <w:t>2025</w:t>
            </w:r>
            <w:r>
              <w:rPr>
                <w:rFonts w:hint="default" w:ascii="Times New Roman" w:hAnsi="Times New Roman" w:eastAsia="宋体" w:cs="Times New Roman"/>
                <w:color w:val="auto"/>
                <w:kern w:val="0"/>
                <w:sz w:val="24"/>
                <w:highlight w:val="none"/>
                <w:u w:val="none" w:color="auto"/>
                <w:lang w:val="en-US" w:eastAsia="zh-CN"/>
              </w:rPr>
              <w:t xml:space="preserve"> 年</w:t>
            </w:r>
            <w:r>
              <w:rPr>
                <w:rFonts w:hint="eastAsia" w:ascii="Times New Roman" w:hAnsi="Times New Roman" w:eastAsia="宋体" w:cs="Times New Roman"/>
                <w:color w:val="auto"/>
                <w:kern w:val="0"/>
                <w:sz w:val="24"/>
                <w:highlight w:val="none"/>
                <w:u w:val="none" w:color="auto"/>
                <w:lang w:val="en-US" w:eastAsia="zh-CN"/>
              </w:rPr>
              <w:t>7</w:t>
            </w:r>
            <w:r>
              <w:rPr>
                <w:rFonts w:hint="default" w:ascii="Times New Roman" w:hAnsi="Times New Roman" w:eastAsia="宋体" w:cs="Times New Roman"/>
                <w:color w:val="auto"/>
                <w:kern w:val="0"/>
                <w:sz w:val="24"/>
                <w:highlight w:val="none"/>
                <w:u w:val="none" w:color="auto"/>
                <w:lang w:val="en-US" w:eastAsia="zh-CN"/>
              </w:rPr>
              <w:t xml:space="preserve">月 </w:t>
            </w:r>
            <w:r>
              <w:rPr>
                <w:rFonts w:hint="eastAsia" w:ascii="Times New Roman" w:hAnsi="Times New Roman" w:eastAsia="宋体" w:cs="Times New Roman"/>
                <w:color w:val="auto"/>
                <w:kern w:val="0"/>
                <w:sz w:val="24"/>
                <w:highlight w:val="none"/>
                <w:u w:val="none" w:color="auto"/>
                <w:lang w:val="en-US" w:eastAsia="zh-CN"/>
              </w:rPr>
              <w:t>16</w:t>
            </w:r>
            <w:r>
              <w:rPr>
                <w:rFonts w:hint="default" w:ascii="Times New Roman" w:hAnsi="Times New Roman" w:eastAsia="宋体" w:cs="Times New Roman"/>
                <w:color w:val="auto"/>
                <w:kern w:val="0"/>
                <w:sz w:val="24"/>
                <w:highlight w:val="none"/>
                <w:u w:val="none" w:color="auto"/>
                <w:lang w:val="en-US" w:eastAsia="zh-CN"/>
              </w:rPr>
              <w:t>日在项目厂界四周进行了噪声监测。监测结果如下表 所示</w:t>
            </w:r>
            <w:r>
              <w:rPr>
                <w:rFonts w:hint="eastAsia" w:ascii="Times New Roman" w:hAnsi="Times New Roman" w:eastAsia="宋体" w:cs="Times New Roman"/>
                <w:color w:val="auto"/>
                <w:kern w:val="0"/>
                <w:sz w:val="24"/>
                <w:highlight w:val="none"/>
                <w:u w:val="none" w:color="auto"/>
                <w:lang w:val="en-US" w:eastAsia="zh-CN"/>
              </w:rPr>
              <w:t>。</w:t>
            </w:r>
          </w:p>
          <w:p w14:paraId="5801B7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color w:val="auto"/>
                <w:kern w:val="0"/>
                <w:sz w:val="21"/>
                <w:szCs w:val="21"/>
                <w:highlight w:val="yellow"/>
                <w:u w:val="none" w:color="auto"/>
                <w:lang w:val="en-US" w:eastAsia="zh-CN"/>
              </w:rPr>
            </w:pPr>
            <w:r>
              <w:rPr>
                <w:rFonts w:hint="eastAsia" w:ascii="Times New Roman" w:hAnsi="Times New Roman" w:eastAsia="宋体" w:cs="Times New Roman"/>
                <w:b/>
                <w:bCs/>
                <w:color w:val="auto"/>
                <w:kern w:val="0"/>
                <w:sz w:val="21"/>
                <w:szCs w:val="21"/>
                <w:highlight w:val="none"/>
                <w:u w:val="none" w:color="auto"/>
                <w:lang w:val="en-US" w:eastAsia="zh-CN"/>
              </w:rPr>
              <w:t>表3-2 声环境现状监测结果及评价一览表</w:t>
            </w:r>
          </w:p>
          <w:tbl>
            <w:tblPr>
              <w:tblStyle w:val="143"/>
              <w:tblW w:w="8058"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1"/>
              <w:gridCol w:w="839"/>
              <w:gridCol w:w="1066"/>
              <w:gridCol w:w="1230"/>
              <w:gridCol w:w="825"/>
              <w:gridCol w:w="790"/>
              <w:gridCol w:w="582"/>
              <w:gridCol w:w="595"/>
            </w:tblGrid>
            <w:tr w14:paraId="3F63B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2970" w:type="dxa"/>
                  <w:gridSpan w:val="2"/>
                  <w:vMerge w:val="restart"/>
                  <w:tcBorders>
                    <w:top w:val="single" w:color="000000" w:sz="10" w:space="0"/>
                    <w:left w:val="single" w:color="000000" w:sz="10" w:space="0"/>
                    <w:bottom w:val="nil"/>
                  </w:tcBorders>
                  <w:vAlign w:val="top"/>
                </w:tcPr>
                <w:p w14:paraId="6234AAFC">
                  <w:pPr>
                    <w:spacing w:before="174" w:line="229"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监测点名称</w:t>
                  </w:r>
                </w:p>
              </w:tc>
              <w:tc>
                <w:tcPr>
                  <w:tcW w:w="2296" w:type="dxa"/>
                  <w:gridSpan w:val="2"/>
                  <w:tcBorders>
                    <w:top w:val="single" w:color="000000" w:sz="10" w:space="0"/>
                  </w:tcBorders>
                  <w:vAlign w:val="top"/>
                </w:tcPr>
                <w:p w14:paraId="4174EBCB">
                  <w:pPr>
                    <w:spacing w:before="35" w:line="216"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监测结果</w:t>
                  </w:r>
                </w:p>
              </w:tc>
              <w:tc>
                <w:tcPr>
                  <w:tcW w:w="1615" w:type="dxa"/>
                  <w:gridSpan w:val="2"/>
                  <w:tcBorders>
                    <w:top w:val="single" w:color="000000" w:sz="10" w:space="0"/>
                  </w:tcBorders>
                  <w:vAlign w:val="top"/>
                </w:tcPr>
                <w:p w14:paraId="5CAFDC12">
                  <w:pPr>
                    <w:spacing w:before="35" w:line="216"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标准</w:t>
                  </w:r>
                </w:p>
              </w:tc>
              <w:tc>
                <w:tcPr>
                  <w:tcW w:w="1177" w:type="dxa"/>
                  <w:gridSpan w:val="2"/>
                  <w:tcBorders>
                    <w:top w:val="single" w:color="000000" w:sz="10" w:space="0"/>
                    <w:right w:val="single" w:color="000000" w:sz="10" w:space="0"/>
                  </w:tcBorders>
                  <w:vAlign w:val="top"/>
                </w:tcPr>
                <w:p w14:paraId="555EDD49">
                  <w:pPr>
                    <w:spacing w:before="35" w:line="216"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6"/>
                      <w:sz w:val="21"/>
                      <w:szCs w:val="21"/>
                      <w:highlight w:val="none"/>
                      <w:u w:val="none" w:color="auto"/>
                    </w:rPr>
                    <w:t>超标情况</w:t>
                  </w:r>
                </w:p>
              </w:tc>
            </w:tr>
            <w:tr w14:paraId="2B8B8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970" w:type="dxa"/>
                  <w:gridSpan w:val="2"/>
                  <w:vMerge w:val="continue"/>
                  <w:tcBorders>
                    <w:top w:val="nil"/>
                    <w:left w:val="single" w:color="000000" w:sz="10" w:space="0"/>
                  </w:tcBorders>
                  <w:vAlign w:val="top"/>
                </w:tcPr>
                <w:p w14:paraId="13D14D34">
                  <w:pPr>
                    <w:ind w:left="0" w:leftChars="0" w:firstLine="0" w:firstLineChars="0"/>
                    <w:jc w:val="center"/>
                    <w:rPr>
                      <w:rFonts w:ascii="Times New Roman" w:hAnsi="Times New Roman" w:eastAsia="宋体" w:cs="Times New Roman"/>
                      <w:color w:val="auto"/>
                      <w:sz w:val="21"/>
                      <w:szCs w:val="21"/>
                      <w:highlight w:val="none"/>
                      <w:u w:val="none" w:color="auto"/>
                    </w:rPr>
                  </w:pPr>
                </w:p>
              </w:tc>
              <w:tc>
                <w:tcPr>
                  <w:tcW w:w="1066" w:type="dxa"/>
                  <w:vAlign w:val="top"/>
                </w:tcPr>
                <w:p w14:paraId="4DA0D032">
                  <w:pPr>
                    <w:spacing w:before="34" w:line="213"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昼间</w:t>
                  </w:r>
                </w:p>
              </w:tc>
              <w:tc>
                <w:tcPr>
                  <w:tcW w:w="1230" w:type="dxa"/>
                  <w:vAlign w:val="top"/>
                </w:tcPr>
                <w:p w14:paraId="55A3E4BB">
                  <w:pPr>
                    <w:spacing w:before="34" w:line="213"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z w:val="21"/>
                      <w:szCs w:val="21"/>
                      <w:highlight w:val="none"/>
                      <w:u w:val="none" w:color="auto"/>
                    </w:rPr>
                    <w:t>夜间</w:t>
                  </w:r>
                </w:p>
              </w:tc>
              <w:tc>
                <w:tcPr>
                  <w:tcW w:w="825" w:type="dxa"/>
                  <w:vAlign w:val="top"/>
                </w:tcPr>
                <w:p w14:paraId="6E18DB25">
                  <w:pPr>
                    <w:spacing w:before="34" w:line="213"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4"/>
                      <w:sz w:val="21"/>
                      <w:szCs w:val="21"/>
                      <w:highlight w:val="none"/>
                      <w:u w:val="none" w:color="auto"/>
                    </w:rPr>
                    <w:t>昼间</w:t>
                  </w:r>
                </w:p>
              </w:tc>
              <w:tc>
                <w:tcPr>
                  <w:tcW w:w="790" w:type="dxa"/>
                  <w:vAlign w:val="top"/>
                </w:tcPr>
                <w:p w14:paraId="461E2671">
                  <w:pPr>
                    <w:spacing w:before="34" w:line="213"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夜间</w:t>
                  </w:r>
                </w:p>
              </w:tc>
              <w:tc>
                <w:tcPr>
                  <w:tcW w:w="582" w:type="dxa"/>
                  <w:vAlign w:val="top"/>
                </w:tcPr>
                <w:p w14:paraId="3A569A5B">
                  <w:pPr>
                    <w:spacing w:before="34" w:line="213"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4"/>
                      <w:sz w:val="21"/>
                      <w:szCs w:val="21"/>
                      <w:highlight w:val="none"/>
                      <w:u w:val="none" w:color="auto"/>
                    </w:rPr>
                    <w:t>昼间</w:t>
                  </w:r>
                </w:p>
              </w:tc>
              <w:tc>
                <w:tcPr>
                  <w:tcW w:w="595" w:type="dxa"/>
                  <w:tcBorders>
                    <w:right w:val="single" w:color="000000" w:sz="10" w:space="0"/>
                  </w:tcBorders>
                  <w:vAlign w:val="top"/>
                </w:tcPr>
                <w:p w14:paraId="7B52C679">
                  <w:pPr>
                    <w:spacing w:before="34" w:line="213"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b/>
                      <w:bCs/>
                      <w:color w:val="auto"/>
                      <w:spacing w:val="2"/>
                      <w:sz w:val="21"/>
                      <w:szCs w:val="21"/>
                      <w:highlight w:val="none"/>
                      <w:u w:val="none" w:color="auto"/>
                    </w:rPr>
                    <w:t>夜间</w:t>
                  </w:r>
                </w:p>
              </w:tc>
            </w:tr>
            <w:tr w14:paraId="3E0DD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131" w:type="dxa"/>
                  <w:tcBorders>
                    <w:top w:val="single" w:color="auto" w:sz="4" w:space="0"/>
                    <w:left w:val="single" w:color="auto" w:sz="4" w:space="0"/>
                    <w:bottom w:val="single" w:color="auto" w:sz="4" w:space="0"/>
                    <w:right w:val="single" w:color="auto" w:sz="4" w:space="0"/>
                  </w:tcBorders>
                  <w:vAlign w:val="center"/>
                </w:tcPr>
                <w:p w14:paraId="5DAD1E80">
                  <w:pPr>
                    <w:widowControl/>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u w:val="none" w:color="auto"/>
                      <w:lang w:val="en-US" w:eastAsia="zh-CN"/>
                    </w:rPr>
                    <w:t>N1</w:t>
                  </w:r>
                  <w:r>
                    <w:rPr>
                      <w:rFonts w:hint="default" w:ascii="Times New Roman" w:hAnsi="Times New Roman" w:eastAsia="宋体" w:cs="Times New Roman"/>
                      <w:color w:val="auto"/>
                      <w:sz w:val="21"/>
                      <w:szCs w:val="21"/>
                      <w:u w:val="none" w:color="auto"/>
                    </w:rPr>
                    <w:t>场址</w:t>
                  </w:r>
                  <w:r>
                    <w:rPr>
                      <w:rFonts w:hint="default" w:ascii="Times New Roman" w:hAnsi="Times New Roman" w:eastAsia="宋体" w:cs="Times New Roman"/>
                      <w:color w:val="auto"/>
                      <w:sz w:val="21"/>
                      <w:szCs w:val="21"/>
                      <w:u w:val="none" w:color="auto"/>
                      <w:lang w:val="en-US" w:eastAsia="zh-CN"/>
                    </w:rPr>
                    <w:t>东</w:t>
                  </w:r>
                  <w:r>
                    <w:rPr>
                      <w:rFonts w:hint="default" w:ascii="Times New Roman" w:hAnsi="Times New Roman" w:eastAsia="宋体" w:cs="Times New Roman"/>
                      <w:color w:val="auto"/>
                      <w:sz w:val="21"/>
                      <w:szCs w:val="21"/>
                      <w:u w:val="none" w:color="auto"/>
                    </w:rPr>
                    <w:t>面</w:t>
                  </w:r>
                  <w:r>
                    <w:rPr>
                      <w:rFonts w:hint="default" w:ascii="Times New Roman" w:hAnsi="Times New Roman" w:eastAsia="宋体" w:cs="Times New Roman"/>
                      <w:color w:val="auto"/>
                      <w:sz w:val="21"/>
                      <w:szCs w:val="21"/>
                      <w:u w:val="none" w:color="auto"/>
                      <w:lang w:val="en-US" w:eastAsia="zh-CN"/>
                    </w:rPr>
                    <w:t>外1m</w:t>
                  </w:r>
                </w:p>
              </w:tc>
              <w:tc>
                <w:tcPr>
                  <w:tcW w:w="839" w:type="dxa"/>
                  <w:vMerge w:val="restart"/>
                  <w:tcBorders>
                    <w:left w:val="single" w:color="auto" w:sz="4" w:space="0"/>
                  </w:tcBorders>
                  <w:vAlign w:val="center"/>
                </w:tcPr>
                <w:p w14:paraId="436743DC">
                  <w:pPr>
                    <w:spacing w:before="64" w:line="211"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2025年7月16日</w:t>
                  </w:r>
                </w:p>
              </w:tc>
              <w:tc>
                <w:tcPr>
                  <w:tcW w:w="1066" w:type="dxa"/>
                  <w:vAlign w:val="center"/>
                </w:tcPr>
                <w:p w14:paraId="4ED96A4E">
                  <w:pPr>
                    <w:spacing w:before="85"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1230" w:type="dxa"/>
                  <w:vAlign w:val="center"/>
                </w:tcPr>
                <w:p w14:paraId="2BA8A714">
                  <w:pPr>
                    <w:spacing w:before="85"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825" w:type="dxa"/>
                  <w:vAlign w:val="center"/>
                </w:tcPr>
                <w:p w14:paraId="6709AC77">
                  <w:pPr>
                    <w:spacing w:before="85"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65</w:t>
                  </w:r>
                </w:p>
              </w:tc>
              <w:tc>
                <w:tcPr>
                  <w:tcW w:w="790" w:type="dxa"/>
                  <w:vAlign w:val="center"/>
                </w:tcPr>
                <w:p w14:paraId="36C72B06">
                  <w:pPr>
                    <w:spacing w:before="88" w:line="192"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4D793CBD">
                  <w:pPr>
                    <w:spacing w:before="47" w:line="224"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5AAB25E9">
                  <w:pPr>
                    <w:spacing w:before="47" w:line="224"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5054A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131" w:type="dxa"/>
                  <w:tcBorders>
                    <w:top w:val="single" w:color="auto" w:sz="4" w:space="0"/>
                    <w:left w:val="single" w:color="auto" w:sz="4" w:space="0"/>
                    <w:bottom w:val="single" w:color="auto" w:sz="4" w:space="0"/>
                    <w:right w:val="single" w:color="auto" w:sz="4" w:space="0"/>
                  </w:tcBorders>
                  <w:vAlign w:val="center"/>
                </w:tcPr>
                <w:p w14:paraId="132051D3">
                  <w:pPr>
                    <w:widowControl/>
                    <w:jc w:val="center"/>
                    <w:rPr>
                      <w:rFonts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u w:val="none" w:color="auto"/>
                      <w:lang w:val="en-US" w:eastAsia="zh-CN"/>
                    </w:rPr>
                    <w:t>N2场址南面外1m</w:t>
                  </w:r>
                </w:p>
              </w:tc>
              <w:tc>
                <w:tcPr>
                  <w:tcW w:w="839" w:type="dxa"/>
                  <w:vMerge w:val="continue"/>
                  <w:tcBorders>
                    <w:left w:val="single" w:color="auto" w:sz="4" w:space="0"/>
                  </w:tcBorders>
                  <w:vAlign w:val="center"/>
                </w:tcPr>
                <w:p w14:paraId="229ED183">
                  <w:pPr>
                    <w:spacing w:before="52" w:line="220" w:lineRule="auto"/>
                    <w:ind w:left="0" w:leftChars="0" w:firstLine="0" w:firstLineChars="0"/>
                    <w:jc w:val="center"/>
                    <w:rPr>
                      <w:rFonts w:ascii="Times New Roman" w:hAnsi="Times New Roman" w:eastAsia="宋体" w:cs="Times New Roman"/>
                      <w:color w:val="auto"/>
                      <w:sz w:val="21"/>
                      <w:szCs w:val="21"/>
                      <w:highlight w:val="none"/>
                      <w:u w:val="none" w:color="auto"/>
                    </w:rPr>
                  </w:pPr>
                </w:p>
              </w:tc>
              <w:tc>
                <w:tcPr>
                  <w:tcW w:w="1066" w:type="dxa"/>
                  <w:vAlign w:val="center"/>
                </w:tcPr>
                <w:p w14:paraId="2F0B9B94">
                  <w:pPr>
                    <w:spacing w:before="91"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1230" w:type="dxa"/>
                  <w:vAlign w:val="center"/>
                </w:tcPr>
                <w:p w14:paraId="3736B130">
                  <w:pPr>
                    <w:spacing w:before="91"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825" w:type="dxa"/>
                  <w:vAlign w:val="center"/>
                </w:tcPr>
                <w:p w14:paraId="6591A4B1">
                  <w:pPr>
                    <w:spacing w:before="91"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pacing w:val="1"/>
                      <w:sz w:val="21"/>
                      <w:szCs w:val="21"/>
                      <w:highlight w:val="none"/>
                      <w:u w:val="none" w:color="auto"/>
                      <w:lang w:val="en-US" w:eastAsia="zh-CN"/>
                    </w:rPr>
                    <w:t>65</w:t>
                  </w:r>
                </w:p>
              </w:tc>
              <w:tc>
                <w:tcPr>
                  <w:tcW w:w="790" w:type="dxa"/>
                  <w:vAlign w:val="center"/>
                </w:tcPr>
                <w:p w14:paraId="3C4A538E">
                  <w:pPr>
                    <w:spacing w:before="94" w:line="192"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729D33F9">
                  <w:pPr>
                    <w:spacing w:before="52" w:line="22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30AEF150">
                  <w:pPr>
                    <w:spacing w:before="52" w:line="220"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2A82E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2131" w:type="dxa"/>
                  <w:tcBorders>
                    <w:top w:val="single" w:color="auto" w:sz="4" w:space="0"/>
                    <w:left w:val="single" w:color="auto" w:sz="4" w:space="0"/>
                    <w:bottom w:val="single" w:color="auto" w:sz="4" w:space="0"/>
                    <w:right w:val="single" w:color="auto" w:sz="4" w:space="0"/>
                  </w:tcBorders>
                  <w:vAlign w:val="center"/>
                </w:tcPr>
                <w:p w14:paraId="7CF5DD38">
                  <w:pPr>
                    <w:widowControl/>
                    <w:jc w:val="center"/>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u w:val="none" w:color="auto"/>
                      <w:lang w:val="en-US" w:eastAsia="zh-CN"/>
                    </w:rPr>
                    <w:t>N3场址西面外1m</w:t>
                  </w:r>
                </w:p>
              </w:tc>
              <w:tc>
                <w:tcPr>
                  <w:tcW w:w="839" w:type="dxa"/>
                  <w:vMerge w:val="continue"/>
                  <w:tcBorders>
                    <w:left w:val="single" w:color="auto" w:sz="4" w:space="0"/>
                  </w:tcBorders>
                  <w:vAlign w:val="center"/>
                </w:tcPr>
                <w:p w14:paraId="542BC690">
                  <w:pPr>
                    <w:spacing w:before="58" w:line="214" w:lineRule="auto"/>
                    <w:ind w:left="0" w:leftChars="0" w:firstLine="0" w:firstLineChars="0"/>
                    <w:jc w:val="center"/>
                    <w:rPr>
                      <w:rFonts w:ascii="Times New Roman" w:hAnsi="Times New Roman" w:eastAsia="宋体" w:cs="Times New Roman"/>
                      <w:color w:val="auto"/>
                      <w:sz w:val="21"/>
                      <w:szCs w:val="21"/>
                      <w:highlight w:val="none"/>
                      <w:u w:val="none" w:color="auto"/>
                    </w:rPr>
                  </w:pPr>
                </w:p>
              </w:tc>
              <w:tc>
                <w:tcPr>
                  <w:tcW w:w="1066" w:type="dxa"/>
                  <w:vAlign w:val="center"/>
                </w:tcPr>
                <w:p w14:paraId="3F34FB5C">
                  <w:pPr>
                    <w:spacing w:before="93"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1230" w:type="dxa"/>
                  <w:vAlign w:val="center"/>
                </w:tcPr>
                <w:p w14:paraId="22F641EC">
                  <w:pPr>
                    <w:spacing w:before="93"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825" w:type="dxa"/>
                  <w:vAlign w:val="center"/>
                </w:tcPr>
                <w:p w14:paraId="3B897E3B">
                  <w:pPr>
                    <w:spacing w:before="93"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65</w:t>
                  </w:r>
                </w:p>
              </w:tc>
              <w:tc>
                <w:tcPr>
                  <w:tcW w:w="790" w:type="dxa"/>
                  <w:vAlign w:val="center"/>
                </w:tcPr>
                <w:p w14:paraId="418B2AB4">
                  <w:pPr>
                    <w:spacing w:before="96" w:line="192"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70D48B68">
                  <w:pPr>
                    <w:spacing w:before="58" w:line="214"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006D9A2B">
                  <w:pPr>
                    <w:spacing w:before="93"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r w14:paraId="119A7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131" w:type="dxa"/>
                  <w:tcBorders>
                    <w:top w:val="single" w:color="auto" w:sz="4" w:space="0"/>
                    <w:left w:val="single" w:color="auto" w:sz="4" w:space="0"/>
                    <w:bottom w:val="single" w:color="auto" w:sz="4" w:space="0"/>
                    <w:right w:val="single" w:color="auto" w:sz="4" w:space="0"/>
                  </w:tcBorders>
                  <w:vAlign w:val="center"/>
                </w:tcPr>
                <w:p w14:paraId="488B4EA9">
                  <w:pPr>
                    <w:widowControl/>
                    <w:jc w:val="center"/>
                    <w:rPr>
                      <w:rFonts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u w:val="none" w:color="auto"/>
                      <w:lang w:val="en-US" w:eastAsia="zh-CN"/>
                    </w:rPr>
                    <w:t>N4场址北面外1m</w:t>
                  </w:r>
                </w:p>
              </w:tc>
              <w:tc>
                <w:tcPr>
                  <w:tcW w:w="839" w:type="dxa"/>
                  <w:vMerge w:val="continue"/>
                  <w:tcBorders>
                    <w:left w:val="single" w:color="auto" w:sz="4" w:space="0"/>
                  </w:tcBorders>
                  <w:vAlign w:val="center"/>
                </w:tcPr>
                <w:p w14:paraId="5B2931B9">
                  <w:pPr>
                    <w:spacing w:before="64" w:line="211" w:lineRule="auto"/>
                    <w:ind w:left="0" w:leftChars="0" w:firstLine="0" w:firstLineChars="0"/>
                    <w:jc w:val="center"/>
                    <w:rPr>
                      <w:rFonts w:ascii="Times New Roman" w:hAnsi="Times New Roman" w:eastAsia="宋体" w:cs="Times New Roman"/>
                      <w:color w:val="auto"/>
                      <w:sz w:val="21"/>
                      <w:szCs w:val="21"/>
                      <w:highlight w:val="none"/>
                      <w:u w:val="none" w:color="auto"/>
                    </w:rPr>
                  </w:pPr>
                </w:p>
              </w:tc>
              <w:tc>
                <w:tcPr>
                  <w:tcW w:w="1066" w:type="dxa"/>
                  <w:vAlign w:val="center"/>
                </w:tcPr>
                <w:p w14:paraId="403FDFA1">
                  <w:pPr>
                    <w:spacing w:before="100"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1230" w:type="dxa"/>
                  <w:vAlign w:val="center"/>
                </w:tcPr>
                <w:p w14:paraId="238A918D">
                  <w:pPr>
                    <w:spacing w:before="100" w:line="195"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p>
              </w:tc>
              <w:tc>
                <w:tcPr>
                  <w:tcW w:w="825" w:type="dxa"/>
                  <w:vAlign w:val="center"/>
                </w:tcPr>
                <w:p w14:paraId="43085238">
                  <w:pPr>
                    <w:spacing w:before="10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65</w:t>
                  </w:r>
                </w:p>
              </w:tc>
              <w:tc>
                <w:tcPr>
                  <w:tcW w:w="790" w:type="dxa"/>
                  <w:vAlign w:val="center"/>
                </w:tcPr>
                <w:p w14:paraId="32E610F3">
                  <w:pPr>
                    <w:spacing w:before="103" w:line="192"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z w:val="21"/>
                      <w:szCs w:val="21"/>
                      <w:highlight w:val="none"/>
                      <w:u w:val="none" w:color="auto"/>
                    </w:rPr>
                    <w:t>55</w:t>
                  </w:r>
                </w:p>
              </w:tc>
              <w:tc>
                <w:tcPr>
                  <w:tcW w:w="582" w:type="dxa"/>
                  <w:vAlign w:val="center"/>
                </w:tcPr>
                <w:p w14:paraId="38F39A39">
                  <w:pPr>
                    <w:spacing w:before="10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c>
                <w:tcPr>
                  <w:tcW w:w="595" w:type="dxa"/>
                  <w:tcBorders>
                    <w:right w:val="single" w:color="000000" w:sz="10" w:space="0"/>
                  </w:tcBorders>
                  <w:vAlign w:val="center"/>
                </w:tcPr>
                <w:p w14:paraId="2DF2D77F">
                  <w:pPr>
                    <w:spacing w:before="100" w:line="195" w:lineRule="auto"/>
                    <w:ind w:left="0" w:leftChars="0" w:firstLine="0" w:firstLineChars="0"/>
                    <w:jc w:val="center"/>
                    <w:rPr>
                      <w:rFonts w:ascii="Times New Roman" w:hAnsi="Times New Roman" w:eastAsia="宋体" w:cs="Times New Roman"/>
                      <w:color w:val="auto"/>
                      <w:sz w:val="21"/>
                      <w:szCs w:val="21"/>
                      <w:highlight w:val="none"/>
                      <w:u w:val="none" w:color="auto"/>
                    </w:rPr>
                  </w:pPr>
                  <w:r>
                    <w:rPr>
                      <w:rFonts w:ascii="Times New Roman" w:hAnsi="Times New Roman" w:eastAsia="宋体" w:cs="Times New Roman"/>
                      <w:color w:val="auto"/>
                      <w:spacing w:val="5"/>
                      <w:sz w:val="21"/>
                      <w:szCs w:val="21"/>
                      <w:highlight w:val="none"/>
                      <w:u w:val="none" w:color="auto"/>
                    </w:rPr>
                    <w:t>达标</w:t>
                  </w:r>
                </w:p>
              </w:tc>
            </w:tr>
          </w:tbl>
          <w:p w14:paraId="394B2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highlight w:val="none"/>
                <w:u w:val="none" w:color="auto"/>
                <w:lang w:val="en-US" w:eastAsia="zh-CN"/>
              </w:rPr>
              <w:t>根据声环境质量现状监测结果，监测期间厂界各监测点声环境质量均能满足《声环境质量标准》</w:t>
            </w:r>
            <w:r>
              <w:rPr>
                <w:rFonts w:hint="eastAsia"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GB3096-2008</w:t>
            </w:r>
            <w:r>
              <w:rPr>
                <w:rFonts w:hint="eastAsia" w:cs="Times New Roman"/>
                <w:color w:val="auto"/>
                <w:kern w:val="0"/>
                <w:sz w:val="24"/>
                <w:highlight w:val="none"/>
                <w:u w:val="none" w:color="auto"/>
                <w:lang w:val="en-US" w:eastAsia="zh-CN"/>
              </w:rPr>
              <w:t>）</w:t>
            </w:r>
            <w:r>
              <w:rPr>
                <w:rFonts w:hint="default" w:ascii="Times New Roman" w:hAnsi="Times New Roman" w:eastAsia="宋体" w:cs="Times New Roman"/>
                <w:color w:val="auto"/>
                <w:kern w:val="0"/>
                <w:sz w:val="24"/>
                <w:highlight w:val="none"/>
                <w:u w:val="none" w:color="auto"/>
                <w:lang w:val="en-US" w:eastAsia="zh-CN"/>
              </w:rPr>
              <w:t>中的 3 类标准，项目所在地声环境质量较好。</w:t>
            </w:r>
          </w:p>
          <w:p w14:paraId="6A4CD2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4、地下水、土壤环境质量现状</w:t>
            </w:r>
          </w:p>
          <w:p w14:paraId="25C6FBC6">
            <w:pPr>
              <w:pStyle w:val="12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lang w:eastAsia="zh-CN"/>
              </w:rPr>
              <w:t>本项目</w:t>
            </w:r>
            <w:r>
              <w:rPr>
                <w:rFonts w:hint="eastAsia" w:ascii="Times New Roman" w:hAnsi="Times New Roman" w:eastAsia="宋体" w:cs="Times New Roman"/>
                <w:color w:val="auto"/>
                <w:kern w:val="0"/>
                <w:sz w:val="24"/>
                <w:szCs w:val="24"/>
                <w:highlight w:val="none"/>
                <w:u w:val="none" w:color="auto"/>
                <w:lang w:val="en-US" w:eastAsia="zh-CN"/>
              </w:rPr>
              <w:t>为8类、9类固态危险货物集装箱混堆堆场项目</w:t>
            </w:r>
            <w:r>
              <w:rPr>
                <w:rFonts w:hint="default" w:ascii="Times New Roman" w:hAnsi="Times New Roman" w:eastAsia="宋体" w:cs="Times New Roman"/>
                <w:color w:val="auto"/>
                <w:kern w:val="0"/>
                <w:sz w:val="24"/>
                <w:szCs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根据《建设项目环境影响报告表编制技术指南</w:t>
            </w:r>
            <w:r>
              <w:rPr>
                <w:rFonts w:hint="eastAsia" w:ascii="Times New Roman" w:hAnsi="Times New Roman"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污染影响类</w:t>
            </w:r>
            <w:r>
              <w:rPr>
                <w:rFonts w:hint="eastAsia" w:ascii="Times New Roman" w:hAnsi="Times New Roman"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试行</w:t>
            </w:r>
            <w:r>
              <w:rPr>
                <w:rFonts w:hint="eastAsia" w:ascii="Times New Roman" w:hAnsi="Times New Roman"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lang w:val="en-US" w:eastAsia="zh-CN"/>
              </w:rPr>
              <w:t>》:“原则上不开展环境质量现状调查。建设项目存在土壤、地下水环境污染途径的，应结合污染源、保护目标分布情况开展现状调查以留作背景值。”项目为集装箱混堆，且堆场用地范围内地面进行硬化处理，因此不存在土壤、地下水污染途径，可不进行土壤、地下水环境质量现状监测。</w:t>
            </w:r>
          </w:p>
          <w:p w14:paraId="7BB459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5</w:t>
            </w:r>
            <w:r>
              <w:rPr>
                <w:rFonts w:hint="default" w:ascii="Times New Roman" w:hAnsi="Times New Roman" w:eastAsia="宋体" w:cs="Times New Roman"/>
                <w:b/>
                <w:bCs/>
                <w:color w:val="auto"/>
                <w:sz w:val="24"/>
                <w:szCs w:val="24"/>
                <w:highlight w:val="none"/>
                <w:u w:val="none" w:color="auto"/>
              </w:rPr>
              <w:t>、生态环境现状</w:t>
            </w:r>
          </w:p>
          <w:bookmarkEnd w:id="9"/>
          <w:bookmarkEnd w:id="10"/>
          <w:p w14:paraId="0AE968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项目评价区域内用地类型以码头、港口为主，区域受人类多年活动影响。根据对项目及周边</w:t>
            </w:r>
            <w:r>
              <w:rPr>
                <w:rFonts w:hint="default" w:ascii="Times New Roman" w:hAnsi="Times New Roman" w:eastAsia="宋体" w:cs="Times New Roman"/>
                <w:color w:val="auto"/>
                <w:sz w:val="24"/>
                <w:szCs w:val="24"/>
                <w:highlight w:val="none"/>
                <w:u w:val="none" w:color="auto"/>
                <w:lang w:eastAsia="zh-CN"/>
              </w:rPr>
              <w:t>环境</w:t>
            </w:r>
            <w:r>
              <w:rPr>
                <w:rFonts w:hint="default" w:ascii="Times New Roman" w:hAnsi="Times New Roman" w:eastAsia="宋体" w:cs="Times New Roman"/>
                <w:color w:val="auto"/>
                <w:sz w:val="24"/>
                <w:szCs w:val="24"/>
                <w:highlight w:val="none"/>
                <w:u w:val="none" w:color="auto"/>
              </w:rPr>
              <w:t>现状的调查，项目及其周边没有国家和地方重点保护的植物种类和珍稀物种，也未发现国家和地方重点保护的野生动物及珍稀野生动物。项目所在地无划定自然生态保护区和风景名胜区，不属于生态环境敏感区。</w:t>
            </w:r>
          </w:p>
        </w:tc>
      </w:tr>
      <w:tr w14:paraId="04401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456" w:type="dxa"/>
            <w:noWrap w:val="0"/>
            <w:vAlign w:val="center"/>
          </w:tcPr>
          <w:p w14:paraId="15F28D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环境</w:t>
            </w:r>
          </w:p>
          <w:p w14:paraId="025625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保护</w:t>
            </w:r>
          </w:p>
          <w:p w14:paraId="435AAB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目标</w:t>
            </w:r>
          </w:p>
        </w:tc>
        <w:tc>
          <w:tcPr>
            <w:tcW w:w="8604" w:type="dxa"/>
            <w:noWrap w:val="0"/>
            <w:vAlign w:val="center"/>
          </w:tcPr>
          <w:p w14:paraId="055917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u w:val="none" w:color="auto"/>
                <w:lang w:val="en-US" w:eastAsia="zh-CN"/>
              </w:rPr>
            </w:pPr>
            <w:r>
              <w:rPr>
                <w:rFonts w:hint="default" w:ascii="Times New Roman" w:hAnsi="Times New Roman" w:eastAsia="宋体" w:cs="Times New Roman"/>
                <w:color w:val="auto"/>
                <w:kern w:val="0"/>
                <w:sz w:val="24"/>
                <w:szCs w:val="24"/>
                <w:highlight w:val="none"/>
                <w:u w:val="none" w:color="auto"/>
              </w:rPr>
              <w:t>本项目位于</w:t>
            </w:r>
            <w:r>
              <w:rPr>
                <w:rFonts w:hint="default" w:ascii="Times New Roman" w:hAnsi="Times New Roman" w:eastAsia="宋体" w:cs="Times New Roman"/>
                <w:color w:val="auto"/>
                <w:kern w:val="0"/>
                <w:sz w:val="24"/>
                <w:szCs w:val="24"/>
                <w:highlight w:val="none"/>
                <w:u w:val="none" w:color="auto"/>
                <w:lang w:eastAsia="zh-CN"/>
              </w:rPr>
              <w:t>钦州港大榄坪南作业区后方陆域，根据《建设项目环境影响报告表编制技术指南》（污染影响类），项目50m范围内无声环境保护目标，厂界外500m范围内无地下水、集中式饮用水水源和热水、矿泉水、温泉等特殊地下水资源，厂界外500m范围内无自然保护区、风景名胜区、文化区和农村地区中人群较集中的区域，厂界外500米范围内无环境空气保护目标。</w:t>
            </w:r>
          </w:p>
        </w:tc>
      </w:tr>
      <w:tr w14:paraId="17804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56" w:type="dxa"/>
            <w:noWrap w:val="0"/>
            <w:tcMar>
              <w:left w:w="28" w:type="dxa"/>
              <w:right w:w="28" w:type="dxa"/>
            </w:tcMar>
            <w:vAlign w:val="center"/>
          </w:tcPr>
          <w:p w14:paraId="24C0AC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污染</w:t>
            </w:r>
          </w:p>
          <w:p w14:paraId="5276CB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物排</w:t>
            </w:r>
          </w:p>
          <w:p w14:paraId="5E789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放控</w:t>
            </w:r>
          </w:p>
          <w:p w14:paraId="133040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制标</w:t>
            </w:r>
          </w:p>
          <w:p w14:paraId="582E63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准</w:t>
            </w:r>
          </w:p>
        </w:tc>
        <w:tc>
          <w:tcPr>
            <w:tcW w:w="8604" w:type="dxa"/>
            <w:noWrap w:val="0"/>
            <w:vAlign w:val="center"/>
          </w:tcPr>
          <w:p w14:paraId="3196477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208" w:beforeLines="5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kern w:val="2"/>
                <w:sz w:val="24"/>
                <w:szCs w:val="24"/>
                <w:u w:color="auto"/>
                <w:lang w:val="en-US" w:eastAsia="zh-CN" w:bidi="ar-SA"/>
              </w:rPr>
              <w:t>1、</w:t>
            </w:r>
            <w:r>
              <w:rPr>
                <w:rFonts w:hint="eastAsia" w:ascii="Times New Roman" w:hAnsi="Times New Roman" w:eastAsia="宋体" w:cs="Times New Roman"/>
                <w:b/>
                <w:bCs/>
                <w:color w:val="auto"/>
                <w:sz w:val="24"/>
                <w:szCs w:val="24"/>
                <w:highlight w:val="none"/>
                <w:u w:val="none" w:color="auto"/>
                <w:lang w:val="en-US" w:eastAsia="zh-CN"/>
              </w:rPr>
              <w:t>废气</w:t>
            </w:r>
          </w:p>
          <w:p w14:paraId="27C82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smallCaps w:val="0"/>
                <w:color w:val="auto"/>
                <w:sz w:val="24"/>
                <w:szCs w:val="22"/>
                <w:highlight w:val="none"/>
                <w:u w:val="none" w:color="auto"/>
              </w:rPr>
            </w:pPr>
            <w:r>
              <w:rPr>
                <w:rFonts w:hint="default" w:ascii="Times New Roman" w:hAnsi="Times New Roman" w:eastAsia="宋体" w:cs="Times New Roman"/>
                <w:caps w:val="0"/>
                <w:smallCaps w:val="0"/>
                <w:color w:val="auto"/>
                <w:sz w:val="24"/>
                <w:szCs w:val="22"/>
                <w:u w:val="none" w:color="auto"/>
              </w:rPr>
              <w:t>大气污染源主要来自</w:t>
            </w:r>
            <w:r>
              <w:rPr>
                <w:rFonts w:hint="eastAsia" w:ascii="Times New Roman" w:hAnsi="Times New Roman" w:eastAsia="宋体" w:cs="Times New Roman"/>
                <w:caps w:val="0"/>
                <w:smallCaps w:val="0"/>
                <w:color w:val="auto"/>
                <w:sz w:val="24"/>
                <w:szCs w:val="22"/>
                <w:highlight w:val="none"/>
                <w:u w:val="none" w:color="auto"/>
                <w:lang w:eastAsia="zh-CN"/>
              </w:rPr>
              <w:t>运输车辆尾气</w:t>
            </w:r>
            <w:r>
              <w:rPr>
                <w:rFonts w:hint="eastAsia" w:ascii="Times New Roman" w:hAnsi="Times New Roman" w:eastAsia="宋体" w:cs="Times New Roman"/>
                <w:caps w:val="0"/>
                <w:smallCaps w:val="0"/>
                <w:color w:val="auto"/>
                <w:sz w:val="24"/>
                <w:szCs w:val="22"/>
                <w:u w:val="none" w:color="auto"/>
                <w:lang w:eastAsia="zh-CN"/>
              </w:rPr>
              <w:t>；</w:t>
            </w:r>
            <w:r>
              <w:rPr>
                <w:rFonts w:hint="default" w:ascii="Times New Roman" w:hAnsi="Times New Roman" w:eastAsia="宋体" w:cs="Times New Roman"/>
                <w:caps w:val="0"/>
                <w:smallCaps w:val="0"/>
                <w:color w:val="auto"/>
                <w:sz w:val="24"/>
                <w:szCs w:val="22"/>
                <w:u w:val="none" w:color="auto"/>
              </w:rPr>
              <w:t>污染物</w:t>
            </w:r>
            <w:r>
              <w:rPr>
                <w:rFonts w:hint="eastAsia" w:ascii="Times New Roman" w:hAnsi="Times New Roman" w:eastAsia="宋体" w:cs="Times New Roman"/>
                <w:caps w:val="0"/>
                <w:smallCaps w:val="0"/>
                <w:color w:val="auto"/>
                <w:sz w:val="24"/>
                <w:szCs w:val="22"/>
                <w:u w:val="none" w:color="auto"/>
              </w:rPr>
              <w:t>主要</w:t>
            </w:r>
            <w:r>
              <w:rPr>
                <w:rFonts w:hint="default" w:ascii="Times New Roman" w:hAnsi="Times New Roman" w:eastAsia="宋体" w:cs="Times New Roman"/>
                <w:caps w:val="0"/>
                <w:smallCaps w:val="0"/>
                <w:color w:val="auto"/>
                <w:sz w:val="24"/>
                <w:szCs w:val="22"/>
                <w:u w:val="none" w:color="auto"/>
              </w:rPr>
              <w:t>为</w:t>
            </w:r>
            <w:r>
              <w:rPr>
                <w:rFonts w:hint="eastAsia" w:ascii="Times New Roman" w:hAnsi="Times New Roman" w:eastAsia="宋体" w:cs="Times New Roman"/>
                <w:caps w:val="0"/>
                <w:smallCaps w:val="0"/>
                <w:color w:val="auto"/>
                <w:sz w:val="24"/>
                <w:szCs w:val="22"/>
                <w:u w:val="none" w:color="auto"/>
                <w:lang w:eastAsia="zh-CN"/>
              </w:rPr>
              <w:t>粉尘、</w:t>
            </w:r>
            <w:r>
              <w:rPr>
                <w:rFonts w:hint="default" w:ascii="Times New Roman" w:hAnsi="Times New Roman" w:eastAsia="宋体" w:cs="Times New Roman"/>
                <w:bCs/>
                <w:caps w:val="0"/>
                <w:smallCaps w:val="0"/>
                <w:color w:val="auto"/>
                <w:sz w:val="24"/>
                <w:szCs w:val="22"/>
                <w:u w:val="none" w:color="auto"/>
              </w:rPr>
              <w:t>SO</w:t>
            </w:r>
            <w:r>
              <w:rPr>
                <w:rFonts w:hint="default" w:ascii="Times New Roman" w:hAnsi="Times New Roman" w:eastAsia="宋体" w:cs="Times New Roman"/>
                <w:bCs/>
                <w:caps w:val="0"/>
                <w:smallCaps w:val="0"/>
                <w:color w:val="auto"/>
                <w:sz w:val="24"/>
                <w:szCs w:val="22"/>
                <w:u w:val="none" w:color="auto"/>
                <w:vertAlign w:val="subscript"/>
              </w:rPr>
              <w:t>2</w:t>
            </w:r>
            <w:r>
              <w:rPr>
                <w:rFonts w:hint="default" w:ascii="Times New Roman" w:hAnsi="Times New Roman" w:eastAsia="宋体" w:cs="Times New Roman"/>
                <w:bCs/>
                <w:caps w:val="0"/>
                <w:smallCaps w:val="0"/>
                <w:color w:val="auto"/>
                <w:sz w:val="24"/>
                <w:szCs w:val="22"/>
                <w:u w:val="none" w:color="auto"/>
              </w:rPr>
              <w:t>、NO</w:t>
            </w:r>
            <w:r>
              <w:rPr>
                <w:rFonts w:hint="default" w:ascii="Times New Roman" w:hAnsi="Times New Roman" w:eastAsia="宋体" w:cs="Times New Roman"/>
                <w:bCs/>
                <w:caps w:val="0"/>
                <w:smallCaps w:val="0"/>
                <w:color w:val="auto"/>
                <w:sz w:val="24"/>
                <w:szCs w:val="22"/>
                <w:highlight w:val="none"/>
                <w:u w:val="none" w:color="auto"/>
                <w:vertAlign w:val="subscript"/>
              </w:rPr>
              <w:t>x</w:t>
            </w:r>
            <w:r>
              <w:rPr>
                <w:rFonts w:hint="default" w:ascii="Times New Roman" w:hAnsi="Times New Roman" w:eastAsia="宋体" w:cs="Times New Roman"/>
                <w:bCs/>
                <w:caps w:val="0"/>
                <w:smallCaps w:val="0"/>
                <w:color w:val="auto"/>
                <w:sz w:val="24"/>
                <w:szCs w:val="22"/>
                <w:highlight w:val="none"/>
                <w:u w:val="none" w:color="auto"/>
              </w:rPr>
              <w:t>。</w:t>
            </w:r>
            <w:r>
              <w:rPr>
                <w:rFonts w:hint="default" w:ascii="Times New Roman" w:hAnsi="Times New Roman" w:eastAsia="宋体" w:cs="Times New Roman"/>
                <w:caps w:val="0"/>
                <w:smallCaps w:val="0"/>
                <w:color w:val="auto"/>
                <w:sz w:val="24"/>
                <w:szCs w:val="22"/>
                <w:highlight w:val="none"/>
                <w:u w:val="none" w:color="auto"/>
              </w:rPr>
              <w:t>运营期大气污染物排放标准执行《大气污染物综合排放标准》（GB16297-1996）</w:t>
            </w:r>
            <w:r>
              <w:rPr>
                <w:rFonts w:hint="default" w:ascii="Times New Roman" w:hAnsi="Times New Roman" w:eastAsia="宋体" w:cs="Times New Roman"/>
                <w:bCs/>
                <w:caps w:val="0"/>
                <w:smallCaps w:val="0"/>
                <w:color w:val="auto"/>
                <w:sz w:val="24"/>
                <w:szCs w:val="22"/>
                <w:highlight w:val="none"/>
                <w:u w:val="none" w:color="auto"/>
              </w:rPr>
              <w:t>二级标准无组织排放监控浓度限值</w:t>
            </w:r>
            <w:r>
              <w:rPr>
                <w:rFonts w:hint="default" w:ascii="Times New Roman" w:hAnsi="Times New Roman" w:eastAsia="宋体" w:cs="Times New Roman"/>
                <w:caps w:val="0"/>
                <w:smallCaps w:val="0"/>
                <w:color w:val="auto"/>
                <w:sz w:val="24"/>
                <w:szCs w:val="22"/>
                <w:highlight w:val="none"/>
                <w:u w:val="none" w:color="auto"/>
              </w:rPr>
              <w:t>，具体标准值见</w:t>
            </w:r>
            <w:r>
              <w:rPr>
                <w:rFonts w:hint="eastAsia" w:ascii="Times New Roman" w:hAnsi="Times New Roman" w:eastAsia="宋体" w:cs="Times New Roman"/>
                <w:caps w:val="0"/>
                <w:smallCaps w:val="0"/>
                <w:color w:val="auto"/>
                <w:sz w:val="24"/>
                <w:szCs w:val="22"/>
                <w:highlight w:val="none"/>
                <w:u w:val="none" w:color="auto"/>
                <w:lang w:val="en-US" w:eastAsia="zh-CN"/>
              </w:rPr>
              <w:t>下</w:t>
            </w:r>
            <w:r>
              <w:rPr>
                <w:rFonts w:hint="default" w:ascii="Times New Roman" w:hAnsi="Times New Roman" w:eastAsia="宋体" w:cs="Times New Roman"/>
                <w:caps w:val="0"/>
                <w:smallCaps w:val="0"/>
                <w:color w:val="auto"/>
                <w:sz w:val="24"/>
                <w:szCs w:val="22"/>
                <w:highlight w:val="none"/>
                <w:u w:val="none" w:color="auto"/>
              </w:rPr>
              <w:t>表。</w:t>
            </w:r>
          </w:p>
          <w:p w14:paraId="51994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aps w:val="0"/>
                <w:smallCaps w:val="0"/>
                <w:color w:val="auto"/>
                <w:sz w:val="21"/>
                <w:szCs w:val="21"/>
                <w:u w:val="none" w:color="auto"/>
              </w:rPr>
            </w:pPr>
            <w:r>
              <w:rPr>
                <w:rFonts w:hint="default" w:ascii="Times New Roman" w:hAnsi="Times New Roman" w:eastAsia="宋体" w:cs="Times New Roman"/>
                <w:b/>
                <w:caps w:val="0"/>
                <w:smallCaps w:val="0"/>
                <w:color w:val="auto"/>
                <w:sz w:val="21"/>
                <w:szCs w:val="21"/>
                <w:u w:val="none" w:color="auto"/>
              </w:rPr>
              <w:t>表</w:t>
            </w:r>
            <w:r>
              <w:rPr>
                <w:rFonts w:hint="eastAsia" w:ascii="Times New Roman" w:hAnsi="Times New Roman" w:eastAsia="宋体" w:cs="Times New Roman"/>
                <w:b/>
                <w:caps w:val="0"/>
                <w:smallCaps w:val="0"/>
                <w:color w:val="auto"/>
                <w:sz w:val="21"/>
                <w:szCs w:val="21"/>
                <w:u w:val="none" w:color="auto"/>
                <w:lang w:val="en-US" w:eastAsia="zh-CN"/>
              </w:rPr>
              <w:t>3-3</w:t>
            </w:r>
            <w:r>
              <w:rPr>
                <w:rFonts w:hint="default" w:ascii="Times New Roman" w:hAnsi="Times New Roman" w:eastAsia="宋体" w:cs="Times New Roman"/>
                <w:b/>
                <w:caps w:val="0"/>
                <w:smallCaps w:val="0"/>
                <w:color w:val="auto"/>
                <w:sz w:val="21"/>
                <w:szCs w:val="21"/>
                <w:u w:val="none" w:color="auto"/>
              </w:rPr>
              <w:t>大气污染物排放标准</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4"/>
              <w:gridCol w:w="1669"/>
              <w:gridCol w:w="1284"/>
              <w:gridCol w:w="3831"/>
            </w:tblGrid>
            <w:tr w14:paraId="4D0D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51" w:type="pct"/>
                  <w:noWrap w:val="0"/>
                  <w:vAlign w:val="center"/>
                </w:tcPr>
                <w:p w14:paraId="3ACFDAF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z w:val="21"/>
                      <w:szCs w:val="21"/>
                      <w:u w:val="none" w:color="auto"/>
                    </w:rPr>
                  </w:pPr>
                  <w:r>
                    <w:rPr>
                      <w:rFonts w:hint="eastAsia" w:ascii="Times New Roman" w:hAnsi="Times New Roman" w:eastAsia="宋体" w:cs="Times New Roman"/>
                      <w:b/>
                      <w:bCs/>
                      <w:caps w:val="0"/>
                      <w:smallCaps w:val="0"/>
                      <w:color w:val="auto"/>
                      <w:sz w:val="21"/>
                      <w:szCs w:val="21"/>
                      <w:u w:val="none" w:color="auto"/>
                    </w:rPr>
                    <w:t>项目</w:t>
                  </w:r>
                </w:p>
              </w:tc>
              <w:tc>
                <w:tcPr>
                  <w:tcW w:w="1762" w:type="pct"/>
                  <w:gridSpan w:val="2"/>
                  <w:noWrap w:val="0"/>
                  <w:vAlign w:val="center"/>
                </w:tcPr>
                <w:p w14:paraId="18E2071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z w:val="21"/>
                      <w:szCs w:val="21"/>
                      <w:u w:val="none" w:color="auto"/>
                    </w:rPr>
                  </w:pPr>
                  <w:r>
                    <w:rPr>
                      <w:rFonts w:hint="eastAsia" w:ascii="Times New Roman" w:hAnsi="Times New Roman" w:eastAsia="宋体" w:cs="Times New Roman"/>
                      <w:b/>
                      <w:bCs/>
                      <w:caps w:val="0"/>
                      <w:smallCaps w:val="0"/>
                      <w:color w:val="auto"/>
                      <w:sz w:val="21"/>
                      <w:szCs w:val="21"/>
                      <w:u w:val="none" w:color="auto"/>
                    </w:rPr>
                    <w:t>最高允许排放浓度限值</w:t>
                  </w:r>
                </w:p>
              </w:tc>
              <w:tc>
                <w:tcPr>
                  <w:tcW w:w="2285" w:type="pct"/>
                  <w:noWrap w:val="0"/>
                  <w:vAlign w:val="center"/>
                </w:tcPr>
                <w:p w14:paraId="66DD4F1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aps w:val="0"/>
                      <w:smallCaps w:val="0"/>
                      <w:color w:val="auto"/>
                      <w:sz w:val="21"/>
                      <w:szCs w:val="21"/>
                      <w:u w:val="none" w:color="auto"/>
                    </w:rPr>
                  </w:pPr>
                  <w:r>
                    <w:rPr>
                      <w:rFonts w:hint="eastAsia" w:ascii="Times New Roman" w:hAnsi="Times New Roman" w:eastAsia="宋体" w:cs="Times New Roman"/>
                      <w:b/>
                      <w:bCs/>
                      <w:caps w:val="0"/>
                      <w:smallCaps w:val="0"/>
                      <w:color w:val="auto"/>
                      <w:sz w:val="21"/>
                      <w:szCs w:val="21"/>
                      <w:u w:val="none" w:color="auto"/>
                    </w:rPr>
                    <w:t>标准来源</w:t>
                  </w:r>
                </w:p>
              </w:tc>
            </w:tr>
            <w:tr w14:paraId="2119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1" w:type="pct"/>
                  <w:noWrap w:val="0"/>
                  <w:vAlign w:val="center"/>
                </w:tcPr>
                <w:p w14:paraId="665CC75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颗粒物</w:t>
                  </w:r>
                </w:p>
              </w:tc>
              <w:tc>
                <w:tcPr>
                  <w:tcW w:w="996" w:type="pct"/>
                  <w:vMerge w:val="restart"/>
                  <w:noWrap w:val="0"/>
                  <w:vAlign w:val="center"/>
                </w:tcPr>
                <w:p w14:paraId="4832CB0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周界外浓度</w:t>
                  </w:r>
                </w:p>
                <w:p w14:paraId="474E9DD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最高点</w:t>
                  </w:r>
                </w:p>
              </w:tc>
              <w:tc>
                <w:tcPr>
                  <w:tcW w:w="766" w:type="pct"/>
                  <w:noWrap w:val="0"/>
                  <w:vAlign w:val="center"/>
                </w:tcPr>
                <w:p w14:paraId="17849A0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1.0</w:t>
                  </w:r>
                  <w:r>
                    <w:rPr>
                      <w:rFonts w:hint="default" w:ascii="Times New Roman" w:hAnsi="Times New Roman" w:eastAsia="宋体" w:cs="Times New Roman"/>
                      <w:caps w:val="0"/>
                      <w:smallCaps w:val="0"/>
                      <w:color w:val="auto"/>
                      <w:sz w:val="21"/>
                      <w:szCs w:val="21"/>
                      <w:u w:val="none" w:color="auto"/>
                    </w:rPr>
                    <w:t>mg/m</w:t>
                  </w:r>
                  <w:r>
                    <w:rPr>
                      <w:rFonts w:hint="default" w:ascii="Times New Roman" w:hAnsi="Times New Roman" w:eastAsia="宋体" w:cs="Times New Roman"/>
                      <w:caps w:val="0"/>
                      <w:smallCaps w:val="0"/>
                      <w:color w:val="auto"/>
                      <w:sz w:val="21"/>
                      <w:szCs w:val="21"/>
                      <w:u w:val="none" w:color="auto"/>
                      <w:vertAlign w:val="superscript"/>
                    </w:rPr>
                    <w:t>3</w:t>
                  </w:r>
                </w:p>
              </w:tc>
              <w:tc>
                <w:tcPr>
                  <w:tcW w:w="2285" w:type="pct"/>
                  <w:vMerge w:val="restart"/>
                  <w:noWrap w:val="0"/>
                  <w:vAlign w:val="center"/>
                </w:tcPr>
                <w:p w14:paraId="1EF50D2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《大气污染物综合排放标准》</w:t>
                  </w:r>
                </w:p>
                <w:p w14:paraId="6FF5ECA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w:t>
                  </w:r>
                  <w:r>
                    <w:rPr>
                      <w:rFonts w:hint="default" w:ascii="Times New Roman" w:hAnsi="Times New Roman" w:eastAsia="宋体" w:cs="Times New Roman"/>
                      <w:caps w:val="0"/>
                      <w:smallCaps w:val="0"/>
                      <w:color w:val="auto"/>
                      <w:sz w:val="21"/>
                      <w:szCs w:val="21"/>
                      <w:u w:val="none" w:color="auto"/>
                    </w:rPr>
                    <w:t>GB16297-1996</w:t>
                  </w:r>
                  <w:r>
                    <w:rPr>
                      <w:rFonts w:hint="eastAsia" w:ascii="Times New Roman" w:hAnsi="Times New Roman" w:eastAsia="宋体" w:cs="Times New Roman"/>
                      <w:caps w:val="0"/>
                      <w:smallCaps w:val="0"/>
                      <w:color w:val="auto"/>
                      <w:sz w:val="21"/>
                      <w:szCs w:val="21"/>
                      <w:u w:val="none" w:color="auto"/>
                    </w:rPr>
                    <w:t>）新污染源无组织排放监控浓度限值</w:t>
                  </w:r>
                </w:p>
              </w:tc>
            </w:tr>
            <w:tr w14:paraId="7562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1" w:type="pct"/>
                  <w:noWrap w:val="0"/>
                  <w:vAlign w:val="center"/>
                </w:tcPr>
                <w:p w14:paraId="72C4F5A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rPr>
                    <w:t>SO</w:t>
                  </w:r>
                  <w:r>
                    <w:rPr>
                      <w:rFonts w:hint="default" w:ascii="Times New Roman" w:hAnsi="Times New Roman" w:eastAsia="宋体" w:cs="Times New Roman"/>
                      <w:caps w:val="0"/>
                      <w:smallCaps w:val="0"/>
                      <w:color w:val="auto"/>
                      <w:sz w:val="21"/>
                      <w:szCs w:val="21"/>
                      <w:u w:val="none" w:color="auto"/>
                      <w:vertAlign w:val="subscript"/>
                    </w:rPr>
                    <w:t>2</w:t>
                  </w:r>
                </w:p>
              </w:tc>
              <w:tc>
                <w:tcPr>
                  <w:tcW w:w="996" w:type="pct"/>
                  <w:vMerge w:val="continue"/>
                  <w:noWrap w:val="0"/>
                  <w:vAlign w:val="center"/>
                </w:tcPr>
                <w:p w14:paraId="6936540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p>
              </w:tc>
              <w:tc>
                <w:tcPr>
                  <w:tcW w:w="766" w:type="pct"/>
                  <w:noWrap w:val="0"/>
                  <w:vAlign w:val="center"/>
                </w:tcPr>
                <w:p w14:paraId="65CF6FA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0.4</w:t>
                  </w:r>
                  <w:r>
                    <w:rPr>
                      <w:rFonts w:hint="default" w:ascii="Times New Roman" w:hAnsi="Times New Roman" w:eastAsia="宋体" w:cs="Times New Roman"/>
                      <w:caps w:val="0"/>
                      <w:smallCaps w:val="0"/>
                      <w:color w:val="auto"/>
                      <w:sz w:val="21"/>
                      <w:szCs w:val="21"/>
                      <w:u w:val="none" w:color="auto"/>
                    </w:rPr>
                    <w:t>mg/m</w:t>
                  </w:r>
                  <w:r>
                    <w:rPr>
                      <w:rFonts w:hint="default" w:ascii="Times New Roman" w:hAnsi="Times New Roman" w:eastAsia="宋体" w:cs="Times New Roman"/>
                      <w:caps w:val="0"/>
                      <w:smallCaps w:val="0"/>
                      <w:color w:val="auto"/>
                      <w:sz w:val="21"/>
                      <w:szCs w:val="21"/>
                      <w:u w:val="none" w:color="auto"/>
                      <w:vertAlign w:val="superscript"/>
                    </w:rPr>
                    <w:t>3</w:t>
                  </w:r>
                </w:p>
              </w:tc>
              <w:tc>
                <w:tcPr>
                  <w:tcW w:w="2285" w:type="pct"/>
                  <w:vMerge w:val="continue"/>
                  <w:noWrap w:val="0"/>
                  <w:vAlign w:val="center"/>
                </w:tcPr>
                <w:p w14:paraId="2357BB0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p>
              </w:tc>
            </w:tr>
            <w:tr w14:paraId="7F1E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1" w:type="pct"/>
                  <w:noWrap w:val="0"/>
                  <w:vAlign w:val="center"/>
                </w:tcPr>
                <w:p w14:paraId="47A9B83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default" w:ascii="Times New Roman" w:hAnsi="Times New Roman" w:eastAsia="宋体" w:cs="Times New Roman"/>
                      <w:caps w:val="0"/>
                      <w:smallCaps w:val="0"/>
                      <w:color w:val="auto"/>
                      <w:sz w:val="21"/>
                      <w:szCs w:val="21"/>
                      <w:u w:val="none" w:color="auto"/>
                    </w:rPr>
                    <w:t>NO</w:t>
                  </w:r>
                  <w:r>
                    <w:rPr>
                      <w:rFonts w:hint="default" w:ascii="Times New Roman" w:hAnsi="Times New Roman" w:eastAsia="宋体" w:cs="Times New Roman"/>
                      <w:caps w:val="0"/>
                      <w:smallCaps w:val="0"/>
                      <w:color w:val="auto"/>
                      <w:sz w:val="21"/>
                      <w:szCs w:val="21"/>
                      <w:u w:val="none" w:color="auto"/>
                      <w:vertAlign w:val="subscript"/>
                    </w:rPr>
                    <w:t>X</w:t>
                  </w:r>
                </w:p>
              </w:tc>
              <w:tc>
                <w:tcPr>
                  <w:tcW w:w="996" w:type="pct"/>
                  <w:vMerge w:val="continue"/>
                  <w:noWrap w:val="0"/>
                  <w:vAlign w:val="center"/>
                </w:tcPr>
                <w:p w14:paraId="139AB1A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p>
              </w:tc>
              <w:tc>
                <w:tcPr>
                  <w:tcW w:w="766" w:type="pct"/>
                  <w:noWrap w:val="0"/>
                  <w:vAlign w:val="center"/>
                </w:tcPr>
                <w:p w14:paraId="7E0956E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r>
                    <w:rPr>
                      <w:rFonts w:hint="eastAsia" w:ascii="Times New Roman" w:hAnsi="Times New Roman" w:eastAsia="宋体" w:cs="Times New Roman"/>
                      <w:caps w:val="0"/>
                      <w:smallCaps w:val="0"/>
                      <w:color w:val="auto"/>
                      <w:sz w:val="21"/>
                      <w:szCs w:val="21"/>
                      <w:u w:val="none" w:color="auto"/>
                    </w:rPr>
                    <w:t>0.12</w:t>
                  </w:r>
                  <w:r>
                    <w:rPr>
                      <w:rFonts w:hint="default" w:ascii="Times New Roman" w:hAnsi="Times New Roman" w:eastAsia="宋体" w:cs="Times New Roman"/>
                      <w:caps w:val="0"/>
                      <w:smallCaps w:val="0"/>
                      <w:color w:val="auto"/>
                      <w:sz w:val="21"/>
                      <w:szCs w:val="21"/>
                      <w:u w:val="none" w:color="auto"/>
                    </w:rPr>
                    <w:t>mg/m</w:t>
                  </w:r>
                  <w:r>
                    <w:rPr>
                      <w:rFonts w:hint="default" w:ascii="Times New Roman" w:hAnsi="Times New Roman" w:eastAsia="宋体" w:cs="Times New Roman"/>
                      <w:caps w:val="0"/>
                      <w:smallCaps w:val="0"/>
                      <w:color w:val="auto"/>
                      <w:sz w:val="21"/>
                      <w:szCs w:val="21"/>
                      <w:u w:val="none" w:color="auto"/>
                      <w:vertAlign w:val="superscript"/>
                    </w:rPr>
                    <w:t>3</w:t>
                  </w:r>
                </w:p>
              </w:tc>
              <w:tc>
                <w:tcPr>
                  <w:tcW w:w="2285" w:type="pct"/>
                  <w:vMerge w:val="continue"/>
                  <w:noWrap w:val="0"/>
                  <w:vAlign w:val="center"/>
                </w:tcPr>
                <w:p w14:paraId="29194E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aps w:val="0"/>
                      <w:smallCaps w:val="0"/>
                      <w:color w:val="auto"/>
                      <w:sz w:val="21"/>
                      <w:szCs w:val="21"/>
                      <w:u w:val="none" w:color="auto"/>
                    </w:rPr>
                  </w:pPr>
                </w:p>
              </w:tc>
            </w:tr>
          </w:tbl>
          <w:p w14:paraId="1E2F86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2、废水</w:t>
            </w:r>
          </w:p>
          <w:p w14:paraId="394B1C57">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aps w:val="0"/>
                <w:color w:val="auto"/>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lang w:val="en-US" w:eastAsia="zh-CN"/>
              </w:rPr>
              <w:t>项目</w:t>
            </w:r>
            <w:r>
              <w:rPr>
                <w:rFonts w:hint="eastAsia" w:ascii="Times New Roman" w:hAnsi="Times New Roman" w:eastAsia="宋体" w:cs="Times New Roman"/>
                <w:color w:val="auto"/>
                <w:kern w:val="0"/>
                <w:sz w:val="24"/>
                <w:szCs w:val="24"/>
                <w:highlight w:val="none"/>
                <w:u w:val="none" w:color="auto"/>
                <w:lang w:val="en-US" w:eastAsia="zh-CN"/>
              </w:rPr>
              <w:t>不新增工作人员，不新增生活污水产生量。现状</w:t>
            </w:r>
            <w:r>
              <w:rPr>
                <w:rFonts w:hint="default" w:ascii="Times New Roman" w:hAnsi="Times New Roman" w:eastAsia="宋体" w:cs="Times New Roman"/>
                <w:caps w:val="0"/>
                <w:color w:val="auto"/>
                <w:sz w:val="24"/>
                <w:szCs w:val="24"/>
                <w:highlight w:val="none"/>
                <w:u w:val="none" w:color="auto"/>
                <w:lang w:val="en-US" w:eastAsia="zh-CN"/>
              </w:rPr>
              <w:t>生活污水经化粪池处理达到</w:t>
            </w:r>
            <w:r>
              <w:rPr>
                <w:rFonts w:hint="default" w:ascii="Times New Roman" w:hAnsi="Times New Roman" w:eastAsia="宋体" w:cs="Times New Roman"/>
                <w:caps w:val="0"/>
                <w:color w:val="auto"/>
                <w:sz w:val="24"/>
                <w:szCs w:val="24"/>
                <w:highlight w:val="none"/>
                <w:u w:val="none" w:color="auto"/>
              </w:rPr>
              <w:t>《污水综合排放标准》（GB8978-1996）三级标准</w:t>
            </w:r>
            <w:r>
              <w:rPr>
                <w:rFonts w:hint="eastAsia" w:ascii="Times New Roman" w:hAnsi="Times New Roman" w:eastAsia="宋体" w:cs="Times New Roman"/>
                <w:b w:val="0"/>
                <w:bCs w:val="0"/>
                <w:color w:val="auto"/>
                <w:sz w:val="24"/>
                <w:highlight w:val="none"/>
                <w:u w:val="none" w:color="auto"/>
                <w:lang w:val="en-US" w:eastAsia="zh-CN"/>
              </w:rPr>
              <w:t>及</w:t>
            </w:r>
            <w:r>
              <w:rPr>
                <w:rFonts w:hint="eastAsia" w:ascii="Times New Roman" w:hAnsi="Times New Roman" w:eastAsia="宋体" w:cs="Times New Roman"/>
                <w:b w:val="0"/>
                <w:bCs w:val="0"/>
                <w:color w:val="auto"/>
                <w:sz w:val="24"/>
                <w:highlight w:val="none"/>
                <w:u w:val="none" w:color="auto"/>
                <w:lang w:eastAsia="zh-CN"/>
              </w:rPr>
              <w:t>大榄坪污水处理厂</w:t>
            </w:r>
            <w:r>
              <w:rPr>
                <w:rFonts w:hint="eastAsia" w:ascii="Times New Roman" w:hAnsi="Times New Roman" w:eastAsia="宋体" w:cs="Times New Roman"/>
                <w:b w:val="0"/>
                <w:bCs w:val="0"/>
                <w:color w:val="auto"/>
                <w:sz w:val="24"/>
                <w:highlight w:val="none"/>
                <w:u w:val="none" w:color="auto"/>
                <w:lang w:val="en-US" w:eastAsia="zh-CN"/>
              </w:rPr>
              <w:t>进水水质要求</w:t>
            </w:r>
            <w:r>
              <w:rPr>
                <w:rFonts w:hint="default" w:ascii="Times New Roman" w:hAnsi="Times New Roman" w:eastAsia="宋体" w:cs="Times New Roman"/>
                <w:caps w:val="0"/>
                <w:color w:val="auto"/>
                <w:sz w:val="24"/>
                <w:szCs w:val="24"/>
                <w:highlight w:val="none"/>
                <w:u w:val="none" w:color="auto"/>
                <w:lang w:eastAsia="zh-CN"/>
              </w:rPr>
              <w:t>，</w:t>
            </w:r>
            <w:r>
              <w:rPr>
                <w:rFonts w:hint="default" w:ascii="Times New Roman" w:hAnsi="Times New Roman" w:eastAsia="宋体" w:cs="Times New Roman"/>
                <w:caps w:val="0"/>
                <w:color w:val="auto"/>
                <w:sz w:val="24"/>
                <w:szCs w:val="24"/>
                <w:highlight w:val="none"/>
                <w:u w:val="none" w:color="auto"/>
                <w:lang w:val="en-US" w:eastAsia="zh-CN"/>
              </w:rPr>
              <w:t>接入</w:t>
            </w:r>
            <w:r>
              <w:rPr>
                <w:rFonts w:hint="default" w:ascii="Times New Roman" w:hAnsi="Times New Roman" w:eastAsia="宋体" w:cs="Times New Roman"/>
                <w:caps w:val="0"/>
                <w:color w:val="auto"/>
                <w:sz w:val="24"/>
                <w:szCs w:val="24"/>
                <w:highlight w:val="none"/>
                <w:u w:val="none" w:color="auto"/>
              </w:rPr>
              <w:t>大榄坪污水处理厂。</w:t>
            </w:r>
          </w:p>
          <w:p w14:paraId="3AB89869">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highlight w:val="none"/>
                <w:u w:val="none" w:color="auto"/>
                <w:lang w:eastAsia="zh-CN"/>
              </w:rPr>
            </w:pPr>
            <w:r>
              <w:rPr>
                <w:rFonts w:hint="default" w:ascii="Times New Roman" w:hAnsi="Times New Roman" w:eastAsia="宋体" w:cs="Times New Roman"/>
                <w:b/>
                <w:bCs/>
                <w:caps w:val="0"/>
                <w:color w:val="auto"/>
                <w:sz w:val="21"/>
                <w:szCs w:val="21"/>
                <w:highlight w:val="none"/>
                <w:u w:val="none" w:color="auto"/>
                <w:lang w:val="en-US" w:eastAsia="zh-CN"/>
              </w:rPr>
              <w:t>表</w:t>
            </w:r>
            <w:r>
              <w:rPr>
                <w:rFonts w:hint="eastAsia" w:ascii="Times New Roman" w:hAnsi="Times New Roman" w:eastAsia="宋体" w:cs="Times New Roman"/>
                <w:b/>
                <w:bCs/>
                <w:caps w:val="0"/>
                <w:color w:val="auto"/>
                <w:sz w:val="21"/>
                <w:szCs w:val="21"/>
                <w:highlight w:val="none"/>
                <w:u w:val="none" w:color="auto"/>
                <w:lang w:val="en-US" w:eastAsia="zh-CN"/>
              </w:rPr>
              <w:t>3</w:t>
            </w:r>
            <w:r>
              <w:rPr>
                <w:rFonts w:hint="default" w:ascii="Times New Roman" w:hAnsi="Times New Roman" w:eastAsia="宋体" w:cs="Times New Roman"/>
                <w:b/>
                <w:bCs/>
                <w:caps w:val="0"/>
                <w:color w:val="auto"/>
                <w:sz w:val="21"/>
                <w:szCs w:val="21"/>
                <w:highlight w:val="none"/>
                <w:u w:val="none" w:color="auto"/>
                <w:lang w:val="en-US" w:eastAsia="zh-CN"/>
              </w:rPr>
              <w:t>-</w:t>
            </w:r>
            <w:r>
              <w:rPr>
                <w:rFonts w:hint="eastAsia" w:ascii="Times New Roman" w:hAnsi="Times New Roman" w:eastAsia="宋体" w:cs="Times New Roman"/>
                <w:b/>
                <w:bCs/>
                <w:caps w:val="0"/>
                <w:color w:val="auto"/>
                <w:sz w:val="21"/>
                <w:szCs w:val="21"/>
                <w:highlight w:val="none"/>
                <w:u w:val="none" w:color="auto"/>
                <w:lang w:val="en-US" w:eastAsia="zh-CN"/>
              </w:rPr>
              <w:t>4生活</w:t>
            </w:r>
            <w:r>
              <w:rPr>
                <w:rFonts w:hint="default" w:ascii="Times New Roman" w:hAnsi="Times New Roman" w:eastAsia="宋体" w:cs="Times New Roman"/>
                <w:b/>
                <w:bCs/>
                <w:caps w:val="0"/>
                <w:color w:val="auto"/>
                <w:sz w:val="21"/>
                <w:szCs w:val="21"/>
                <w:highlight w:val="none"/>
                <w:u w:val="none" w:color="auto"/>
              </w:rPr>
              <w:t>污水综合排放标准</w:t>
            </w:r>
          </w:p>
          <w:tbl>
            <w:tblPr>
              <w:tblStyle w:val="4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5"/>
              <w:gridCol w:w="1233"/>
              <w:gridCol w:w="1029"/>
              <w:gridCol w:w="1017"/>
              <w:gridCol w:w="916"/>
              <w:gridCol w:w="851"/>
            </w:tblGrid>
            <w:tr w14:paraId="4C82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85" w:type="pct"/>
                  <w:shd w:val="clear" w:color="auto" w:fill="FFFFFF"/>
                  <w:noWrap w:val="0"/>
                  <w:vAlign w:val="center"/>
                </w:tcPr>
                <w:p w14:paraId="214B1CD1">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污染物</w:t>
                  </w:r>
                </w:p>
              </w:tc>
              <w:tc>
                <w:tcPr>
                  <w:tcW w:w="736" w:type="pct"/>
                  <w:shd w:val="clear" w:color="auto" w:fill="FFFFFF"/>
                  <w:noWrap w:val="0"/>
                  <w:vAlign w:val="center"/>
                </w:tcPr>
                <w:p w14:paraId="1D0DE001">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pH值</w:t>
                  </w:r>
                </w:p>
              </w:tc>
              <w:tc>
                <w:tcPr>
                  <w:tcW w:w="614" w:type="pct"/>
                  <w:shd w:val="clear" w:color="auto" w:fill="FFFFFF"/>
                  <w:noWrap w:val="0"/>
                  <w:vAlign w:val="center"/>
                </w:tcPr>
                <w:p w14:paraId="7A552688">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SS</w:t>
                  </w:r>
                </w:p>
              </w:tc>
              <w:tc>
                <w:tcPr>
                  <w:tcW w:w="607" w:type="pct"/>
                  <w:shd w:val="clear" w:color="auto" w:fill="FFFFFF"/>
                  <w:noWrap w:val="0"/>
                  <w:vAlign w:val="center"/>
                </w:tcPr>
                <w:p w14:paraId="4E31B5EF">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COD</w:t>
                  </w:r>
                  <w:r>
                    <w:rPr>
                      <w:rFonts w:hint="default" w:ascii="Times New Roman" w:hAnsi="Times New Roman" w:eastAsia="宋体" w:cs="Times New Roman"/>
                      <w:color w:val="auto"/>
                      <w:highlight w:val="none"/>
                      <w:u w:val="none" w:color="auto"/>
                      <w:vertAlign w:val="subscript"/>
                    </w:rPr>
                    <w:t>Cr</w:t>
                  </w:r>
                </w:p>
              </w:tc>
              <w:tc>
                <w:tcPr>
                  <w:tcW w:w="547" w:type="pct"/>
                  <w:shd w:val="clear" w:color="auto" w:fill="FFFFFF"/>
                  <w:noWrap w:val="0"/>
                  <w:vAlign w:val="center"/>
                </w:tcPr>
                <w:p w14:paraId="46CC977A">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BOD</w:t>
                  </w:r>
                  <w:r>
                    <w:rPr>
                      <w:rFonts w:hint="default" w:ascii="Times New Roman" w:hAnsi="Times New Roman" w:eastAsia="宋体" w:cs="Times New Roman"/>
                      <w:color w:val="auto"/>
                      <w:highlight w:val="none"/>
                      <w:u w:val="none" w:color="auto"/>
                      <w:vertAlign w:val="subscript"/>
                    </w:rPr>
                    <w:t>5</w:t>
                  </w:r>
                </w:p>
              </w:tc>
              <w:tc>
                <w:tcPr>
                  <w:tcW w:w="508" w:type="pct"/>
                  <w:shd w:val="clear" w:color="auto" w:fill="FFFFFF"/>
                  <w:noWrap w:val="0"/>
                  <w:vAlign w:val="center"/>
                </w:tcPr>
                <w:p w14:paraId="5DB11A6A">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NH</w:t>
                  </w:r>
                  <w:r>
                    <w:rPr>
                      <w:rFonts w:hint="default" w:ascii="Times New Roman" w:hAnsi="Times New Roman" w:eastAsia="宋体" w:cs="Times New Roman"/>
                      <w:color w:val="auto"/>
                      <w:highlight w:val="none"/>
                      <w:u w:val="none" w:color="auto"/>
                      <w:vertAlign w:val="subscript"/>
                    </w:rPr>
                    <w:t>3</w:t>
                  </w:r>
                  <w:r>
                    <w:rPr>
                      <w:rFonts w:hint="default" w:ascii="Times New Roman" w:hAnsi="Times New Roman" w:eastAsia="宋体" w:cs="Times New Roman"/>
                      <w:color w:val="auto"/>
                      <w:highlight w:val="none"/>
                      <w:u w:val="none" w:color="auto"/>
                    </w:rPr>
                    <w:t>-N</w:t>
                  </w:r>
                </w:p>
              </w:tc>
            </w:tr>
            <w:tr w14:paraId="149B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985" w:type="pct"/>
                  <w:shd w:val="clear" w:color="auto" w:fill="FFFFFF"/>
                  <w:noWrap w:val="0"/>
                  <w:vAlign w:val="center"/>
                </w:tcPr>
                <w:p w14:paraId="7B070DF3">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GB8978-1996</w:t>
                  </w:r>
                  <w:r>
                    <w:rPr>
                      <w:rFonts w:hint="default" w:ascii="Times New Roman" w:hAnsi="Times New Roman" w:eastAsia="宋体" w:cs="Times New Roman"/>
                      <w:color w:val="auto"/>
                      <w:highlight w:val="none"/>
                      <w:u w:val="none" w:color="auto"/>
                      <w:lang w:val="en-US" w:eastAsia="zh-CN"/>
                    </w:rPr>
                    <w:t>表4</w:t>
                  </w:r>
                  <w:r>
                    <w:rPr>
                      <w:rFonts w:hint="default" w:ascii="Times New Roman" w:hAnsi="Times New Roman" w:eastAsia="宋体" w:cs="Times New Roman"/>
                      <w:color w:val="auto"/>
                      <w:highlight w:val="none"/>
                      <w:u w:val="none" w:color="auto"/>
                    </w:rPr>
                    <w:t>三级标准</w:t>
                  </w:r>
                </w:p>
              </w:tc>
              <w:tc>
                <w:tcPr>
                  <w:tcW w:w="736" w:type="pct"/>
                  <w:shd w:val="clear" w:color="auto" w:fill="FFFFFF"/>
                  <w:noWrap w:val="0"/>
                  <w:vAlign w:val="center"/>
                </w:tcPr>
                <w:p w14:paraId="1574287F">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6～9</w:t>
                  </w:r>
                </w:p>
              </w:tc>
              <w:tc>
                <w:tcPr>
                  <w:tcW w:w="614" w:type="pct"/>
                  <w:shd w:val="clear" w:color="auto" w:fill="FFFFFF"/>
                  <w:noWrap w:val="0"/>
                  <w:vAlign w:val="center"/>
                </w:tcPr>
                <w:p w14:paraId="28B416C3">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400</w:t>
                  </w:r>
                </w:p>
              </w:tc>
              <w:tc>
                <w:tcPr>
                  <w:tcW w:w="607" w:type="pct"/>
                  <w:shd w:val="clear" w:color="auto" w:fill="FFFFFF"/>
                  <w:noWrap w:val="0"/>
                  <w:vAlign w:val="center"/>
                </w:tcPr>
                <w:p w14:paraId="719D157F">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500</w:t>
                  </w:r>
                </w:p>
              </w:tc>
              <w:tc>
                <w:tcPr>
                  <w:tcW w:w="547" w:type="pct"/>
                  <w:shd w:val="clear" w:color="auto" w:fill="FFFFFF"/>
                  <w:noWrap w:val="0"/>
                  <w:vAlign w:val="center"/>
                </w:tcPr>
                <w:p w14:paraId="2211AC79">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300</w:t>
                  </w:r>
                </w:p>
              </w:tc>
              <w:tc>
                <w:tcPr>
                  <w:tcW w:w="508" w:type="pct"/>
                  <w:shd w:val="clear" w:color="auto" w:fill="FFFFFF"/>
                  <w:noWrap w:val="0"/>
                  <w:vAlign w:val="center"/>
                </w:tcPr>
                <w:p w14:paraId="63A7AE0E">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p>
              </w:tc>
            </w:tr>
            <w:tr w14:paraId="3177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1985" w:type="pct"/>
                  <w:shd w:val="clear" w:color="auto" w:fill="FFFFFF"/>
                  <w:noWrap w:val="0"/>
                  <w:vAlign w:val="center"/>
                </w:tcPr>
                <w:p w14:paraId="5B7611CD">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lang w:val="en-US" w:eastAsia="zh-CN"/>
                    </w:rPr>
                    <w:t>大榄坪污水处理厂入水水质要求</w:t>
                  </w:r>
                </w:p>
              </w:tc>
              <w:tc>
                <w:tcPr>
                  <w:tcW w:w="736" w:type="pct"/>
                  <w:shd w:val="clear" w:color="auto" w:fill="FFFFFF"/>
                  <w:noWrap w:val="0"/>
                  <w:vAlign w:val="center"/>
                </w:tcPr>
                <w:p w14:paraId="53A76718">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6～9</w:t>
                  </w:r>
                </w:p>
              </w:tc>
              <w:tc>
                <w:tcPr>
                  <w:tcW w:w="614" w:type="pct"/>
                  <w:shd w:val="clear" w:color="auto" w:fill="FFFFFF"/>
                  <w:noWrap w:val="0"/>
                  <w:vAlign w:val="center"/>
                </w:tcPr>
                <w:p w14:paraId="430527F1">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300</w:t>
                  </w:r>
                </w:p>
              </w:tc>
              <w:tc>
                <w:tcPr>
                  <w:tcW w:w="607" w:type="pct"/>
                  <w:shd w:val="clear" w:color="auto" w:fill="FFFFFF"/>
                  <w:noWrap w:val="0"/>
                  <w:vAlign w:val="center"/>
                </w:tcPr>
                <w:p w14:paraId="6F9CE1D1">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rPr>
                    <w:t>00</w:t>
                  </w:r>
                </w:p>
              </w:tc>
              <w:tc>
                <w:tcPr>
                  <w:tcW w:w="547" w:type="pct"/>
                  <w:shd w:val="clear" w:color="auto" w:fill="FFFFFF"/>
                  <w:noWrap w:val="0"/>
                  <w:vAlign w:val="center"/>
                </w:tcPr>
                <w:p w14:paraId="34D6269A">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200</w:t>
                  </w:r>
                </w:p>
              </w:tc>
              <w:tc>
                <w:tcPr>
                  <w:tcW w:w="508" w:type="pct"/>
                  <w:shd w:val="clear" w:color="auto" w:fill="FFFFFF"/>
                  <w:noWrap w:val="0"/>
                  <w:vAlign w:val="center"/>
                </w:tcPr>
                <w:p w14:paraId="0524887F">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35</w:t>
                  </w:r>
                </w:p>
              </w:tc>
            </w:tr>
            <w:tr w14:paraId="5A9D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985" w:type="pct"/>
                  <w:shd w:val="clear" w:color="auto" w:fill="FFFFFF"/>
                  <w:noWrap w:val="0"/>
                  <w:vAlign w:val="center"/>
                </w:tcPr>
                <w:p w14:paraId="64D57D40">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最终执行标准</w:t>
                  </w:r>
                </w:p>
              </w:tc>
              <w:tc>
                <w:tcPr>
                  <w:tcW w:w="736" w:type="pct"/>
                  <w:shd w:val="clear" w:color="auto" w:fill="FFFFFF"/>
                  <w:noWrap w:val="0"/>
                  <w:vAlign w:val="center"/>
                </w:tcPr>
                <w:p w14:paraId="789B9EF4">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6~9</w:t>
                  </w:r>
                </w:p>
              </w:tc>
              <w:tc>
                <w:tcPr>
                  <w:tcW w:w="614" w:type="pct"/>
                  <w:shd w:val="clear" w:color="auto" w:fill="FFFFFF"/>
                  <w:noWrap w:val="0"/>
                  <w:vAlign w:val="center"/>
                </w:tcPr>
                <w:p w14:paraId="33A64A03">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300</w:t>
                  </w:r>
                </w:p>
              </w:tc>
              <w:tc>
                <w:tcPr>
                  <w:tcW w:w="607" w:type="pct"/>
                  <w:shd w:val="clear" w:color="auto" w:fill="FFFFFF"/>
                  <w:noWrap w:val="0"/>
                  <w:vAlign w:val="center"/>
                </w:tcPr>
                <w:p w14:paraId="6DBAC1B6">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500</w:t>
                  </w:r>
                </w:p>
              </w:tc>
              <w:tc>
                <w:tcPr>
                  <w:tcW w:w="547" w:type="pct"/>
                  <w:shd w:val="clear" w:color="auto" w:fill="FFFFFF"/>
                  <w:noWrap w:val="0"/>
                  <w:vAlign w:val="center"/>
                </w:tcPr>
                <w:p w14:paraId="32D844EF">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200</w:t>
                  </w:r>
                </w:p>
              </w:tc>
              <w:tc>
                <w:tcPr>
                  <w:tcW w:w="508" w:type="pct"/>
                  <w:shd w:val="clear" w:color="auto" w:fill="FFFFFF"/>
                  <w:noWrap w:val="0"/>
                  <w:vAlign w:val="center"/>
                </w:tcPr>
                <w:p w14:paraId="547CA019">
                  <w:pPr>
                    <w:pStyle w:val="142"/>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35</w:t>
                  </w:r>
                </w:p>
              </w:tc>
            </w:tr>
          </w:tbl>
          <w:p w14:paraId="61BF5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3、噪声</w:t>
            </w:r>
          </w:p>
          <w:p w14:paraId="1B4CC9CE">
            <w:pPr>
              <w:keepNext w:val="0"/>
              <w:keepLines w:val="0"/>
              <w:suppressLineNumbers w:val="0"/>
              <w:topLinePunct/>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color w:val="auto"/>
                <w:kern w:val="0"/>
                <w:sz w:val="24"/>
                <w:szCs w:val="24"/>
                <w:highlight w:val="none"/>
                <w:u w:val="none" w:color="auto"/>
                <w:lang w:val="en-US" w:eastAsia="zh-CN" w:bidi="ar"/>
              </w:rPr>
              <w:t>项目运营期各厂界噪声执行《工业企业厂界环境噪声排放标准》（GB12348-2008）3类标准</w:t>
            </w:r>
            <w:r>
              <w:rPr>
                <w:rFonts w:hint="default" w:ascii="Times New Roman" w:hAnsi="Times New Roman" w:eastAsia="宋体" w:cs="Times New Roman"/>
                <w:color w:val="auto"/>
                <w:sz w:val="24"/>
                <w:szCs w:val="24"/>
                <w:highlight w:val="none"/>
                <w:u w:val="none" w:color="auto"/>
              </w:rPr>
              <w:t>。</w:t>
            </w:r>
          </w:p>
          <w:p w14:paraId="4B8B06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p>
          <w:p w14:paraId="0DB758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p>
          <w:p w14:paraId="74EED4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p>
          <w:p w14:paraId="27E3F0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p>
          <w:p w14:paraId="49FC5E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w:t>
            </w:r>
            <w:r>
              <w:rPr>
                <w:rFonts w:hint="default" w:ascii="Times New Roman" w:hAnsi="Times New Roman" w:eastAsia="宋体" w:cs="Times New Roman"/>
                <w:b/>
                <w:bCs/>
                <w:color w:val="auto"/>
                <w:sz w:val="21"/>
                <w:szCs w:val="21"/>
                <w:highlight w:val="none"/>
                <w:u w:val="none" w:color="auto"/>
                <w:lang w:val="en-US" w:eastAsia="zh-CN"/>
              </w:rPr>
              <w:t>3-</w:t>
            </w:r>
            <w:r>
              <w:rPr>
                <w:rFonts w:hint="eastAsia" w:ascii="Times New Roman" w:hAnsi="Times New Roman" w:eastAsia="宋体" w:cs="Times New Roman"/>
                <w:b/>
                <w:bCs/>
                <w:color w:val="auto"/>
                <w:sz w:val="21"/>
                <w:szCs w:val="21"/>
                <w:highlight w:val="none"/>
                <w:u w:val="none" w:color="auto"/>
                <w:lang w:val="en-US" w:eastAsia="zh-CN"/>
              </w:rPr>
              <w:t>5</w:t>
            </w:r>
            <w:r>
              <w:rPr>
                <w:rFonts w:hint="default" w:ascii="Times New Roman" w:hAnsi="Times New Roman" w:eastAsia="宋体" w:cs="Times New Roman"/>
                <w:b/>
                <w:bCs/>
                <w:color w:val="auto"/>
                <w:sz w:val="21"/>
                <w:szCs w:val="21"/>
                <w:highlight w:val="none"/>
                <w:u w:val="none" w:color="auto"/>
              </w:rPr>
              <w:t>工业企业厂界环境噪声排放标准</w:t>
            </w:r>
            <w:r>
              <w:rPr>
                <w:rFonts w:hint="default" w:ascii="Times New Roman" w:hAnsi="Times New Roman" w:eastAsia="宋体"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rPr>
              <w:t>GB12348-2008</w:t>
            </w:r>
            <w:r>
              <w:rPr>
                <w:rFonts w:hint="default" w:ascii="Times New Roman" w:hAnsi="Times New Roman" w:eastAsia="宋体" w:cs="Times New Roman"/>
                <w:b/>
                <w:bCs/>
                <w:color w:val="auto"/>
                <w:sz w:val="21"/>
                <w:szCs w:val="21"/>
                <w:highlight w:val="none"/>
                <w:u w:val="none" w:color="auto"/>
                <w:lang w:eastAsia="zh-CN"/>
              </w:rPr>
              <w:t>）</w:t>
            </w:r>
          </w:p>
          <w:tbl>
            <w:tblPr>
              <w:tblStyle w:val="46"/>
              <w:tblW w:w="84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671"/>
              <w:gridCol w:w="2551"/>
              <w:gridCol w:w="2112"/>
            </w:tblGrid>
            <w:tr w14:paraId="701AC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104" w:type="dxa"/>
                  <w:tcBorders>
                    <w:top w:val="single" w:color="auto" w:sz="4" w:space="0"/>
                    <w:left w:val="single" w:color="auto" w:sz="12" w:space="0"/>
                    <w:tl2br w:val="nil"/>
                    <w:tr2bl w:val="nil"/>
                  </w:tcBorders>
                  <w:noWrap w:val="0"/>
                  <w:vAlign w:val="center"/>
                </w:tcPr>
                <w:p w14:paraId="2535E9E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执行标准</w:t>
                  </w:r>
                </w:p>
              </w:tc>
              <w:tc>
                <w:tcPr>
                  <w:tcW w:w="1671" w:type="dxa"/>
                  <w:tcBorders>
                    <w:top w:val="single" w:color="auto" w:sz="4" w:space="0"/>
                    <w:tl2br w:val="nil"/>
                    <w:tr2bl w:val="nil"/>
                  </w:tcBorders>
                  <w:noWrap w:val="0"/>
                  <w:vAlign w:val="center"/>
                </w:tcPr>
                <w:p w14:paraId="2F9803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执行范围</w:t>
                  </w:r>
                </w:p>
              </w:tc>
              <w:tc>
                <w:tcPr>
                  <w:tcW w:w="2551" w:type="dxa"/>
                  <w:tcBorders>
                    <w:top w:val="single" w:color="auto" w:sz="4" w:space="0"/>
                    <w:tl2br w:val="nil"/>
                    <w:tr2bl w:val="nil"/>
                  </w:tcBorders>
                  <w:noWrap w:val="0"/>
                  <w:vAlign w:val="center"/>
                </w:tcPr>
                <w:p w14:paraId="4395CD7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rPr>
                    <w:t>昼间dB(A)</w:t>
                  </w:r>
                </w:p>
              </w:tc>
              <w:tc>
                <w:tcPr>
                  <w:tcW w:w="2112" w:type="dxa"/>
                  <w:tcBorders>
                    <w:top w:val="single" w:color="auto" w:sz="4" w:space="0"/>
                    <w:right w:val="single" w:color="auto" w:sz="4" w:space="0"/>
                    <w:tl2br w:val="nil"/>
                    <w:tr2bl w:val="nil"/>
                  </w:tcBorders>
                  <w:noWrap w:val="0"/>
                  <w:vAlign w:val="center"/>
                </w:tcPr>
                <w:p w14:paraId="6C9B41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夜间dB(A)</w:t>
                  </w:r>
                </w:p>
              </w:tc>
            </w:tr>
            <w:tr w14:paraId="29F37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104" w:type="dxa"/>
                  <w:tcBorders>
                    <w:left w:val="single" w:color="auto" w:sz="4" w:space="0"/>
                    <w:bottom w:val="single" w:color="auto" w:sz="4" w:space="0"/>
                    <w:tl2br w:val="nil"/>
                    <w:tr2bl w:val="nil"/>
                  </w:tcBorders>
                  <w:noWrap w:val="0"/>
                  <w:vAlign w:val="center"/>
                </w:tcPr>
                <w:p w14:paraId="2263E7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w:t>
                  </w:r>
                  <w:r>
                    <w:rPr>
                      <w:rFonts w:hint="default" w:ascii="Times New Roman" w:hAnsi="Times New Roman" w:eastAsia="宋体" w:cs="Times New Roman"/>
                      <w:color w:val="auto"/>
                      <w:sz w:val="21"/>
                      <w:szCs w:val="21"/>
                      <w:highlight w:val="none"/>
                      <w:u w:val="none" w:color="auto"/>
                    </w:rPr>
                    <w:t>类</w:t>
                  </w:r>
                </w:p>
              </w:tc>
              <w:tc>
                <w:tcPr>
                  <w:tcW w:w="1671" w:type="dxa"/>
                  <w:tcBorders>
                    <w:bottom w:val="single" w:color="auto" w:sz="4" w:space="0"/>
                    <w:tl2br w:val="nil"/>
                    <w:tr2bl w:val="nil"/>
                  </w:tcBorders>
                  <w:noWrap w:val="0"/>
                  <w:vAlign w:val="center"/>
                </w:tcPr>
                <w:p w14:paraId="4EC477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w:t>
                  </w:r>
                </w:p>
              </w:tc>
              <w:tc>
                <w:tcPr>
                  <w:tcW w:w="2551" w:type="dxa"/>
                  <w:tcBorders>
                    <w:bottom w:val="single" w:color="auto" w:sz="4" w:space="0"/>
                    <w:tl2br w:val="nil"/>
                    <w:tr2bl w:val="nil"/>
                  </w:tcBorders>
                  <w:noWrap w:val="0"/>
                  <w:vAlign w:val="center"/>
                </w:tcPr>
                <w:p w14:paraId="207BC8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6</w:t>
                  </w:r>
                  <w:r>
                    <w:rPr>
                      <w:rFonts w:hint="default" w:ascii="Times New Roman" w:hAnsi="Times New Roman" w:eastAsia="宋体" w:cs="Times New Roman"/>
                      <w:color w:val="auto"/>
                      <w:sz w:val="21"/>
                      <w:szCs w:val="21"/>
                      <w:highlight w:val="none"/>
                      <w:u w:val="none" w:color="auto"/>
                      <w:lang w:val="en-US" w:eastAsia="zh-CN"/>
                    </w:rPr>
                    <w:t>5</w:t>
                  </w:r>
                </w:p>
              </w:tc>
              <w:tc>
                <w:tcPr>
                  <w:tcW w:w="2112" w:type="dxa"/>
                  <w:tcBorders>
                    <w:bottom w:val="single" w:color="auto" w:sz="4" w:space="0"/>
                    <w:right w:val="single" w:color="auto" w:sz="4" w:space="0"/>
                    <w:tl2br w:val="nil"/>
                    <w:tr2bl w:val="nil"/>
                  </w:tcBorders>
                  <w:noWrap w:val="0"/>
                  <w:vAlign w:val="center"/>
                </w:tcPr>
                <w:p w14:paraId="485D246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5</w:t>
                  </w:r>
                  <w:r>
                    <w:rPr>
                      <w:rFonts w:hint="default" w:ascii="Times New Roman" w:hAnsi="Times New Roman" w:eastAsia="宋体" w:cs="Times New Roman"/>
                      <w:color w:val="auto"/>
                      <w:sz w:val="21"/>
                      <w:szCs w:val="21"/>
                      <w:highlight w:val="none"/>
                      <w:u w:val="none" w:color="auto"/>
                      <w:lang w:val="en-US" w:eastAsia="zh-CN"/>
                    </w:rPr>
                    <w:t>5</w:t>
                  </w:r>
                </w:p>
              </w:tc>
            </w:tr>
          </w:tbl>
          <w:p w14:paraId="619FF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4、固体废物</w:t>
            </w:r>
          </w:p>
          <w:p w14:paraId="1B423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u w:val="none" w:color="auto"/>
              </w:rPr>
            </w:pPr>
            <w:r>
              <w:rPr>
                <w:rFonts w:hint="eastAsia" w:ascii="Times New Roman" w:hAnsi="Times New Roman" w:eastAsia="宋体" w:cs="Times New Roman"/>
                <w:b w:val="0"/>
                <w:bCs w:val="0"/>
                <w:color w:val="auto"/>
                <w:sz w:val="24"/>
                <w:highlight w:val="none"/>
                <w:u w:val="none" w:color="auto"/>
                <w:lang w:val="en-US" w:eastAsia="zh-CN"/>
              </w:rPr>
              <w:t>一般工业</w:t>
            </w:r>
            <w:r>
              <w:rPr>
                <w:rFonts w:hint="default" w:ascii="Times New Roman" w:hAnsi="Times New Roman" w:eastAsia="宋体" w:cs="Times New Roman"/>
                <w:color w:val="auto"/>
                <w:sz w:val="24"/>
                <w:highlight w:val="none"/>
                <w:u w:val="none" w:color="auto"/>
              </w:rPr>
              <w:t>固体废物</w:t>
            </w:r>
            <w:r>
              <w:rPr>
                <w:rFonts w:hint="eastAsia" w:ascii="Times New Roman" w:hAnsi="Times New Roman" w:eastAsia="宋体" w:cs="Times New Roman"/>
                <w:color w:val="auto"/>
                <w:sz w:val="24"/>
                <w:highlight w:val="none"/>
                <w:u w:val="none" w:color="auto"/>
                <w:lang w:val="en-US" w:eastAsia="zh-CN"/>
              </w:rPr>
              <w:t>参照</w:t>
            </w:r>
            <w:r>
              <w:rPr>
                <w:rFonts w:hint="default" w:ascii="Times New Roman" w:hAnsi="Times New Roman" w:eastAsia="宋体" w:cs="Times New Roman"/>
                <w:color w:val="auto"/>
                <w:sz w:val="24"/>
                <w:highlight w:val="none"/>
                <w:u w:val="none" w:color="auto"/>
              </w:rPr>
              <w:t>《一般工业固体废物贮存</w:t>
            </w:r>
            <w:r>
              <w:rPr>
                <w:rFonts w:hint="eastAsia" w:ascii="Times New Roman" w:hAnsi="Times New Roman" w:eastAsia="宋体" w:cs="Times New Roman"/>
                <w:color w:val="auto"/>
                <w:sz w:val="24"/>
                <w:highlight w:val="none"/>
                <w:u w:val="none" w:color="auto"/>
              </w:rPr>
              <w:t>和填埋</w:t>
            </w:r>
            <w:r>
              <w:rPr>
                <w:rFonts w:hint="default" w:ascii="Times New Roman" w:hAnsi="Times New Roman" w:eastAsia="宋体" w:cs="Times New Roman"/>
                <w:color w:val="auto"/>
                <w:sz w:val="24"/>
                <w:highlight w:val="none"/>
                <w:u w:val="none" w:color="auto"/>
              </w:rPr>
              <w:t>污染控制标准》</w:t>
            </w:r>
            <w:r>
              <w:rPr>
                <w:rFonts w:hint="eastAsia"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GB18599-2020</w:t>
            </w:r>
            <w:r>
              <w:rPr>
                <w:rFonts w:hint="eastAsia"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lang w:val="en-US" w:eastAsia="zh-CN"/>
              </w:rPr>
              <w:t>相关要求</w:t>
            </w:r>
            <w:r>
              <w:rPr>
                <w:rFonts w:hint="eastAsia" w:ascii="Times New Roman" w:hAnsi="Times New Roman" w:eastAsia="宋体"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rPr>
              <w:t>危险废物执行《危险废物贮存污染控制标准》</w:t>
            </w:r>
            <w:r>
              <w:rPr>
                <w:rFonts w:hint="eastAsia" w:cs="Times New Roman"/>
                <w:color w:val="auto"/>
                <w:sz w:val="24"/>
                <w:highlight w:val="none"/>
                <w:u w:val="none" w:color="auto"/>
                <w:lang w:eastAsia="zh-CN"/>
              </w:rPr>
              <w:t>（</w:t>
            </w:r>
            <w:r>
              <w:rPr>
                <w:rFonts w:hint="eastAsia" w:ascii="Times New Roman" w:hAnsi="Times New Roman" w:eastAsia="宋体" w:cs="Times New Roman"/>
                <w:color w:val="auto"/>
                <w:sz w:val="24"/>
                <w:highlight w:val="none"/>
                <w:u w:val="none" w:color="auto"/>
              </w:rPr>
              <w:t>GB18597-20</w:t>
            </w:r>
            <w:r>
              <w:rPr>
                <w:rFonts w:hint="eastAsia" w:ascii="Times New Roman" w:hAnsi="Times New Roman" w:eastAsia="宋体" w:cs="Times New Roman"/>
                <w:color w:val="auto"/>
                <w:sz w:val="24"/>
                <w:highlight w:val="none"/>
                <w:u w:val="none" w:color="auto"/>
                <w:lang w:val="en-US" w:eastAsia="zh-CN"/>
              </w:rPr>
              <w:t>23</w:t>
            </w:r>
            <w:r>
              <w:rPr>
                <w:rFonts w:hint="eastAsia" w:cs="Times New Roman"/>
                <w:color w:val="auto"/>
                <w:sz w:val="24"/>
                <w:highlight w:val="none"/>
                <w:u w:val="none" w:color="auto"/>
                <w:lang w:val="en-US" w:eastAsia="zh-CN"/>
              </w:rPr>
              <w:t>）</w:t>
            </w:r>
            <w:r>
              <w:rPr>
                <w:rFonts w:hint="eastAsia" w:ascii="Times New Roman" w:hAnsi="Times New Roman" w:eastAsia="宋体" w:cs="Times New Roman"/>
                <w:color w:val="auto"/>
                <w:sz w:val="24"/>
                <w:highlight w:val="none"/>
                <w:u w:val="none" w:color="auto"/>
              </w:rPr>
              <w:t>中的有关规定和要求</w:t>
            </w:r>
            <w:r>
              <w:rPr>
                <w:rFonts w:hint="eastAsia" w:ascii="Times New Roman" w:hAnsi="Times New Roman" w:eastAsia="宋体" w:cs="Times New Roman"/>
                <w:color w:val="auto"/>
                <w:sz w:val="24"/>
                <w:highlight w:val="none"/>
                <w:u w:val="none" w:color="auto"/>
                <w:lang w:eastAsia="zh-CN"/>
              </w:rPr>
              <w:t>。</w:t>
            </w:r>
          </w:p>
        </w:tc>
      </w:tr>
      <w:tr w14:paraId="4C531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456" w:type="dxa"/>
            <w:noWrap w:val="0"/>
            <w:vAlign w:val="center"/>
          </w:tcPr>
          <w:p w14:paraId="77BD22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总量</w:t>
            </w:r>
          </w:p>
          <w:p w14:paraId="7F3B9E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控制</w:t>
            </w:r>
          </w:p>
          <w:p w14:paraId="67B911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u w:val="none" w:color="auto"/>
              </w:rPr>
            </w:pPr>
            <w:r>
              <w:rPr>
                <w:rFonts w:hint="default" w:ascii="Times New Roman" w:hAnsi="Times New Roman" w:eastAsia="宋体" w:cs="Times New Roman"/>
                <w:color w:val="auto"/>
                <w:kern w:val="0"/>
                <w:sz w:val="24"/>
                <w:szCs w:val="24"/>
                <w:highlight w:val="none"/>
                <w:u w:val="none" w:color="auto"/>
              </w:rPr>
              <w:t>指标</w:t>
            </w:r>
          </w:p>
        </w:tc>
        <w:tc>
          <w:tcPr>
            <w:tcW w:w="8604" w:type="dxa"/>
            <w:noWrap w:val="0"/>
            <w:vAlign w:val="center"/>
          </w:tcPr>
          <w:p w14:paraId="6A3E5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目前国家对化学需氧量（COD）、氨氮（NH</w:t>
            </w:r>
            <w:r>
              <w:rPr>
                <w:rFonts w:hint="default" w:ascii="Times New Roman" w:hAnsi="Times New Roman" w:eastAsia="宋体" w:cs="Times New Roman"/>
                <w:color w:val="auto"/>
                <w:sz w:val="24"/>
                <w:szCs w:val="24"/>
                <w:highlight w:val="none"/>
                <w:u w:val="none" w:color="auto"/>
                <w:vertAlign w:val="subscript"/>
              </w:rPr>
              <w:t>3</w:t>
            </w:r>
            <w:r>
              <w:rPr>
                <w:rFonts w:hint="default" w:ascii="Times New Roman" w:hAnsi="Times New Roman" w:eastAsia="宋体" w:cs="Times New Roman"/>
                <w:color w:val="auto"/>
                <w:sz w:val="24"/>
                <w:szCs w:val="24"/>
                <w:highlight w:val="none"/>
                <w:u w:val="none" w:color="auto"/>
              </w:rPr>
              <w:t>-N）、</w:t>
            </w:r>
            <w:r>
              <w:rPr>
                <w:rFonts w:hint="default" w:ascii="Times New Roman" w:hAnsi="Times New Roman" w:eastAsia="宋体" w:cs="Times New Roman"/>
                <w:color w:val="auto"/>
                <w:sz w:val="24"/>
                <w:szCs w:val="24"/>
                <w:highlight w:val="none"/>
                <w:u w:val="none" w:color="auto"/>
                <w:lang w:val="en-US" w:eastAsia="zh-CN"/>
              </w:rPr>
              <w:t>VOCs</w:t>
            </w:r>
            <w:r>
              <w:rPr>
                <w:rFonts w:hint="default" w:ascii="Times New Roman" w:hAnsi="Times New Roman" w:eastAsia="宋体" w:cs="Times New Roman"/>
                <w:color w:val="auto"/>
                <w:sz w:val="24"/>
                <w:szCs w:val="24"/>
                <w:highlight w:val="none"/>
                <w:u w:val="none" w:color="auto"/>
              </w:rPr>
              <w:t>、氮氧化物（NO</w:t>
            </w:r>
            <w:r>
              <w:rPr>
                <w:rFonts w:hint="default" w:ascii="Times New Roman" w:hAnsi="Times New Roman" w:eastAsia="宋体" w:cs="Times New Roman"/>
                <w:color w:val="auto"/>
                <w:sz w:val="24"/>
                <w:szCs w:val="24"/>
                <w:highlight w:val="none"/>
                <w:u w:val="none" w:color="auto"/>
                <w:vertAlign w:val="subscript"/>
              </w:rPr>
              <w:t>x</w:t>
            </w:r>
            <w:r>
              <w:rPr>
                <w:rFonts w:hint="default" w:ascii="Times New Roman" w:hAnsi="Times New Roman" w:eastAsia="宋体" w:cs="Times New Roman"/>
                <w:color w:val="auto"/>
                <w:sz w:val="24"/>
                <w:szCs w:val="24"/>
                <w:highlight w:val="none"/>
                <w:u w:val="none" w:color="auto"/>
              </w:rPr>
              <w:t>）等</w:t>
            </w:r>
            <w:r>
              <w:rPr>
                <w:rFonts w:hint="default" w:ascii="Times New Roman" w:hAnsi="Times New Roman" w:eastAsia="宋体" w:cs="Times New Roman"/>
                <w:color w:val="auto"/>
                <w:sz w:val="24"/>
                <w:szCs w:val="24"/>
                <w:highlight w:val="none"/>
                <w:u w:val="none" w:color="auto"/>
                <w:lang w:eastAsia="zh-CN"/>
              </w:rPr>
              <w:t>多</w:t>
            </w:r>
            <w:r>
              <w:rPr>
                <w:rFonts w:hint="default" w:ascii="Times New Roman" w:hAnsi="Times New Roman" w:eastAsia="宋体" w:cs="Times New Roman"/>
                <w:color w:val="auto"/>
                <w:sz w:val="24"/>
                <w:szCs w:val="24"/>
                <w:highlight w:val="none"/>
                <w:u w:val="none" w:color="auto"/>
              </w:rPr>
              <w:t>种主要污染物实行排放总量控制计划管理。</w:t>
            </w:r>
          </w:p>
          <w:p w14:paraId="74742D95">
            <w:pPr>
              <w:pStyle w:val="56"/>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44"/>
                <w:sz w:val="24"/>
                <w:szCs w:val="24"/>
                <w:highlight w:val="none"/>
                <w:u w:val="none" w:color="auto"/>
              </w:rPr>
            </w:pPr>
            <w:r>
              <w:rPr>
                <w:rFonts w:hint="eastAsia" w:ascii="Times New Roman" w:hAnsi="Times New Roman" w:eastAsia="宋体" w:cs="Times New Roman"/>
                <w:color w:val="auto"/>
                <w:kern w:val="44"/>
                <w:sz w:val="24"/>
                <w:szCs w:val="24"/>
                <w:highlight w:val="none"/>
                <w:u w:val="none" w:color="auto"/>
              </w:rPr>
              <w:t>项目</w:t>
            </w:r>
            <w:r>
              <w:rPr>
                <w:rFonts w:hint="eastAsia" w:ascii="Times New Roman" w:hAnsi="Times New Roman" w:eastAsia="宋体" w:cs="Times New Roman"/>
                <w:color w:val="auto"/>
                <w:kern w:val="44"/>
                <w:sz w:val="24"/>
                <w:szCs w:val="24"/>
                <w:highlight w:val="none"/>
                <w:u w:val="none" w:color="auto"/>
                <w:lang w:val="en-US" w:eastAsia="zh-CN"/>
              </w:rPr>
              <w:t>不新增生活污水。机修和车辆冲洗的含油废水经过2#泊位和5#泊位的含油污水处理站处理后回用，不外排。现状</w:t>
            </w:r>
            <w:r>
              <w:rPr>
                <w:rFonts w:hint="eastAsia" w:ascii="Times New Roman" w:hAnsi="Times New Roman" w:eastAsia="宋体" w:cs="Times New Roman"/>
                <w:color w:val="auto"/>
                <w:kern w:val="44"/>
                <w:sz w:val="24"/>
                <w:szCs w:val="24"/>
                <w:highlight w:val="none"/>
                <w:u w:val="none" w:color="auto"/>
              </w:rPr>
              <w:t>生活污水经化粪池处理</w:t>
            </w:r>
            <w:r>
              <w:rPr>
                <w:rFonts w:hint="eastAsia" w:ascii="Times New Roman" w:hAnsi="Times New Roman" w:eastAsia="宋体" w:cs="Times New Roman"/>
                <w:color w:val="auto"/>
                <w:kern w:val="44"/>
                <w:sz w:val="24"/>
                <w:szCs w:val="24"/>
                <w:highlight w:val="none"/>
                <w:u w:val="none" w:color="auto"/>
                <w:lang w:val="en-US" w:eastAsia="zh-CN"/>
              </w:rPr>
              <w:t>后最终进入</w:t>
            </w:r>
            <w:r>
              <w:rPr>
                <w:rFonts w:hint="eastAsia" w:ascii="Times New Roman" w:hAnsi="Times New Roman" w:eastAsia="宋体" w:cs="Times New Roman"/>
                <w:b w:val="0"/>
                <w:bCs w:val="0"/>
                <w:color w:val="auto"/>
                <w:sz w:val="24"/>
                <w:szCs w:val="24"/>
                <w:highlight w:val="none"/>
                <w:u w:val="none" w:color="auto"/>
                <w:lang w:eastAsia="zh-CN"/>
              </w:rPr>
              <w:t>大榄坪污水处理厂</w:t>
            </w:r>
            <w:r>
              <w:rPr>
                <w:rFonts w:hint="eastAsia" w:ascii="Times New Roman" w:hAnsi="Times New Roman" w:eastAsia="宋体" w:cs="Times New Roman"/>
                <w:b w:val="0"/>
                <w:bCs w:val="0"/>
                <w:color w:val="auto"/>
                <w:sz w:val="24"/>
                <w:szCs w:val="24"/>
                <w:highlight w:val="none"/>
                <w:u w:val="none" w:color="auto"/>
                <w:lang w:val="en-US" w:eastAsia="zh-CN"/>
              </w:rPr>
              <w:t>进一步</w:t>
            </w:r>
            <w:r>
              <w:rPr>
                <w:rFonts w:hint="eastAsia" w:ascii="Times New Roman" w:hAnsi="Times New Roman" w:eastAsia="宋体" w:cs="Times New Roman"/>
                <w:color w:val="auto"/>
                <w:kern w:val="44"/>
                <w:sz w:val="24"/>
                <w:szCs w:val="24"/>
                <w:highlight w:val="none"/>
                <w:u w:val="none" w:color="auto"/>
              </w:rPr>
              <w:t>处理，总量由该污水处理厂统计，不再重复申报</w:t>
            </w:r>
            <w:r>
              <w:rPr>
                <w:rFonts w:hint="default" w:ascii="Times New Roman" w:hAnsi="Times New Roman" w:eastAsia="宋体" w:cs="Times New Roman"/>
                <w:color w:val="auto"/>
                <w:kern w:val="44"/>
                <w:sz w:val="24"/>
                <w:szCs w:val="24"/>
                <w:highlight w:val="none"/>
                <w:u w:val="none" w:color="auto"/>
              </w:rPr>
              <w:t>。</w:t>
            </w:r>
          </w:p>
          <w:p w14:paraId="1CB88F54">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1B599367">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6382EDE4">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60FC39B4">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039C20CE">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1074D7A4">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4827417F">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6AB1C22D">
            <w:pPr>
              <w:pStyle w:val="60"/>
              <w:keepNext w:val="0"/>
              <w:keepLines w:val="0"/>
              <w:widowControl/>
              <w:suppressLineNumbers w:val="0"/>
              <w:spacing w:beforeAutospacing="0" w:afterAutospacing="0"/>
              <w:ind w:left="0" w:right="0"/>
              <w:rPr>
                <w:rFonts w:hint="default"/>
                <w:color w:val="auto"/>
              </w:rPr>
            </w:pPr>
          </w:p>
          <w:p w14:paraId="53C008C8">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265008B2">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102E64AE">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34AF9E88">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65BBDC72">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24A77610">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131A0338">
            <w:pPr>
              <w:pStyle w:val="58"/>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kern w:val="44"/>
                <w:sz w:val="24"/>
                <w:szCs w:val="24"/>
                <w:highlight w:val="none"/>
                <w:u w:val="none" w:color="auto"/>
              </w:rPr>
            </w:pPr>
          </w:p>
          <w:p w14:paraId="542BF71D">
            <w:pPr>
              <w:pStyle w:val="58"/>
              <w:keepNext w:val="0"/>
              <w:keepLines w:val="0"/>
              <w:suppressLineNumbers w:val="0"/>
              <w:spacing w:before="0" w:beforeAutospacing="0" w:after="0" w:afterAutospacing="0"/>
              <w:ind w:right="0"/>
              <w:rPr>
                <w:rFonts w:hint="default" w:ascii="Times New Roman" w:hAnsi="Times New Roman" w:eastAsia="宋体" w:cs="Times New Roman"/>
                <w:color w:val="auto"/>
                <w:kern w:val="44"/>
                <w:sz w:val="24"/>
                <w:szCs w:val="24"/>
                <w:highlight w:val="none"/>
                <w:u w:val="none" w:color="auto"/>
              </w:rPr>
            </w:pPr>
          </w:p>
          <w:p w14:paraId="71190543">
            <w:pPr>
              <w:pStyle w:val="60"/>
              <w:keepNext w:val="0"/>
              <w:keepLines w:val="0"/>
              <w:widowControl/>
              <w:suppressLineNumbers w:val="0"/>
              <w:spacing w:beforeAutospacing="0" w:afterAutospacing="0"/>
              <w:ind w:left="0" w:right="0"/>
              <w:rPr>
                <w:rFonts w:hint="default"/>
                <w:color w:val="auto"/>
                <w:lang w:val="en-US"/>
              </w:rPr>
            </w:pPr>
          </w:p>
        </w:tc>
      </w:tr>
    </w:tbl>
    <w:p w14:paraId="1F04BCFE">
      <w:pPr>
        <w:pStyle w:val="42"/>
        <w:jc w:val="center"/>
        <w:outlineLvl w:val="0"/>
        <w:rPr>
          <w:rFonts w:hint="default" w:ascii="Times New Roman" w:hAnsi="Times New Roman" w:eastAsia="宋体" w:cs="Times New Roman"/>
          <w:snapToGrid w:val="0"/>
          <w:color w:val="auto"/>
          <w:sz w:val="30"/>
          <w:szCs w:val="30"/>
          <w:highlight w:val="none"/>
          <w:u w:val="none" w:color="auto"/>
        </w:rPr>
      </w:pPr>
      <w:r>
        <w:rPr>
          <w:rFonts w:hint="default" w:ascii="Times New Roman" w:hAnsi="Times New Roman" w:eastAsia="宋体" w:cs="Times New Roman"/>
          <w:snapToGrid w:val="0"/>
          <w:color w:val="auto"/>
          <w:sz w:val="36"/>
          <w:szCs w:val="36"/>
          <w:highlight w:val="none"/>
          <w:u w:val="none" w:color="auto"/>
        </w:rPr>
        <w:br w:type="page"/>
      </w:r>
      <w:bookmarkStart w:id="11" w:name="_Toc15801"/>
      <w:r>
        <w:rPr>
          <w:rFonts w:hint="default" w:ascii="Times New Roman" w:hAnsi="Times New Roman" w:eastAsia="宋体" w:cs="Times New Roman"/>
          <w:snapToGrid w:val="0"/>
          <w:color w:val="auto"/>
          <w:sz w:val="30"/>
          <w:szCs w:val="30"/>
          <w:highlight w:val="none"/>
          <w:u w:val="none" w:color="auto"/>
        </w:rPr>
        <w:t>四、主要环境影响和保护措施</w:t>
      </w:r>
      <w:bookmarkEnd w:id="11"/>
    </w:p>
    <w:tbl>
      <w:tblPr>
        <w:tblStyle w:val="4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383"/>
      </w:tblGrid>
      <w:tr w14:paraId="2B066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8" w:type="dxa"/>
            <w:noWrap w:val="0"/>
            <w:tcMar>
              <w:left w:w="28" w:type="dxa"/>
              <w:right w:w="28" w:type="dxa"/>
            </w:tcMar>
            <w:vAlign w:val="center"/>
          </w:tcPr>
          <w:p w14:paraId="05E24A96">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施工</w:t>
            </w:r>
          </w:p>
          <w:p w14:paraId="28E302E4">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期环</w:t>
            </w:r>
          </w:p>
          <w:p w14:paraId="2E21AB2D">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境保</w:t>
            </w:r>
          </w:p>
          <w:p w14:paraId="51F746F9">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护措</w:t>
            </w:r>
          </w:p>
          <w:p w14:paraId="2BC5F501">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u w:val="none" w:color="auto"/>
              </w:rPr>
            </w:pPr>
            <w:r>
              <w:rPr>
                <w:rFonts w:hint="default" w:ascii="Times New Roman" w:hAnsi="Times New Roman" w:eastAsia="宋体" w:cs="Times New Roman"/>
                <w:color w:val="auto"/>
                <w:kern w:val="2"/>
                <w:sz w:val="24"/>
                <w:szCs w:val="24"/>
                <w:highlight w:val="none"/>
                <w:u w:val="none" w:color="auto"/>
              </w:rPr>
              <w:t>施</w:t>
            </w:r>
          </w:p>
        </w:tc>
        <w:tc>
          <w:tcPr>
            <w:tcW w:w="8383" w:type="dxa"/>
            <w:noWrap w:val="0"/>
            <w:vAlign w:val="center"/>
          </w:tcPr>
          <w:p w14:paraId="04AEE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项目利用现有的普通货物集装箱堆场改为混堆危险货物集装箱的混堆场，施工期改建内容主要包括张贴标识牌，列明货物品名，增加灭火器、消防栓等应急设施，项目无新增基建建设内容，无施工期建设内容</w:t>
            </w:r>
            <w:r>
              <w:rPr>
                <w:rFonts w:hint="default" w:ascii="Times New Roman" w:hAnsi="Times New Roman" w:eastAsia="宋体" w:cs="Times New Roman"/>
                <w:color w:val="auto"/>
                <w:sz w:val="24"/>
                <w:highlight w:val="none"/>
                <w:u w:val="none" w:color="auto"/>
                <w:lang w:val="en-US" w:eastAsia="zh-CN"/>
              </w:rPr>
              <w:t>。</w:t>
            </w:r>
          </w:p>
        </w:tc>
      </w:tr>
      <w:tr w14:paraId="5F166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2" w:hRule="atLeast"/>
          <w:jc w:val="center"/>
        </w:trPr>
        <w:tc>
          <w:tcPr>
            <w:tcW w:w="598" w:type="dxa"/>
            <w:noWrap w:val="0"/>
            <w:tcMar>
              <w:left w:w="28" w:type="dxa"/>
              <w:right w:w="28" w:type="dxa"/>
            </w:tcMar>
            <w:vAlign w:val="center"/>
          </w:tcPr>
          <w:p w14:paraId="44FCB3C4">
            <w:pPr>
              <w:pStyle w:val="42"/>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sz w:val="24"/>
                <w:highlight w:val="none"/>
                <w:u w:val="none" w:color="auto"/>
              </w:rPr>
              <w:t>运营期环境影响和环境保护措施</w:t>
            </w:r>
          </w:p>
        </w:tc>
        <w:tc>
          <w:tcPr>
            <w:tcW w:w="8383" w:type="dxa"/>
            <w:noWrap w:val="0"/>
            <w:vAlign w:val="center"/>
          </w:tcPr>
          <w:p w14:paraId="69E9FA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bCs/>
                <w:color w:val="auto"/>
                <w:sz w:val="24"/>
                <w:szCs w:val="24"/>
                <w:highlight w:val="none"/>
                <w:u w:val="none" w:color="auto"/>
              </w:rPr>
            </w:pPr>
            <w:r>
              <w:rPr>
                <w:rFonts w:hint="eastAsia" w:ascii="Times New Roman" w:hAnsi="Times New Roman" w:eastAsia="宋体" w:cs="Times New Roman"/>
                <w:b/>
                <w:bCs/>
                <w:color w:val="auto"/>
                <w:sz w:val="24"/>
                <w:szCs w:val="24"/>
                <w:highlight w:val="none"/>
                <w:u w:val="none" w:color="auto"/>
                <w:lang w:val="en-US" w:eastAsia="zh-CN"/>
              </w:rPr>
              <w:t>一</w:t>
            </w:r>
            <w:r>
              <w:rPr>
                <w:rFonts w:hint="default" w:ascii="Times New Roman" w:hAnsi="Times New Roman" w:eastAsia="宋体" w:cs="Times New Roman"/>
                <w:b/>
                <w:bCs/>
                <w:color w:val="auto"/>
                <w:sz w:val="24"/>
                <w:szCs w:val="24"/>
                <w:highlight w:val="none"/>
                <w:u w:val="none" w:color="auto"/>
                <w:lang w:val="en-US" w:eastAsia="zh-CN"/>
              </w:rPr>
              <w:t>、</w:t>
            </w:r>
            <w:r>
              <w:rPr>
                <w:rFonts w:hint="default" w:ascii="Times New Roman" w:hAnsi="Times New Roman" w:eastAsia="宋体" w:cs="Times New Roman"/>
                <w:b/>
                <w:bCs/>
                <w:color w:val="auto"/>
                <w:sz w:val="24"/>
                <w:szCs w:val="24"/>
                <w:highlight w:val="none"/>
                <w:u w:val="none" w:color="auto"/>
              </w:rPr>
              <w:t>大气污染</w:t>
            </w:r>
            <w:r>
              <w:rPr>
                <w:rFonts w:hint="default" w:ascii="Times New Roman" w:hAnsi="Times New Roman" w:eastAsia="宋体" w:cs="Times New Roman"/>
                <w:b/>
                <w:color w:val="auto"/>
                <w:sz w:val="24"/>
                <w:highlight w:val="none"/>
                <w:u w:val="none" w:color="auto"/>
                <w:lang w:eastAsia="zh-CN"/>
              </w:rPr>
              <w:t>环境影响分析及保护措施</w:t>
            </w:r>
          </w:p>
          <w:p w14:paraId="6E3BCD6D">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项目混堆的货物主要在封闭的集装箱内堆存，不拆箱作业</w:t>
            </w:r>
            <w:r>
              <w:rPr>
                <w:rFonts w:hint="eastAsia" w:cs="Times New Roman"/>
                <w:color w:val="auto"/>
                <w:kern w:val="0"/>
                <w:sz w:val="24"/>
                <w:szCs w:val="21"/>
                <w:highlight w:val="none"/>
                <w:u w:val="none" w:color="auto"/>
                <w:lang w:val="en-US" w:eastAsia="zh-CN" w:bidi="ar"/>
              </w:rPr>
              <w:t>，无拆箱粉尘</w:t>
            </w:r>
            <w:r>
              <w:rPr>
                <w:rFonts w:hint="eastAsia" w:ascii="Times New Roman" w:hAnsi="Times New Roman" w:eastAsia="宋体" w:cs="Times New Roman"/>
                <w:color w:val="auto"/>
                <w:kern w:val="0"/>
                <w:sz w:val="24"/>
                <w:szCs w:val="21"/>
                <w:highlight w:val="none"/>
                <w:u w:val="none" w:color="auto"/>
                <w:lang w:val="en-US" w:eastAsia="zh-CN" w:bidi="ar"/>
              </w:rPr>
              <w:t>，基本无异味发散。混堆场</w:t>
            </w:r>
            <w:r>
              <w:rPr>
                <w:rFonts w:hint="eastAsia" w:cs="Times New Roman"/>
                <w:color w:val="auto"/>
                <w:kern w:val="0"/>
                <w:sz w:val="24"/>
                <w:szCs w:val="21"/>
                <w:highlight w:val="none"/>
                <w:u w:val="none" w:color="auto"/>
                <w:lang w:val="en-US" w:eastAsia="zh-CN" w:bidi="ar"/>
              </w:rPr>
              <w:t>运营期</w:t>
            </w:r>
            <w:r>
              <w:rPr>
                <w:rFonts w:hint="eastAsia" w:ascii="Times New Roman" w:hAnsi="Times New Roman" w:eastAsia="宋体" w:cs="Times New Roman"/>
                <w:color w:val="auto"/>
                <w:kern w:val="0"/>
                <w:sz w:val="24"/>
                <w:szCs w:val="21"/>
                <w:highlight w:val="none"/>
                <w:u w:val="none" w:color="auto"/>
                <w:lang w:val="en-US" w:eastAsia="zh-CN" w:bidi="ar"/>
              </w:rPr>
              <w:t>产生的废气主要为运输车辆尾气、运输扬尘，由于项目不增加总吞吐量，装卸时间不新增，</w:t>
            </w:r>
            <w:r>
              <w:rPr>
                <w:rFonts w:hint="default" w:ascii="Times New Roman" w:hAnsi="Times New Roman" w:eastAsia="宋体" w:cs="Times New Roman"/>
                <w:color w:val="auto"/>
                <w:kern w:val="0"/>
                <w:sz w:val="24"/>
                <w:szCs w:val="21"/>
                <w:highlight w:val="none"/>
                <w:u w:val="none" w:color="auto"/>
                <w:lang w:val="en-US" w:eastAsia="en-US" w:bidi="ar"/>
              </w:rPr>
              <w:t>不新增</w:t>
            </w:r>
            <w:r>
              <w:rPr>
                <w:rFonts w:hint="eastAsia" w:ascii="Times New Roman" w:hAnsi="Times New Roman" w:eastAsia="宋体" w:cs="Times New Roman"/>
                <w:color w:val="auto"/>
                <w:kern w:val="0"/>
                <w:sz w:val="24"/>
                <w:szCs w:val="21"/>
                <w:highlight w:val="none"/>
                <w:u w:val="none" w:color="auto"/>
                <w:lang w:val="en-US" w:eastAsia="zh-CN" w:bidi="ar"/>
              </w:rPr>
              <w:t>机械</w:t>
            </w:r>
            <w:r>
              <w:rPr>
                <w:rFonts w:hint="default" w:ascii="Times New Roman" w:hAnsi="Times New Roman" w:eastAsia="宋体" w:cs="Times New Roman"/>
                <w:color w:val="auto"/>
                <w:kern w:val="0"/>
                <w:sz w:val="24"/>
                <w:szCs w:val="21"/>
                <w:highlight w:val="none"/>
                <w:u w:val="none" w:color="auto"/>
                <w:lang w:val="en-US" w:eastAsia="en-US" w:bidi="ar"/>
              </w:rPr>
              <w:t>设备</w:t>
            </w:r>
            <w:r>
              <w:rPr>
                <w:rFonts w:hint="eastAsia" w:ascii="Times New Roman" w:hAnsi="Times New Roman" w:eastAsia="宋体" w:cs="Times New Roman"/>
                <w:color w:val="auto"/>
                <w:kern w:val="0"/>
                <w:sz w:val="24"/>
                <w:szCs w:val="21"/>
                <w:highlight w:val="none"/>
                <w:u w:val="none" w:color="auto"/>
                <w:lang w:val="en-US" w:eastAsia="zh-CN" w:bidi="ar"/>
              </w:rPr>
              <w:t>及运输车辆，因此不新增大气污染物。</w:t>
            </w:r>
            <w:r>
              <w:rPr>
                <w:rFonts w:hint="eastAsia" w:cs="Times New Roman"/>
                <w:color w:val="auto"/>
                <w:kern w:val="0"/>
                <w:sz w:val="24"/>
                <w:szCs w:val="21"/>
                <w:highlight w:val="none"/>
                <w:u w:val="none" w:color="auto"/>
                <w:lang w:val="en-US" w:eastAsia="zh-CN" w:bidi="ar"/>
              </w:rPr>
              <w:t>项目大气污染物情况如下：</w:t>
            </w:r>
          </w:p>
          <w:p w14:paraId="38E17ABA">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u w:val="single" w:color="auto"/>
                <w:lang w:val="en-US" w:eastAsia="zh-CN" w:bidi="ar"/>
              </w:rPr>
            </w:pPr>
            <w:r>
              <w:rPr>
                <w:rFonts w:hint="eastAsia" w:cs="Times New Roman"/>
                <w:color w:val="auto"/>
                <w:kern w:val="0"/>
                <w:sz w:val="24"/>
                <w:szCs w:val="21"/>
                <w:highlight w:val="none"/>
                <w:u w:val="single" w:color="auto"/>
                <w:lang w:val="en-US" w:eastAsia="zh-CN" w:bidi="ar"/>
              </w:rPr>
              <w:t>1、运输车辆尾气</w:t>
            </w:r>
          </w:p>
          <w:p w14:paraId="30726A3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color="auto"/>
              </w:rPr>
            </w:pPr>
            <w:r>
              <w:rPr>
                <w:rFonts w:hint="eastAsia" w:ascii="Times New Roman" w:hAnsi="Times New Roman" w:eastAsia="宋体" w:cs="Times New Roman"/>
                <w:color w:val="auto"/>
                <w:sz w:val="24"/>
                <w:szCs w:val="22"/>
                <w:u w:val="single" w:color="auto"/>
              </w:rPr>
              <w:t>集装箱货物进出</w:t>
            </w:r>
            <w:r>
              <w:rPr>
                <w:rFonts w:hint="eastAsia" w:ascii="Times New Roman" w:hAnsi="Times New Roman" w:eastAsia="宋体" w:cs="Times New Roman"/>
                <w:color w:val="auto"/>
                <w:sz w:val="24"/>
                <w:szCs w:val="22"/>
                <w:u w:val="single" w:color="auto"/>
                <w:lang w:val="en-US" w:eastAsia="zh-CN"/>
              </w:rPr>
              <w:t>堆场</w:t>
            </w:r>
            <w:r>
              <w:rPr>
                <w:rFonts w:hint="eastAsia" w:ascii="Times New Roman" w:hAnsi="Times New Roman" w:eastAsia="宋体" w:cs="Times New Roman"/>
                <w:color w:val="auto"/>
                <w:sz w:val="24"/>
                <w:szCs w:val="22"/>
                <w:u w:val="single" w:color="auto"/>
              </w:rPr>
              <w:t>集卡等运输车辆以柴油为原料，集卡汽车尾气污染物SO</w:t>
            </w:r>
            <w:r>
              <w:rPr>
                <w:rFonts w:hint="eastAsia" w:ascii="Times New Roman" w:hAnsi="Times New Roman" w:eastAsia="宋体" w:cs="Times New Roman"/>
                <w:color w:val="auto"/>
                <w:sz w:val="24"/>
                <w:szCs w:val="22"/>
                <w:u w:val="single" w:color="auto"/>
                <w:vertAlign w:val="subscript"/>
              </w:rPr>
              <w:t>2</w:t>
            </w:r>
            <w:r>
              <w:rPr>
                <w:rFonts w:hint="eastAsia" w:ascii="Times New Roman" w:hAnsi="Times New Roman" w:eastAsia="宋体" w:cs="Times New Roman"/>
                <w:color w:val="auto"/>
                <w:sz w:val="24"/>
                <w:szCs w:val="22"/>
                <w:u w:val="single" w:color="auto"/>
              </w:rPr>
              <w:t>、CO、NO</w:t>
            </w:r>
            <w:r>
              <w:rPr>
                <w:rFonts w:hint="eastAsia" w:ascii="Times New Roman" w:hAnsi="Times New Roman" w:eastAsia="宋体" w:cs="Times New Roman"/>
                <w:color w:val="auto"/>
                <w:sz w:val="24"/>
                <w:szCs w:val="22"/>
                <w:u w:val="single" w:color="auto"/>
                <w:vertAlign w:val="subscript"/>
              </w:rPr>
              <w:t>x</w:t>
            </w:r>
            <w:r>
              <w:rPr>
                <w:rFonts w:hint="default" w:ascii="Times New Roman" w:hAnsi="Times New Roman" w:eastAsia="宋体" w:cs="Times New Roman"/>
                <w:color w:val="auto"/>
                <w:sz w:val="24"/>
                <w:szCs w:val="22"/>
                <w:u w:val="single" w:color="auto"/>
              </w:rPr>
              <w:t>采用《重型柴油车污染物排放限值及测量方法（中国第六阶段）》（GB17691-2018）推荐的参数</w:t>
            </w:r>
            <w:r>
              <w:rPr>
                <w:rFonts w:hint="eastAsia" w:ascii="Times New Roman" w:hAnsi="Times New Roman" w:eastAsia="宋体" w:cs="Times New Roman"/>
                <w:color w:val="auto"/>
                <w:sz w:val="24"/>
                <w:szCs w:val="22"/>
                <w:u w:val="single" w:color="auto"/>
              </w:rPr>
              <w:t>，机动车辆污染物排放系数见下表</w:t>
            </w:r>
            <w:r>
              <w:rPr>
                <w:rFonts w:hint="eastAsia" w:ascii="Times New Roman" w:hAnsi="Times New Roman" w:eastAsia="宋体" w:cs="Times New Roman"/>
                <w:color w:val="auto"/>
                <w:sz w:val="24"/>
                <w:szCs w:val="22"/>
                <w:u w:val="single" w:color="auto"/>
                <w:lang w:val="en-US" w:eastAsia="zh-CN"/>
              </w:rPr>
              <w:t>4-1</w:t>
            </w:r>
            <w:r>
              <w:rPr>
                <w:rFonts w:hint="default" w:ascii="Times New Roman" w:hAnsi="Times New Roman" w:eastAsia="宋体" w:cs="Times New Roman"/>
                <w:color w:val="auto"/>
                <w:sz w:val="24"/>
                <w:szCs w:val="22"/>
                <w:u w:val="single" w:color="auto"/>
              </w:rPr>
              <w:t>。</w:t>
            </w:r>
          </w:p>
          <w:p w14:paraId="26E2706A">
            <w:pPr>
              <w:keepNext/>
              <w:keepLines/>
              <w:pageBreakBefore w:val="0"/>
              <w:widowControl w:val="0"/>
              <w:numPr>
                <w:ilvl w:val="5"/>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5"/>
              <w:rPr>
                <w:rFonts w:hint="default" w:ascii="Times New Roman" w:hAnsi="Times New Roman" w:eastAsia="宋体" w:cs="Times New Roman"/>
                <w:b/>
                <w:bCs/>
                <w:color w:val="auto"/>
                <w:kern w:val="2"/>
                <w:sz w:val="21"/>
                <w:szCs w:val="21"/>
                <w:u w:val="single" w:color="auto"/>
                <w:lang w:val="en-US" w:eastAsia="zh-CN" w:bidi="ar-SA"/>
              </w:rPr>
            </w:pPr>
            <w:r>
              <w:rPr>
                <w:rFonts w:hint="eastAsia" w:ascii="Times New Roman" w:hAnsi="Times New Roman" w:eastAsia="宋体" w:cs="Times New Roman"/>
                <w:b/>
                <w:bCs/>
                <w:i w:val="0"/>
                <w:iCs w:val="0"/>
                <w:caps w:val="0"/>
                <w:smallCaps w:val="0"/>
                <w:strike w:val="0"/>
                <w:dstrike w:val="0"/>
                <w:vanish w:val="0"/>
                <w:color w:val="auto"/>
                <w:spacing w:val="0"/>
                <w:kern w:val="2"/>
                <w:position w:val="0"/>
                <w:sz w:val="21"/>
                <w:szCs w:val="21"/>
                <w:u w:val="single" w:color="auto"/>
                <w:vertAlign w:val="baseline"/>
                <w:lang w:val="en-US" w:eastAsia="zh-CN" w:bidi="ar-SA"/>
              </w:rPr>
              <w:t>表4-1</w:t>
            </w:r>
            <w:r>
              <w:rPr>
                <w:rFonts w:hint="eastAsia" w:ascii="Times New Roman" w:hAnsi="Times New Roman" w:eastAsia="宋体" w:cs="Times New Roman"/>
                <w:b/>
                <w:bCs/>
                <w:color w:val="auto"/>
                <w:kern w:val="2"/>
                <w:sz w:val="21"/>
                <w:szCs w:val="21"/>
                <w:u w:val="single" w:color="auto"/>
                <w:lang w:val="en-US" w:eastAsia="zh-CN" w:bidi="ar-SA"/>
              </w:rPr>
              <w:t>机动车辆污染物排放系数</w:t>
            </w:r>
          </w:p>
          <w:tbl>
            <w:tblPr>
              <w:tblStyle w:val="46"/>
              <w:tblW w:w="0" w:type="auto"/>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42"/>
              <w:gridCol w:w="2843"/>
              <w:gridCol w:w="2843"/>
            </w:tblGrid>
            <w:tr w14:paraId="026D7D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2" w:type="dxa"/>
                  <w:noWrap w:val="0"/>
                  <w:vAlign w:val="top"/>
                </w:tcPr>
                <w:p w14:paraId="221B5EF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color w:val="auto"/>
                      <w:sz w:val="21"/>
                      <w:szCs w:val="22"/>
                      <w:u w:val="single" w:color="auto"/>
                    </w:rPr>
                  </w:pPr>
                  <w:r>
                    <w:rPr>
                      <w:rFonts w:hint="default" w:ascii="Times New Roman" w:hAnsi="Times New Roman" w:eastAsia="宋体" w:cs="Times New Roman"/>
                      <w:b/>
                      <w:color w:val="auto"/>
                      <w:sz w:val="21"/>
                      <w:szCs w:val="22"/>
                      <w:u w:val="single" w:color="auto"/>
                    </w:rPr>
                    <w:t>序号</w:t>
                  </w:r>
                </w:p>
              </w:tc>
              <w:tc>
                <w:tcPr>
                  <w:tcW w:w="2843" w:type="dxa"/>
                  <w:noWrap w:val="0"/>
                  <w:vAlign w:val="top"/>
                </w:tcPr>
                <w:p w14:paraId="13ED99C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color w:val="auto"/>
                      <w:sz w:val="21"/>
                      <w:szCs w:val="22"/>
                      <w:u w:val="single" w:color="auto"/>
                    </w:rPr>
                  </w:pPr>
                  <w:r>
                    <w:rPr>
                      <w:rFonts w:hint="default" w:ascii="Times New Roman" w:hAnsi="Times New Roman" w:eastAsia="宋体" w:cs="Times New Roman"/>
                      <w:b/>
                      <w:color w:val="auto"/>
                      <w:sz w:val="21"/>
                      <w:szCs w:val="22"/>
                      <w:u w:val="single" w:color="auto"/>
                    </w:rPr>
                    <w:t>污染物</w:t>
                  </w:r>
                </w:p>
              </w:tc>
              <w:tc>
                <w:tcPr>
                  <w:tcW w:w="2843" w:type="dxa"/>
                  <w:noWrap w:val="0"/>
                  <w:vAlign w:val="top"/>
                </w:tcPr>
                <w:p w14:paraId="1433C8B6">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color w:val="auto"/>
                      <w:sz w:val="21"/>
                      <w:szCs w:val="22"/>
                      <w:u w:val="single" w:color="auto"/>
                    </w:rPr>
                  </w:pPr>
                  <w:r>
                    <w:rPr>
                      <w:rFonts w:hint="default" w:ascii="Times New Roman" w:hAnsi="Times New Roman" w:eastAsia="宋体" w:cs="Times New Roman"/>
                      <w:b/>
                      <w:color w:val="auto"/>
                      <w:sz w:val="21"/>
                      <w:szCs w:val="22"/>
                      <w:u w:val="single" w:color="auto"/>
                    </w:rPr>
                    <w:t>以柴油为燃料</w:t>
                  </w:r>
                  <w:r>
                    <w:rPr>
                      <w:rFonts w:hint="eastAsia" w:ascii="Times New Roman" w:hAnsi="Times New Roman" w:eastAsia="宋体" w:cs="Times New Roman"/>
                      <w:b/>
                      <w:color w:val="auto"/>
                      <w:sz w:val="21"/>
                      <w:szCs w:val="22"/>
                      <w:u w:val="single" w:color="auto"/>
                    </w:rPr>
                    <w:t>（g/L）</w:t>
                  </w:r>
                </w:p>
              </w:tc>
            </w:tr>
            <w:tr w14:paraId="6F1720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2" w:type="dxa"/>
                  <w:noWrap w:val="0"/>
                  <w:vAlign w:val="top"/>
                </w:tcPr>
                <w:p w14:paraId="60FB14B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1</w:t>
                  </w:r>
                </w:p>
              </w:tc>
              <w:tc>
                <w:tcPr>
                  <w:tcW w:w="2843" w:type="dxa"/>
                  <w:noWrap w:val="0"/>
                  <w:vAlign w:val="top"/>
                </w:tcPr>
                <w:p w14:paraId="2C275C2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SO</w:t>
                  </w:r>
                  <w:r>
                    <w:rPr>
                      <w:rFonts w:hint="eastAsia" w:ascii="Times New Roman" w:hAnsi="Times New Roman" w:eastAsia="宋体" w:cs="Times New Roman"/>
                      <w:color w:val="auto"/>
                      <w:sz w:val="21"/>
                      <w:szCs w:val="22"/>
                      <w:u w:val="single" w:color="auto"/>
                      <w:vertAlign w:val="subscript"/>
                    </w:rPr>
                    <w:t>2</w:t>
                  </w:r>
                </w:p>
              </w:tc>
              <w:tc>
                <w:tcPr>
                  <w:tcW w:w="2843" w:type="dxa"/>
                  <w:noWrap w:val="0"/>
                  <w:vAlign w:val="top"/>
                </w:tcPr>
                <w:p w14:paraId="2845D61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3.24</w:t>
                  </w:r>
                </w:p>
              </w:tc>
            </w:tr>
            <w:tr w14:paraId="333175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2" w:type="dxa"/>
                  <w:noWrap w:val="0"/>
                  <w:vAlign w:val="top"/>
                </w:tcPr>
                <w:p w14:paraId="55A0E518">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2</w:t>
                  </w:r>
                </w:p>
              </w:tc>
              <w:tc>
                <w:tcPr>
                  <w:tcW w:w="2843" w:type="dxa"/>
                  <w:noWrap w:val="0"/>
                  <w:vAlign w:val="top"/>
                </w:tcPr>
                <w:p w14:paraId="4F78B51F">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default" w:ascii="Times New Roman" w:hAnsi="Times New Roman" w:eastAsia="宋体" w:cs="Times New Roman"/>
                      <w:color w:val="auto"/>
                      <w:sz w:val="21"/>
                      <w:szCs w:val="22"/>
                      <w:u w:val="single" w:color="auto"/>
                    </w:rPr>
                    <w:t>CO</w:t>
                  </w:r>
                </w:p>
              </w:tc>
              <w:tc>
                <w:tcPr>
                  <w:tcW w:w="2843" w:type="dxa"/>
                  <w:noWrap w:val="0"/>
                  <w:vAlign w:val="top"/>
                </w:tcPr>
                <w:p w14:paraId="2C4DAF5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27.0</w:t>
                  </w:r>
                </w:p>
              </w:tc>
            </w:tr>
            <w:tr w14:paraId="7B193F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2" w:type="dxa"/>
                  <w:noWrap w:val="0"/>
                  <w:vAlign w:val="top"/>
                </w:tcPr>
                <w:p w14:paraId="78BD44F6">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3</w:t>
                  </w:r>
                </w:p>
              </w:tc>
              <w:tc>
                <w:tcPr>
                  <w:tcW w:w="2843" w:type="dxa"/>
                  <w:noWrap w:val="0"/>
                  <w:vAlign w:val="top"/>
                </w:tcPr>
                <w:p w14:paraId="2C7F7444">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NO</w:t>
                  </w:r>
                  <w:r>
                    <w:rPr>
                      <w:rFonts w:hint="eastAsia" w:ascii="Times New Roman" w:hAnsi="Times New Roman" w:eastAsia="宋体" w:cs="Times New Roman"/>
                      <w:color w:val="auto"/>
                      <w:sz w:val="21"/>
                      <w:szCs w:val="22"/>
                      <w:u w:val="single" w:color="auto"/>
                      <w:vertAlign w:val="subscript"/>
                    </w:rPr>
                    <w:t>x</w:t>
                  </w:r>
                </w:p>
              </w:tc>
              <w:tc>
                <w:tcPr>
                  <w:tcW w:w="2843" w:type="dxa"/>
                  <w:noWrap w:val="0"/>
                  <w:vAlign w:val="top"/>
                </w:tcPr>
                <w:p w14:paraId="1411B774">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44.4</w:t>
                  </w:r>
                </w:p>
              </w:tc>
            </w:tr>
          </w:tbl>
          <w:p w14:paraId="1017203D">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2"/>
                <w:u w:val="single" w:color="auto"/>
              </w:rPr>
            </w:pPr>
            <w:r>
              <w:rPr>
                <w:rFonts w:hint="default" w:ascii="Times New Roman" w:hAnsi="Times New Roman" w:eastAsia="宋体" w:cs="Times New Roman"/>
                <w:color w:val="auto"/>
                <w:sz w:val="24"/>
                <w:szCs w:val="22"/>
                <w:u w:val="single" w:color="auto"/>
              </w:rPr>
              <w:t>项目运输车辆主要为大型</w:t>
            </w:r>
            <w:r>
              <w:rPr>
                <w:rFonts w:hint="eastAsia" w:ascii="Times New Roman" w:hAnsi="Times New Roman" w:eastAsia="宋体" w:cs="Times New Roman"/>
                <w:color w:val="auto"/>
                <w:sz w:val="24"/>
                <w:szCs w:val="22"/>
                <w:u w:val="single" w:color="auto"/>
              </w:rPr>
              <w:t>集装箱</w:t>
            </w:r>
            <w:r>
              <w:rPr>
                <w:rFonts w:hint="default" w:ascii="Times New Roman" w:hAnsi="Times New Roman" w:eastAsia="宋体" w:cs="Times New Roman"/>
                <w:color w:val="auto"/>
                <w:sz w:val="24"/>
                <w:szCs w:val="22"/>
                <w:u w:val="single" w:color="auto"/>
              </w:rPr>
              <w:t>卡车</w:t>
            </w:r>
            <w:r>
              <w:rPr>
                <w:rFonts w:hint="eastAsia" w:ascii="Times New Roman" w:hAnsi="Times New Roman" w:eastAsia="宋体" w:cs="Times New Roman"/>
                <w:color w:val="auto"/>
                <w:sz w:val="24"/>
                <w:szCs w:val="22"/>
                <w:u w:val="single" w:color="auto"/>
              </w:rPr>
              <w:t>，</w:t>
            </w:r>
            <w:r>
              <w:rPr>
                <w:rFonts w:hint="default" w:ascii="Times New Roman" w:hAnsi="Times New Roman" w:eastAsia="宋体" w:cs="Times New Roman"/>
                <w:color w:val="auto"/>
                <w:sz w:val="24"/>
                <w:szCs w:val="22"/>
                <w:u w:val="single" w:color="auto"/>
              </w:rPr>
              <w:t>平均每辆百公里耗油量按</w:t>
            </w:r>
            <w:r>
              <w:rPr>
                <w:rFonts w:hint="eastAsia" w:ascii="Times New Roman" w:hAnsi="Times New Roman" w:eastAsia="宋体" w:cs="Times New Roman"/>
                <w:color w:val="auto"/>
                <w:sz w:val="24"/>
                <w:szCs w:val="22"/>
                <w:u w:val="single" w:color="auto"/>
              </w:rPr>
              <w:t>20L计算，</w:t>
            </w:r>
            <w:r>
              <w:rPr>
                <w:rFonts w:hint="eastAsia" w:ascii="Times New Roman" w:hAnsi="Times New Roman" w:eastAsia="宋体" w:cs="Times New Roman"/>
                <w:color w:val="auto"/>
                <w:sz w:val="24"/>
                <w:szCs w:val="22"/>
                <w:u w:val="single" w:color="auto"/>
                <w:lang w:val="en-US" w:eastAsia="zh-CN"/>
              </w:rPr>
              <w:t>项目</w:t>
            </w:r>
            <w:r>
              <w:rPr>
                <w:rFonts w:hint="eastAsia" w:ascii="Times New Roman" w:hAnsi="Times New Roman" w:eastAsia="宋体" w:cs="Times New Roman"/>
                <w:color w:val="auto"/>
                <w:sz w:val="24"/>
                <w:szCs w:val="22"/>
                <w:u w:val="single" w:color="auto"/>
              </w:rPr>
              <w:t>集卡运输路线长度为</w:t>
            </w:r>
            <w:r>
              <w:rPr>
                <w:rFonts w:hint="eastAsia" w:ascii="Times New Roman" w:hAnsi="Times New Roman" w:eastAsia="宋体" w:cs="Times New Roman"/>
                <w:color w:val="auto"/>
                <w:sz w:val="24"/>
                <w:szCs w:val="22"/>
                <w:u w:val="single" w:color="auto"/>
                <w:lang w:val="en-US" w:eastAsia="zh-CN"/>
              </w:rPr>
              <w:t>0.5</w:t>
            </w:r>
            <w:r>
              <w:rPr>
                <w:rFonts w:hint="eastAsia" w:ascii="Times New Roman" w:hAnsi="Times New Roman" w:eastAsia="宋体" w:cs="Times New Roman"/>
                <w:color w:val="auto"/>
                <w:sz w:val="24"/>
                <w:szCs w:val="22"/>
                <w:u w:val="single" w:color="auto"/>
              </w:rPr>
              <w:t>km，运营期日均进出车辆约为</w:t>
            </w:r>
            <w:r>
              <w:rPr>
                <w:rFonts w:hint="eastAsia" w:ascii="Times New Roman" w:hAnsi="Times New Roman" w:eastAsia="宋体" w:cs="Times New Roman"/>
                <w:color w:val="auto"/>
                <w:sz w:val="24"/>
                <w:szCs w:val="22"/>
                <w:u w:val="single" w:color="auto"/>
                <w:lang w:val="en-US" w:eastAsia="zh-CN"/>
              </w:rPr>
              <w:t>65</w:t>
            </w:r>
            <w:r>
              <w:rPr>
                <w:rFonts w:hint="eastAsia" w:ascii="Times New Roman" w:hAnsi="Times New Roman" w:eastAsia="宋体" w:cs="Times New Roman"/>
                <w:color w:val="auto"/>
                <w:sz w:val="24"/>
                <w:szCs w:val="22"/>
                <w:u w:val="single" w:color="auto"/>
              </w:rPr>
              <w:t>辆/d，年运营天数</w:t>
            </w:r>
            <w:r>
              <w:rPr>
                <w:rFonts w:hint="eastAsia" w:ascii="Times New Roman" w:hAnsi="Times New Roman" w:eastAsia="宋体" w:cs="Times New Roman"/>
                <w:color w:val="auto"/>
                <w:sz w:val="24"/>
                <w:szCs w:val="22"/>
                <w:u w:val="single" w:color="auto"/>
                <w:lang w:val="en-US" w:eastAsia="zh-CN"/>
              </w:rPr>
              <w:t>365</w:t>
            </w:r>
            <w:r>
              <w:rPr>
                <w:rFonts w:hint="eastAsia" w:ascii="Times New Roman" w:hAnsi="Times New Roman" w:eastAsia="宋体" w:cs="Times New Roman"/>
                <w:color w:val="auto"/>
                <w:sz w:val="24"/>
                <w:szCs w:val="22"/>
                <w:u w:val="single" w:color="auto"/>
              </w:rPr>
              <w:t>d，因此，项目运营期运输车辆尾气污染物排放量见表</w:t>
            </w:r>
            <w:r>
              <w:rPr>
                <w:rFonts w:hint="eastAsia" w:ascii="Times New Roman" w:hAnsi="Times New Roman" w:eastAsia="宋体" w:cs="Times New Roman"/>
                <w:color w:val="auto"/>
                <w:sz w:val="24"/>
                <w:szCs w:val="22"/>
                <w:u w:val="single" w:color="auto"/>
                <w:lang w:val="en-US" w:eastAsia="zh-CN"/>
              </w:rPr>
              <w:t>4-2</w:t>
            </w:r>
            <w:r>
              <w:rPr>
                <w:rFonts w:hint="eastAsia" w:ascii="Times New Roman" w:hAnsi="Times New Roman" w:eastAsia="宋体" w:cs="Times New Roman"/>
                <w:color w:val="auto"/>
                <w:sz w:val="24"/>
                <w:szCs w:val="22"/>
                <w:u w:val="single" w:color="auto"/>
              </w:rPr>
              <w:t>。</w:t>
            </w:r>
          </w:p>
          <w:p w14:paraId="5FDE0B0D">
            <w:pPr>
              <w:keepNext/>
              <w:keepLines/>
              <w:pageBreakBefore w:val="0"/>
              <w:widowControl w:val="0"/>
              <w:numPr>
                <w:ilvl w:val="5"/>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5"/>
              <w:rPr>
                <w:rFonts w:hint="default" w:ascii="Times New Roman" w:hAnsi="Times New Roman" w:eastAsia="宋体" w:cs="Times New Roman"/>
                <w:b/>
                <w:bCs/>
                <w:color w:val="auto"/>
                <w:kern w:val="2"/>
                <w:sz w:val="21"/>
                <w:szCs w:val="21"/>
                <w:u w:val="single" w:color="auto"/>
                <w:lang w:val="en-US" w:eastAsia="zh-CN" w:bidi="ar-SA"/>
              </w:rPr>
            </w:pPr>
            <w:r>
              <w:rPr>
                <w:rFonts w:hint="eastAsia" w:ascii="Times New Roman" w:hAnsi="Times New Roman" w:eastAsia="宋体" w:cs="Times New Roman"/>
                <w:b/>
                <w:bCs/>
                <w:i w:val="0"/>
                <w:iCs w:val="0"/>
                <w:caps w:val="0"/>
                <w:smallCaps w:val="0"/>
                <w:strike w:val="0"/>
                <w:dstrike w:val="0"/>
                <w:vanish w:val="0"/>
                <w:color w:val="auto"/>
                <w:spacing w:val="0"/>
                <w:kern w:val="2"/>
                <w:position w:val="0"/>
                <w:sz w:val="21"/>
                <w:szCs w:val="21"/>
                <w:u w:val="single" w:color="auto"/>
                <w:vertAlign w:val="baseline"/>
                <w:lang w:val="en-US" w:eastAsia="zh-CN" w:bidi="ar-SA"/>
              </w:rPr>
              <w:t>表4-2</w:t>
            </w:r>
            <w:r>
              <w:rPr>
                <w:rFonts w:hint="eastAsia" w:ascii="Times New Roman" w:hAnsi="Times New Roman" w:eastAsia="宋体" w:cs="Times New Roman"/>
                <w:b/>
                <w:bCs/>
                <w:color w:val="auto"/>
                <w:kern w:val="2"/>
                <w:sz w:val="21"/>
                <w:szCs w:val="21"/>
                <w:u w:val="single" w:color="auto"/>
                <w:lang w:val="en-US" w:eastAsia="zh-CN" w:bidi="ar-SA"/>
              </w:rPr>
              <w:t>项目运输车辆尾气污染物排放量</w:t>
            </w:r>
          </w:p>
          <w:tbl>
            <w:tblPr>
              <w:tblStyle w:val="46"/>
              <w:tblW w:w="0" w:type="auto"/>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40"/>
              <w:gridCol w:w="2841"/>
              <w:gridCol w:w="2841"/>
            </w:tblGrid>
            <w:tr w14:paraId="22298E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2840" w:type="dxa"/>
                  <w:noWrap w:val="0"/>
                  <w:vAlign w:val="top"/>
                </w:tcPr>
                <w:p w14:paraId="1056CF19">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color w:val="auto"/>
                      <w:sz w:val="21"/>
                      <w:szCs w:val="22"/>
                      <w:u w:val="single" w:color="auto"/>
                    </w:rPr>
                  </w:pPr>
                  <w:r>
                    <w:rPr>
                      <w:rFonts w:hint="default" w:ascii="Times New Roman" w:hAnsi="Times New Roman" w:eastAsia="宋体" w:cs="Times New Roman"/>
                      <w:b/>
                      <w:color w:val="auto"/>
                      <w:sz w:val="21"/>
                      <w:szCs w:val="22"/>
                      <w:u w:val="single" w:color="auto"/>
                    </w:rPr>
                    <w:t>污染物</w:t>
                  </w:r>
                </w:p>
              </w:tc>
              <w:tc>
                <w:tcPr>
                  <w:tcW w:w="2841" w:type="dxa"/>
                  <w:noWrap w:val="0"/>
                  <w:vAlign w:val="top"/>
                </w:tcPr>
                <w:p w14:paraId="059B78C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color w:val="auto"/>
                      <w:sz w:val="21"/>
                      <w:szCs w:val="22"/>
                      <w:u w:val="single" w:color="auto"/>
                    </w:rPr>
                  </w:pPr>
                  <w:r>
                    <w:rPr>
                      <w:rFonts w:hint="default" w:ascii="Times New Roman" w:hAnsi="Times New Roman" w:eastAsia="宋体" w:cs="Times New Roman"/>
                      <w:b/>
                      <w:color w:val="auto"/>
                      <w:sz w:val="21"/>
                      <w:szCs w:val="22"/>
                      <w:u w:val="single" w:color="auto"/>
                    </w:rPr>
                    <w:t>产生量t</w:t>
                  </w:r>
                  <w:r>
                    <w:rPr>
                      <w:rFonts w:hint="eastAsia" w:ascii="Times New Roman" w:hAnsi="Times New Roman" w:eastAsia="宋体" w:cs="Times New Roman"/>
                      <w:b/>
                      <w:color w:val="auto"/>
                      <w:sz w:val="21"/>
                      <w:szCs w:val="22"/>
                      <w:u w:val="single" w:color="auto"/>
                    </w:rPr>
                    <w:t>/a</w:t>
                  </w:r>
                </w:p>
              </w:tc>
              <w:tc>
                <w:tcPr>
                  <w:tcW w:w="2841" w:type="dxa"/>
                  <w:noWrap w:val="0"/>
                  <w:vAlign w:val="top"/>
                </w:tcPr>
                <w:p w14:paraId="692A0FDD">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b/>
                      <w:color w:val="auto"/>
                      <w:sz w:val="21"/>
                      <w:szCs w:val="22"/>
                      <w:u w:val="single" w:color="auto"/>
                    </w:rPr>
                  </w:pPr>
                  <w:r>
                    <w:rPr>
                      <w:rFonts w:hint="eastAsia" w:ascii="Times New Roman" w:hAnsi="Times New Roman" w:eastAsia="宋体" w:cs="Times New Roman"/>
                      <w:b/>
                      <w:color w:val="auto"/>
                      <w:sz w:val="21"/>
                      <w:szCs w:val="22"/>
                      <w:u w:val="single" w:color="auto"/>
                    </w:rPr>
                    <w:t>排放量</w:t>
                  </w:r>
                  <w:r>
                    <w:rPr>
                      <w:rFonts w:hint="default" w:ascii="Times New Roman" w:hAnsi="Times New Roman" w:eastAsia="宋体" w:cs="Times New Roman"/>
                      <w:b/>
                      <w:color w:val="auto"/>
                      <w:sz w:val="21"/>
                      <w:szCs w:val="22"/>
                      <w:u w:val="single" w:color="auto"/>
                    </w:rPr>
                    <w:t>t</w:t>
                  </w:r>
                  <w:r>
                    <w:rPr>
                      <w:rFonts w:hint="eastAsia" w:ascii="Times New Roman" w:hAnsi="Times New Roman" w:eastAsia="宋体" w:cs="Times New Roman"/>
                      <w:b/>
                      <w:color w:val="auto"/>
                      <w:sz w:val="21"/>
                      <w:szCs w:val="22"/>
                      <w:u w:val="single" w:color="auto"/>
                    </w:rPr>
                    <w:t>/a</w:t>
                  </w:r>
                </w:p>
              </w:tc>
            </w:tr>
            <w:tr w14:paraId="150841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0" w:type="dxa"/>
                  <w:noWrap w:val="0"/>
                  <w:vAlign w:val="top"/>
                </w:tcPr>
                <w:p w14:paraId="3D725C50">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SO</w:t>
                  </w:r>
                  <w:r>
                    <w:rPr>
                      <w:rFonts w:hint="eastAsia" w:ascii="Times New Roman" w:hAnsi="Times New Roman" w:eastAsia="宋体" w:cs="Times New Roman"/>
                      <w:color w:val="auto"/>
                      <w:sz w:val="21"/>
                      <w:szCs w:val="22"/>
                      <w:u w:val="single" w:color="auto"/>
                      <w:vertAlign w:val="subscript"/>
                    </w:rPr>
                    <w:t>2</w:t>
                  </w:r>
                </w:p>
              </w:tc>
              <w:tc>
                <w:tcPr>
                  <w:tcW w:w="2841" w:type="dxa"/>
                  <w:noWrap w:val="0"/>
                  <w:vAlign w:val="top"/>
                </w:tcPr>
                <w:p w14:paraId="3311E892">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lang w:val="en-US" w:eastAsia="zh-CN"/>
                    </w:rPr>
                  </w:pPr>
                  <w:r>
                    <w:rPr>
                      <w:rFonts w:hint="eastAsia" w:ascii="Times New Roman" w:hAnsi="Times New Roman" w:eastAsia="宋体" w:cs="Times New Roman"/>
                      <w:color w:val="auto"/>
                      <w:sz w:val="21"/>
                      <w:szCs w:val="22"/>
                      <w:u w:val="single" w:color="auto"/>
                      <w:lang w:val="en-US" w:eastAsia="zh-CN"/>
                    </w:rPr>
                    <w:t>0.0069</w:t>
                  </w:r>
                </w:p>
              </w:tc>
              <w:tc>
                <w:tcPr>
                  <w:tcW w:w="2841" w:type="dxa"/>
                  <w:noWrap w:val="0"/>
                  <w:vAlign w:val="top"/>
                </w:tcPr>
                <w:p w14:paraId="3514A3BE">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lang w:val="en-US" w:eastAsia="zh-CN"/>
                    </w:rPr>
                    <w:t>0.0069</w:t>
                  </w:r>
                </w:p>
              </w:tc>
            </w:tr>
            <w:tr w14:paraId="4CAE6F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0" w:type="dxa"/>
                  <w:noWrap w:val="0"/>
                  <w:vAlign w:val="top"/>
                </w:tcPr>
                <w:p w14:paraId="4B6B39E3">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default" w:ascii="Times New Roman" w:hAnsi="Times New Roman" w:eastAsia="宋体" w:cs="Times New Roman"/>
                      <w:color w:val="auto"/>
                      <w:sz w:val="21"/>
                      <w:szCs w:val="22"/>
                      <w:u w:val="single" w:color="auto"/>
                    </w:rPr>
                    <w:t>CO</w:t>
                  </w:r>
                </w:p>
              </w:tc>
              <w:tc>
                <w:tcPr>
                  <w:tcW w:w="2841" w:type="dxa"/>
                  <w:noWrap w:val="0"/>
                  <w:vAlign w:val="top"/>
                </w:tcPr>
                <w:p w14:paraId="4704158C">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lang w:val="en-US" w:eastAsia="zh-CN"/>
                    </w:rPr>
                  </w:pPr>
                  <w:r>
                    <w:rPr>
                      <w:rFonts w:hint="eastAsia" w:ascii="Times New Roman" w:hAnsi="Times New Roman" w:eastAsia="宋体" w:cs="Times New Roman"/>
                      <w:color w:val="auto"/>
                      <w:sz w:val="21"/>
                      <w:szCs w:val="22"/>
                      <w:u w:val="single" w:color="auto"/>
                      <w:lang w:val="en-US" w:eastAsia="zh-CN"/>
                    </w:rPr>
                    <w:t>0.058</w:t>
                  </w:r>
                </w:p>
              </w:tc>
              <w:tc>
                <w:tcPr>
                  <w:tcW w:w="2841" w:type="dxa"/>
                  <w:noWrap w:val="0"/>
                  <w:vAlign w:val="top"/>
                </w:tcPr>
                <w:p w14:paraId="6624CD76">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lang w:val="en-US" w:eastAsia="zh-CN"/>
                    </w:rPr>
                    <w:t>0.058</w:t>
                  </w:r>
                </w:p>
              </w:tc>
            </w:tr>
            <w:tr w14:paraId="4A372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840" w:type="dxa"/>
                  <w:noWrap w:val="0"/>
                  <w:vAlign w:val="top"/>
                </w:tcPr>
                <w:p w14:paraId="3543A89A">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rPr>
                    <w:t>NO</w:t>
                  </w:r>
                  <w:r>
                    <w:rPr>
                      <w:rFonts w:hint="eastAsia" w:ascii="Times New Roman" w:hAnsi="Times New Roman" w:eastAsia="宋体" w:cs="Times New Roman"/>
                      <w:color w:val="auto"/>
                      <w:sz w:val="21"/>
                      <w:szCs w:val="22"/>
                      <w:u w:val="single" w:color="auto"/>
                      <w:vertAlign w:val="subscript"/>
                    </w:rPr>
                    <w:t>x</w:t>
                  </w:r>
                </w:p>
              </w:tc>
              <w:tc>
                <w:tcPr>
                  <w:tcW w:w="2841" w:type="dxa"/>
                  <w:noWrap w:val="0"/>
                  <w:vAlign w:val="top"/>
                </w:tcPr>
                <w:p w14:paraId="33579FA1">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lang w:val="en-US" w:eastAsia="zh-CN"/>
                    </w:rPr>
                  </w:pPr>
                  <w:r>
                    <w:rPr>
                      <w:rFonts w:hint="eastAsia" w:ascii="Times New Roman" w:hAnsi="Times New Roman" w:eastAsia="宋体" w:cs="Times New Roman"/>
                      <w:color w:val="auto"/>
                      <w:sz w:val="21"/>
                      <w:szCs w:val="22"/>
                      <w:u w:val="single" w:color="auto"/>
                      <w:lang w:val="en-US" w:eastAsia="zh-CN"/>
                    </w:rPr>
                    <w:t>0.095</w:t>
                  </w:r>
                </w:p>
              </w:tc>
              <w:tc>
                <w:tcPr>
                  <w:tcW w:w="2841" w:type="dxa"/>
                  <w:noWrap w:val="0"/>
                  <w:vAlign w:val="top"/>
                </w:tcPr>
                <w:p w14:paraId="1F31E360">
                  <w:pPr>
                    <w:keepNext w:val="0"/>
                    <w:keepLines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sz w:val="21"/>
                      <w:szCs w:val="22"/>
                      <w:u w:val="single" w:color="auto"/>
                    </w:rPr>
                  </w:pPr>
                  <w:r>
                    <w:rPr>
                      <w:rFonts w:hint="eastAsia" w:ascii="Times New Roman" w:hAnsi="Times New Roman" w:eastAsia="宋体" w:cs="Times New Roman"/>
                      <w:color w:val="auto"/>
                      <w:sz w:val="21"/>
                      <w:szCs w:val="22"/>
                      <w:u w:val="single" w:color="auto"/>
                      <w:lang w:val="en-US" w:eastAsia="zh-CN"/>
                    </w:rPr>
                    <w:t>0.095</w:t>
                  </w:r>
                </w:p>
              </w:tc>
            </w:tr>
          </w:tbl>
          <w:p w14:paraId="3E0B4AC7">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single" w:color="auto"/>
                <w:lang w:eastAsia="zh-CN"/>
              </w:rPr>
            </w:pPr>
            <w:r>
              <w:rPr>
                <w:rFonts w:hint="eastAsia" w:ascii="Times New Roman" w:hAnsi="Times New Roman" w:eastAsia="宋体" w:cs="Times New Roman"/>
                <w:color w:val="auto"/>
                <w:sz w:val="24"/>
                <w:szCs w:val="24"/>
                <w:u w:val="single" w:color="auto"/>
                <w:lang w:val="en-US" w:eastAsia="zh-CN"/>
              </w:rPr>
              <w:t>项目</w:t>
            </w:r>
            <w:r>
              <w:rPr>
                <w:rFonts w:hint="default" w:ascii="Times New Roman" w:hAnsi="Times New Roman" w:eastAsia="宋体" w:cs="Times New Roman"/>
                <w:color w:val="auto"/>
                <w:sz w:val="24"/>
                <w:szCs w:val="24"/>
                <w:u w:val="single" w:color="auto"/>
              </w:rPr>
              <w:t>港内通风良好</w:t>
            </w:r>
            <w:r>
              <w:rPr>
                <w:rFonts w:hint="eastAsia" w:ascii="Times New Roman" w:hAnsi="Times New Roman" w:eastAsia="宋体" w:cs="Times New Roman"/>
                <w:color w:val="auto"/>
                <w:sz w:val="24"/>
                <w:szCs w:val="24"/>
                <w:u w:val="single" w:color="auto"/>
              </w:rPr>
              <w:t>，</w:t>
            </w:r>
            <w:r>
              <w:rPr>
                <w:rFonts w:hint="default" w:ascii="Times New Roman" w:hAnsi="Times New Roman" w:eastAsia="宋体" w:cs="Times New Roman"/>
                <w:color w:val="auto"/>
                <w:sz w:val="24"/>
                <w:szCs w:val="24"/>
                <w:u w:val="single" w:color="auto"/>
              </w:rPr>
              <w:t>车辆在怠速工况下排放的废气中污染物对外界环境的影响基本可以接受</w:t>
            </w:r>
            <w:r>
              <w:rPr>
                <w:rFonts w:hint="eastAsia" w:ascii="Times New Roman" w:hAnsi="Times New Roman" w:eastAsia="宋体" w:cs="Times New Roman"/>
                <w:color w:val="auto"/>
                <w:sz w:val="24"/>
                <w:szCs w:val="24"/>
                <w:u w:val="single" w:color="auto"/>
                <w:lang w:eastAsia="zh-CN"/>
              </w:rPr>
              <w:t>。</w:t>
            </w:r>
          </w:p>
          <w:p w14:paraId="265A230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u w:val="single"/>
              </w:rPr>
            </w:pPr>
            <w:r>
              <w:rPr>
                <w:rFonts w:hint="eastAsia" w:ascii="Times New Roman" w:hAnsi="Times New Roman" w:eastAsia="宋体" w:cs="Times New Roman"/>
                <w:color w:val="auto"/>
                <w:sz w:val="24"/>
                <w:szCs w:val="24"/>
                <w:u w:val="single"/>
              </w:rPr>
              <w:t>2、车辆道路</w:t>
            </w:r>
            <w:r>
              <w:rPr>
                <w:rFonts w:hint="eastAsia" w:ascii="Times New Roman" w:hAnsi="Times New Roman" w:eastAsia="宋体" w:cs="Times New Roman"/>
                <w:color w:val="auto"/>
                <w:sz w:val="24"/>
                <w:szCs w:val="24"/>
                <w:u w:val="single"/>
                <w:lang w:val="en-US" w:eastAsia="zh-CN"/>
              </w:rPr>
              <w:t>运输</w:t>
            </w:r>
            <w:r>
              <w:rPr>
                <w:rFonts w:hint="eastAsia" w:ascii="Times New Roman" w:hAnsi="Times New Roman" w:eastAsia="宋体" w:cs="Times New Roman"/>
                <w:color w:val="auto"/>
                <w:sz w:val="24"/>
                <w:szCs w:val="24"/>
                <w:u w:val="single"/>
              </w:rPr>
              <w:t>扬尘</w:t>
            </w:r>
          </w:p>
          <w:p w14:paraId="2AA0FE37">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2"/>
                <w:u w:val="single"/>
              </w:rPr>
            </w:pPr>
            <w:r>
              <w:rPr>
                <w:rFonts w:hint="eastAsia" w:ascii="Times New Roman" w:hAnsi="Times New Roman" w:eastAsia="宋体" w:cs="Times New Roman"/>
                <w:color w:val="auto"/>
                <w:sz w:val="24"/>
                <w:szCs w:val="22"/>
                <w:u w:val="single"/>
              </w:rPr>
              <w:t>根据《水运工程建设项目环境影响评价指南》（JTS/T 105-2021），车辆港内铺装道路起尘按下列公式计算：</w:t>
            </w:r>
          </w:p>
          <w:p w14:paraId="0B0FD584">
            <w:pPr>
              <w:keepNext w:val="0"/>
              <w:keepLines w:val="0"/>
              <w:suppressLineNumbers w:val="0"/>
              <w:snapToGrid w:val="0"/>
              <w:spacing w:before="0" w:beforeAutospacing="0" w:after="0" w:afterAutospacing="0" w:line="360" w:lineRule="auto"/>
              <w:ind w:left="0" w:right="0" w:firstLine="420" w:firstLineChars="200"/>
              <w:jc w:val="center"/>
              <w:rPr>
                <w:rFonts w:hint="default" w:ascii="Times New Roman" w:hAnsi="Times New Roman" w:eastAsia="宋体" w:cs="Times New Roman"/>
                <w:color w:val="auto"/>
                <w:sz w:val="24"/>
                <w:szCs w:val="22"/>
              </w:rPr>
            </w:pPr>
            <m:oMathPara>
              <m:oMath>
                <m:sSub>
                  <m:sSubPr>
                    <m:ctrlPr>
                      <w:rPr>
                        <w:rFonts w:hint="default" w:ascii="Cambria Math" w:hAnsi="Cambria Math"/>
                        <w:i/>
                        <w:color w:val="auto"/>
                      </w:rPr>
                    </m:ctrlPr>
                  </m:sSubPr>
                  <m:e>
                    <m:r>
                      <m:rPr/>
                      <w:rPr>
                        <w:rFonts w:hint="default" w:ascii="Cambria Math" w:hAnsi="Cambria Math"/>
                        <w:color w:val="auto"/>
                      </w:rPr>
                      <m:t>W</m:t>
                    </m:r>
                    <m:ctrlPr>
                      <w:rPr>
                        <w:rFonts w:hint="default" w:ascii="Cambria Math" w:hAnsi="Cambria Math"/>
                        <w:i/>
                        <w:color w:val="auto"/>
                      </w:rPr>
                    </m:ctrlPr>
                  </m:e>
                  <m:sub>
                    <m:r>
                      <m:rPr/>
                      <w:rPr>
                        <w:rFonts w:hint="default" w:ascii="Cambria Math" w:hAnsi="Cambria Math"/>
                        <w:color w:val="auto"/>
                      </w:rPr>
                      <m:t>Ri</m:t>
                    </m:r>
                    <m:ctrlPr>
                      <w:rPr>
                        <w:rFonts w:hint="default" w:ascii="Cambria Math" w:hAnsi="Cambria Math"/>
                        <w:i/>
                        <w:color w:val="auto"/>
                      </w:rPr>
                    </m:ctrlPr>
                  </m:sub>
                </m:sSub>
                <m:r>
                  <m:rPr/>
                  <w:rPr>
                    <w:rFonts w:hint="default" w:ascii="Cambria Math" w:hAnsi="Cambria Math"/>
                    <w:color w:val="auto"/>
                  </w:rPr>
                  <m:t>=</m:t>
                </m:r>
                <m:sSub>
                  <m:sSubPr>
                    <m:ctrlPr>
                      <w:rPr>
                        <w:rFonts w:hint="default" w:ascii="Cambria Math" w:hAnsi="Cambria Math"/>
                        <w:i/>
                        <w:color w:val="auto"/>
                      </w:rPr>
                    </m:ctrlPr>
                  </m:sSubPr>
                  <m:e>
                    <m:r>
                      <m:rPr/>
                      <w:rPr>
                        <w:rFonts w:hint="default" w:ascii="Cambria Math" w:hAnsi="Cambria Math"/>
                        <w:color w:val="auto"/>
                      </w:rPr>
                      <m:t>E</m:t>
                    </m:r>
                    <m:ctrlPr>
                      <w:rPr>
                        <w:rFonts w:hint="default" w:ascii="Cambria Math" w:hAnsi="Cambria Math"/>
                        <w:i/>
                        <w:color w:val="auto"/>
                      </w:rPr>
                    </m:ctrlPr>
                  </m:e>
                  <m:sub>
                    <m:r>
                      <m:rPr/>
                      <w:rPr>
                        <w:rFonts w:hint="default" w:ascii="Cambria Math" w:hAnsi="Cambria Math"/>
                        <w:color w:val="auto"/>
                      </w:rPr>
                      <m:t>Ri</m:t>
                    </m:r>
                    <m:ctrlPr>
                      <w:rPr>
                        <w:rFonts w:hint="default" w:ascii="Cambria Math" w:hAnsi="Cambria Math"/>
                        <w:i/>
                        <w:color w:val="auto"/>
                      </w:rPr>
                    </m:ctrlPr>
                  </m:sub>
                </m:sSub>
                <m:sSub>
                  <m:sSubPr>
                    <m:ctrlPr>
                      <w:rPr>
                        <w:rFonts w:hint="default" w:ascii="Cambria Math" w:hAnsi="Cambria Math"/>
                        <w:i/>
                        <w:color w:val="auto"/>
                      </w:rPr>
                    </m:ctrlPr>
                  </m:sSubPr>
                  <m:e>
                    <m:r>
                      <m:rPr/>
                      <w:rPr>
                        <w:rFonts w:hint="default" w:ascii="Cambria Math" w:hAnsi="Cambria Math"/>
                        <w:color w:val="auto"/>
                      </w:rPr>
                      <m:t>L</m:t>
                    </m:r>
                    <m:ctrlPr>
                      <w:rPr>
                        <w:rFonts w:hint="default" w:ascii="Cambria Math" w:hAnsi="Cambria Math"/>
                        <w:i/>
                        <w:color w:val="auto"/>
                      </w:rPr>
                    </m:ctrlPr>
                  </m:e>
                  <m:sub>
                    <m:r>
                      <m:rPr/>
                      <w:rPr>
                        <w:rFonts w:hint="default" w:ascii="Cambria Math" w:hAnsi="Cambria Math"/>
                        <w:color w:val="auto"/>
                      </w:rPr>
                      <m:t>R</m:t>
                    </m:r>
                    <m:ctrlPr>
                      <w:rPr>
                        <w:rFonts w:hint="default" w:ascii="Cambria Math" w:hAnsi="Cambria Math"/>
                        <w:i/>
                        <w:color w:val="auto"/>
                      </w:rPr>
                    </m:ctrlPr>
                  </m:sub>
                </m:sSub>
                <m:sSub>
                  <m:sSubPr>
                    <m:ctrlPr>
                      <w:rPr>
                        <w:rFonts w:hint="default" w:ascii="Cambria Math" w:hAnsi="Cambria Math"/>
                        <w:i/>
                        <w:color w:val="auto"/>
                      </w:rPr>
                    </m:ctrlPr>
                  </m:sSubPr>
                  <m:e>
                    <m:r>
                      <m:rPr/>
                      <w:rPr>
                        <w:rFonts w:hint="default" w:ascii="Cambria Math" w:hAnsi="Cambria Math"/>
                        <w:color w:val="auto"/>
                      </w:rPr>
                      <m:t>N</m:t>
                    </m:r>
                    <m:ctrlPr>
                      <w:rPr>
                        <w:rFonts w:hint="default" w:ascii="Cambria Math" w:hAnsi="Cambria Math"/>
                        <w:i/>
                        <w:color w:val="auto"/>
                      </w:rPr>
                    </m:ctrlPr>
                  </m:e>
                  <m:sub>
                    <m:r>
                      <m:rPr/>
                      <w:rPr>
                        <w:rFonts w:hint="default" w:ascii="Cambria Math" w:hAnsi="Cambria Math"/>
                        <w:color w:val="auto"/>
                      </w:rPr>
                      <m:t>R</m:t>
                    </m:r>
                    <m:ctrlPr>
                      <w:rPr>
                        <w:rFonts w:hint="default" w:ascii="Cambria Math" w:hAnsi="Cambria Math"/>
                        <w:i/>
                        <w:color w:val="auto"/>
                      </w:rPr>
                    </m:ctrlPr>
                  </m:sub>
                </m:sSub>
                <m:d>
                  <m:dPr>
                    <m:begChr m:val="["/>
                    <m:endChr m:val="]"/>
                    <m:ctrlPr>
                      <w:rPr>
                        <w:rFonts w:hint="default" w:ascii="Cambria Math" w:hAnsi="Cambria Math"/>
                        <w:i/>
                        <w:color w:val="auto"/>
                      </w:rPr>
                    </m:ctrlPr>
                  </m:dPr>
                  <m:e>
                    <m:r>
                      <m:rPr/>
                      <w:rPr>
                        <w:rFonts w:hint="default" w:ascii="Cambria Math" w:hAnsi="Cambria Math"/>
                        <w:color w:val="auto"/>
                      </w:rPr>
                      <m:t>1−</m:t>
                    </m:r>
                    <m:d>
                      <m:dPr>
                        <m:ctrlPr>
                          <w:rPr>
                            <w:rFonts w:hint="default" w:ascii="Cambria Math" w:hAnsi="Cambria Math"/>
                            <w:i/>
                            <w:color w:val="auto"/>
                          </w:rPr>
                        </m:ctrlPr>
                      </m:dPr>
                      <m:e>
                        <m:sSub>
                          <m:sSubPr>
                            <m:ctrlPr>
                              <w:rPr>
                                <w:rFonts w:hint="default" w:ascii="Cambria Math" w:hAnsi="Cambria Math"/>
                                <w:i/>
                                <w:color w:val="auto"/>
                              </w:rPr>
                            </m:ctrlPr>
                          </m:sSubPr>
                          <m:e>
                            <m:r>
                              <m:rPr/>
                              <w:rPr>
                                <w:rFonts w:hint="default" w:ascii="Cambria Math" w:hAnsi="Cambria Math"/>
                                <w:color w:val="auto"/>
                              </w:rPr>
                              <m:t>n</m:t>
                            </m:r>
                            <m:ctrlPr>
                              <w:rPr>
                                <w:rFonts w:hint="default" w:ascii="Cambria Math" w:hAnsi="Cambria Math"/>
                                <w:i/>
                                <w:color w:val="auto"/>
                              </w:rPr>
                            </m:ctrlPr>
                          </m:e>
                          <m:sub>
                            <m:r>
                              <m:rPr/>
                              <w:rPr>
                                <w:rFonts w:hint="default" w:ascii="Cambria Math" w:hAnsi="Cambria Math"/>
                                <w:color w:val="auto"/>
                              </w:rPr>
                              <m:t>r</m:t>
                            </m:r>
                            <m:ctrlPr>
                              <w:rPr>
                                <w:rFonts w:hint="default" w:ascii="Cambria Math" w:hAnsi="Cambria Math"/>
                                <w:i/>
                                <w:color w:val="auto"/>
                              </w:rPr>
                            </m:ctrlPr>
                          </m:sub>
                        </m:sSub>
                        <m:r>
                          <m:rPr/>
                          <w:rPr>
                            <w:rFonts w:hint="default" w:ascii="Cambria Math" w:hAnsi="Cambria Math"/>
                            <w:color w:val="auto"/>
                          </w:rPr>
                          <m:t>/365</m:t>
                        </m:r>
                        <m:ctrlPr>
                          <w:rPr>
                            <w:rFonts w:hint="default" w:ascii="Cambria Math" w:hAnsi="Cambria Math"/>
                            <w:i/>
                            <w:color w:val="auto"/>
                          </w:rPr>
                        </m:ctrlPr>
                      </m:e>
                    </m:d>
                    <m:ctrlPr>
                      <w:rPr>
                        <w:rFonts w:hint="default" w:ascii="Cambria Math" w:hAnsi="Cambria Math"/>
                        <w:i/>
                        <w:color w:val="auto"/>
                      </w:rPr>
                    </m:ctrlPr>
                  </m:e>
                </m:d>
                <m:r>
                  <m:rPr/>
                  <w:rPr>
                    <w:rFonts w:hint="default" w:ascii="Cambria Math" w:hAnsi="Cambria Math"/>
                    <w:color w:val="auto"/>
                  </w:rPr>
                  <m:t>×</m:t>
                </m:r>
                <m:sSup>
                  <m:sSupPr>
                    <m:ctrlPr>
                      <w:rPr>
                        <w:rFonts w:hint="default" w:ascii="Cambria Math" w:hAnsi="Cambria Math"/>
                        <w:i/>
                        <w:color w:val="auto"/>
                      </w:rPr>
                    </m:ctrlPr>
                  </m:sSupPr>
                  <m:e>
                    <m:r>
                      <m:rPr/>
                      <w:rPr>
                        <w:rFonts w:hint="default" w:ascii="Cambria Math" w:hAnsi="Cambria Math"/>
                        <w:color w:val="auto"/>
                      </w:rPr>
                      <m:t>10</m:t>
                    </m:r>
                    <m:ctrlPr>
                      <w:rPr>
                        <w:rFonts w:hint="default" w:ascii="Cambria Math" w:hAnsi="Cambria Math"/>
                        <w:i/>
                        <w:color w:val="auto"/>
                      </w:rPr>
                    </m:ctrlPr>
                  </m:e>
                  <m:sup>
                    <m:r>
                      <m:rPr/>
                      <w:rPr>
                        <w:rFonts w:hint="default" w:ascii="Cambria Math" w:hAnsi="Cambria Math"/>
                        <w:color w:val="auto"/>
                      </w:rPr>
                      <m:t>−6</m:t>
                    </m:r>
                    <m:ctrlPr>
                      <w:rPr>
                        <w:rFonts w:hint="default" w:ascii="Cambria Math" w:hAnsi="Cambria Math"/>
                        <w:i/>
                        <w:color w:val="auto"/>
                      </w:rPr>
                    </m:ctrlPr>
                  </m:sup>
                </m:sSup>
              </m:oMath>
            </m:oMathPara>
          </w:p>
          <w:p w14:paraId="0D7DAAFB">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color w:val="auto"/>
                <w:sz w:val="24"/>
                <w:szCs w:val="22"/>
                <w:u w:val="single"/>
              </w:rPr>
              <w:t xml:space="preserve">式中   </w:t>
            </w:r>
            <w:r>
              <w:rPr>
                <w:rFonts w:hint="eastAsia" w:ascii="Times New Roman" w:hAnsi="Times New Roman" w:eastAsia="宋体" w:cs="Times New Roman"/>
                <w:i/>
                <w:iCs/>
                <w:color w:val="auto"/>
                <w:sz w:val="24"/>
                <w:szCs w:val="22"/>
                <w:u w:val="single"/>
              </w:rPr>
              <w:t>W</w:t>
            </w:r>
            <w:r>
              <w:rPr>
                <w:rFonts w:hint="eastAsia" w:ascii="Times New Roman" w:hAnsi="Times New Roman" w:eastAsia="宋体" w:cs="Times New Roman"/>
                <w:i/>
                <w:iCs/>
                <w:color w:val="auto"/>
                <w:sz w:val="24"/>
                <w:szCs w:val="22"/>
                <w:u w:val="single"/>
                <w:vertAlign w:val="subscript"/>
              </w:rPr>
              <w:t>Ri</w:t>
            </w:r>
            <w:r>
              <w:rPr>
                <w:rFonts w:hint="eastAsia" w:ascii="Times New Roman" w:hAnsi="Times New Roman" w:eastAsia="宋体" w:cs="Times New Roman"/>
                <w:color w:val="auto"/>
                <w:sz w:val="24"/>
                <w:szCs w:val="22"/>
                <w:u w:val="single"/>
              </w:rPr>
              <w:t>———道路扬尘源中颗粒物P</w:t>
            </w:r>
            <w:r>
              <w:rPr>
                <w:rFonts w:hint="eastAsia" w:ascii="Times New Roman" w:hAnsi="Times New Roman" w:eastAsia="宋体" w:cs="Times New Roman"/>
                <w:color w:val="auto"/>
                <w:sz w:val="24"/>
                <w:szCs w:val="22"/>
                <w:u w:val="single"/>
                <w:vertAlign w:val="subscript"/>
              </w:rPr>
              <w:t>Mi</w:t>
            </w:r>
            <w:r>
              <w:rPr>
                <w:rFonts w:hint="eastAsia" w:ascii="Times New Roman" w:hAnsi="Times New Roman" w:eastAsia="宋体" w:cs="Times New Roman"/>
                <w:color w:val="auto"/>
                <w:sz w:val="24"/>
                <w:szCs w:val="22"/>
                <w:u w:val="single"/>
              </w:rPr>
              <w:t>的总排放量（t/a）；</w:t>
            </w:r>
          </w:p>
          <w:p w14:paraId="632508F5">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E</w:t>
            </w:r>
            <w:r>
              <w:rPr>
                <w:rFonts w:hint="eastAsia" w:ascii="Times New Roman" w:hAnsi="Times New Roman" w:eastAsia="宋体" w:cs="Times New Roman"/>
                <w:i/>
                <w:iCs/>
                <w:color w:val="auto"/>
                <w:sz w:val="24"/>
                <w:szCs w:val="22"/>
                <w:u w:val="single"/>
                <w:vertAlign w:val="subscript"/>
              </w:rPr>
              <w:t>Ri</w:t>
            </w:r>
            <w:r>
              <w:rPr>
                <w:rFonts w:hint="eastAsia" w:ascii="Times New Roman" w:hAnsi="Times New Roman" w:eastAsia="宋体" w:cs="Times New Roman"/>
                <w:i/>
                <w:iCs/>
                <w:color w:val="auto"/>
                <w:sz w:val="24"/>
                <w:szCs w:val="22"/>
                <w:u w:val="single"/>
              </w:rPr>
              <w:t>———</w:t>
            </w:r>
            <w:r>
              <w:rPr>
                <w:rFonts w:hint="eastAsia" w:ascii="Times New Roman" w:hAnsi="Times New Roman" w:eastAsia="宋体" w:cs="Times New Roman"/>
                <w:color w:val="auto"/>
                <w:sz w:val="24"/>
                <w:szCs w:val="22"/>
                <w:u w:val="single"/>
              </w:rPr>
              <w:t>数（g/km·辆）；</w:t>
            </w:r>
          </w:p>
          <w:p w14:paraId="346E93B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L</w:t>
            </w:r>
            <w:r>
              <w:rPr>
                <w:rFonts w:hint="eastAsia" w:ascii="Times New Roman" w:hAnsi="Times New Roman" w:eastAsia="宋体" w:cs="Times New Roman"/>
                <w:i/>
                <w:iCs/>
                <w:color w:val="auto"/>
                <w:sz w:val="24"/>
                <w:szCs w:val="22"/>
                <w:u w:val="single"/>
                <w:vertAlign w:val="subscript"/>
              </w:rPr>
              <w:t>R</w:t>
            </w:r>
            <w:r>
              <w:rPr>
                <w:rFonts w:hint="eastAsia" w:ascii="Times New Roman" w:hAnsi="Times New Roman" w:eastAsia="宋体" w:cs="Times New Roman"/>
                <w:i/>
                <w:iCs/>
                <w:color w:val="auto"/>
                <w:sz w:val="24"/>
                <w:szCs w:val="22"/>
                <w:u w:val="single"/>
              </w:rPr>
              <w:t>———</w:t>
            </w:r>
            <w:r>
              <w:rPr>
                <w:rFonts w:hint="eastAsia" w:ascii="Times New Roman" w:hAnsi="Times New Roman" w:eastAsia="宋体" w:cs="Times New Roman"/>
                <w:color w:val="auto"/>
                <w:sz w:val="24"/>
                <w:szCs w:val="22"/>
                <w:u w:val="single"/>
              </w:rPr>
              <w:t>道路长度（km），按</w:t>
            </w:r>
            <w:r>
              <w:rPr>
                <w:rFonts w:hint="eastAsia" w:ascii="Times New Roman" w:hAnsi="Times New Roman" w:eastAsia="宋体" w:cs="Times New Roman"/>
                <w:color w:val="auto"/>
                <w:sz w:val="24"/>
                <w:szCs w:val="22"/>
                <w:u w:val="single"/>
                <w:lang w:val="en-US" w:eastAsia="zh-CN"/>
              </w:rPr>
              <w:t>项目</w:t>
            </w:r>
            <w:r>
              <w:rPr>
                <w:rFonts w:hint="eastAsia" w:ascii="Times New Roman" w:hAnsi="Times New Roman" w:eastAsia="宋体" w:cs="Times New Roman"/>
                <w:color w:val="auto"/>
                <w:sz w:val="24"/>
                <w:szCs w:val="22"/>
                <w:u w:val="single"/>
              </w:rPr>
              <w:t>集卡运输路线长度</w:t>
            </w:r>
            <w:r>
              <w:rPr>
                <w:rFonts w:hint="eastAsia" w:ascii="Times New Roman" w:hAnsi="Times New Roman" w:eastAsia="宋体" w:cs="Times New Roman"/>
                <w:color w:val="auto"/>
                <w:sz w:val="24"/>
                <w:szCs w:val="22"/>
                <w:u w:val="single"/>
                <w:lang w:val="en-US" w:eastAsia="zh-CN"/>
              </w:rPr>
              <w:t>0.5</w:t>
            </w:r>
            <w:r>
              <w:rPr>
                <w:rFonts w:hint="eastAsia" w:ascii="Times New Roman" w:hAnsi="Times New Roman" w:eastAsia="宋体" w:cs="Times New Roman"/>
                <w:color w:val="auto"/>
                <w:sz w:val="24"/>
                <w:szCs w:val="22"/>
                <w:u w:val="single"/>
              </w:rPr>
              <w:t>km；</w:t>
            </w:r>
          </w:p>
          <w:p w14:paraId="65193C2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N</w:t>
            </w:r>
            <w:r>
              <w:rPr>
                <w:rFonts w:hint="eastAsia" w:ascii="Times New Roman" w:hAnsi="Times New Roman" w:eastAsia="宋体" w:cs="Times New Roman"/>
                <w:i/>
                <w:iCs/>
                <w:color w:val="auto"/>
                <w:sz w:val="24"/>
                <w:szCs w:val="22"/>
                <w:u w:val="single"/>
                <w:vertAlign w:val="subscript"/>
              </w:rPr>
              <w:t>R</w:t>
            </w:r>
            <w:r>
              <w:rPr>
                <w:rFonts w:hint="eastAsia" w:ascii="Times New Roman" w:hAnsi="Times New Roman" w:eastAsia="宋体" w:cs="Times New Roman"/>
                <w:i/>
                <w:iCs/>
                <w:color w:val="auto"/>
                <w:sz w:val="24"/>
                <w:szCs w:val="22"/>
                <w:u w:val="single"/>
              </w:rPr>
              <w:t>———</w:t>
            </w:r>
            <w:r>
              <w:rPr>
                <w:rFonts w:hint="eastAsia" w:ascii="Times New Roman" w:hAnsi="Times New Roman" w:eastAsia="宋体" w:cs="Times New Roman"/>
                <w:color w:val="auto"/>
                <w:sz w:val="24"/>
                <w:szCs w:val="22"/>
                <w:u w:val="single"/>
              </w:rPr>
              <w:t>一定时期内车辆在该段道路上的平均车流量（辆/a），</w:t>
            </w:r>
            <w:r>
              <w:rPr>
                <w:rFonts w:hint="eastAsia" w:ascii="Times New Roman" w:hAnsi="Times New Roman" w:eastAsia="宋体" w:cs="Times New Roman"/>
                <w:color w:val="auto"/>
                <w:sz w:val="24"/>
                <w:szCs w:val="22"/>
                <w:u w:val="single"/>
                <w:lang w:val="en-US" w:eastAsia="zh-CN"/>
              </w:rPr>
              <w:t>21450</w:t>
            </w:r>
            <w:r>
              <w:rPr>
                <w:rFonts w:hint="eastAsia" w:ascii="Times New Roman" w:hAnsi="Times New Roman" w:eastAsia="宋体" w:cs="Times New Roman"/>
                <w:color w:val="auto"/>
                <w:sz w:val="24"/>
                <w:szCs w:val="22"/>
                <w:u w:val="single"/>
              </w:rPr>
              <w:t>辆/a；</w:t>
            </w:r>
          </w:p>
          <w:p w14:paraId="63BF36D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n</w:t>
            </w:r>
            <w:r>
              <w:rPr>
                <w:rFonts w:hint="eastAsia" w:ascii="Times New Roman" w:hAnsi="Times New Roman" w:eastAsia="宋体" w:cs="Times New Roman"/>
                <w:i/>
                <w:iCs/>
                <w:color w:val="auto"/>
                <w:sz w:val="24"/>
                <w:szCs w:val="22"/>
                <w:u w:val="single"/>
                <w:vertAlign w:val="subscript"/>
              </w:rPr>
              <w:t>r</w:t>
            </w:r>
            <w:r>
              <w:rPr>
                <w:rFonts w:hint="eastAsia" w:ascii="Times New Roman" w:hAnsi="Times New Roman" w:eastAsia="宋体" w:cs="Times New Roman"/>
                <w:color w:val="auto"/>
                <w:sz w:val="24"/>
                <w:szCs w:val="22"/>
                <w:u w:val="single"/>
              </w:rPr>
              <w:t>——不起尘天数，通过实测（统计降水造成的路面潮湿的天数）得到，评价统计钦州市一年中降水量大于0.25mm/d的天数，取150d。</w:t>
            </w:r>
          </w:p>
          <w:p w14:paraId="066853B1">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color w:val="auto"/>
                <w:sz w:val="24"/>
                <w:szCs w:val="22"/>
                <w:u w:val="single"/>
              </w:rPr>
              <w:t>其中，铺装道路起尘排放系数计算公式如下：</w:t>
            </w:r>
          </w:p>
          <w:p w14:paraId="3E62484B">
            <w:pPr>
              <w:keepNext w:val="0"/>
              <w:keepLines w:val="0"/>
              <w:suppressLineNumbers w:val="0"/>
              <w:snapToGrid w:val="0"/>
              <w:spacing w:before="0" w:beforeAutospacing="0" w:after="0" w:afterAutospacing="0" w:line="360" w:lineRule="auto"/>
              <w:ind w:left="0" w:right="0" w:firstLine="420" w:firstLineChars="200"/>
              <w:jc w:val="center"/>
              <w:rPr>
                <w:rFonts w:hint="default" w:ascii="Times New Roman" w:hAnsi="Times New Roman" w:eastAsia="宋体" w:cs="Times New Roman"/>
                <w:color w:val="auto"/>
                <w:sz w:val="24"/>
                <w:szCs w:val="22"/>
              </w:rPr>
            </w:pPr>
            <m:oMathPara>
              <m:oMath>
                <m:sSub>
                  <m:sSubPr>
                    <m:ctrlPr>
                      <w:rPr>
                        <w:rFonts w:hint="default" w:ascii="Cambria Math" w:hAnsi="Cambria Math"/>
                        <w:i/>
                        <w:color w:val="auto"/>
                      </w:rPr>
                    </m:ctrlPr>
                  </m:sSubPr>
                  <m:e>
                    <m:r>
                      <m:rPr/>
                      <w:rPr>
                        <w:rFonts w:hint="default" w:ascii="Cambria Math" w:hAnsi="Cambria Math"/>
                        <w:color w:val="auto"/>
                      </w:rPr>
                      <m:t>E</m:t>
                    </m:r>
                    <m:ctrlPr>
                      <w:rPr>
                        <w:rFonts w:hint="default" w:ascii="Cambria Math" w:hAnsi="Cambria Math"/>
                        <w:i/>
                        <w:color w:val="auto"/>
                      </w:rPr>
                    </m:ctrlPr>
                  </m:e>
                  <m:sub>
                    <m:r>
                      <m:rPr/>
                      <w:rPr>
                        <w:rFonts w:hint="default" w:ascii="Cambria Math" w:hAnsi="Cambria Math"/>
                        <w:color w:val="auto"/>
                      </w:rPr>
                      <m:t>Ri</m:t>
                    </m:r>
                    <m:ctrlPr>
                      <w:rPr>
                        <w:rFonts w:hint="default" w:ascii="Cambria Math" w:hAnsi="Cambria Math"/>
                        <w:i/>
                        <w:color w:val="auto"/>
                      </w:rPr>
                    </m:ctrlPr>
                  </m:sub>
                </m:sSub>
                <m:r>
                  <m:rPr/>
                  <w:rPr>
                    <w:rFonts w:hint="default" w:ascii="Cambria Math" w:hAnsi="Cambria Math"/>
                    <w:color w:val="auto"/>
                  </w:rPr>
                  <m:t>=</m:t>
                </m:r>
                <m:sSub>
                  <m:sSubPr>
                    <m:ctrlPr>
                      <w:rPr>
                        <w:rFonts w:hint="default" w:ascii="Cambria Math" w:hAnsi="Cambria Math"/>
                        <w:i/>
                        <w:color w:val="auto"/>
                      </w:rPr>
                    </m:ctrlPr>
                  </m:sSubPr>
                  <m:e>
                    <m:r>
                      <m:rPr/>
                      <w:rPr>
                        <w:rFonts w:hint="default" w:ascii="Cambria Math" w:hAnsi="Cambria Math"/>
                        <w:color w:val="auto"/>
                      </w:rPr>
                      <m:t>k</m:t>
                    </m:r>
                    <m:ctrlPr>
                      <w:rPr>
                        <w:rFonts w:hint="default" w:ascii="Cambria Math" w:hAnsi="Cambria Math"/>
                        <w:i/>
                        <w:color w:val="auto"/>
                      </w:rPr>
                    </m:ctrlPr>
                  </m:e>
                  <m:sub>
                    <m:r>
                      <m:rPr/>
                      <w:rPr>
                        <w:rFonts w:hint="default" w:ascii="Cambria Math" w:hAnsi="Cambria Math"/>
                        <w:color w:val="auto"/>
                      </w:rPr>
                      <m:t>i</m:t>
                    </m:r>
                    <m:ctrlPr>
                      <w:rPr>
                        <w:rFonts w:hint="default" w:ascii="Cambria Math" w:hAnsi="Cambria Math"/>
                        <w:i/>
                        <w:color w:val="auto"/>
                      </w:rPr>
                    </m:ctrlPr>
                  </m:sub>
                </m:sSub>
                <m:sSup>
                  <m:sSupPr>
                    <m:ctrlPr>
                      <w:rPr>
                        <w:rFonts w:hint="default" w:ascii="Cambria Math" w:hAnsi="Cambria Math"/>
                        <w:i/>
                        <w:color w:val="auto"/>
                      </w:rPr>
                    </m:ctrlPr>
                  </m:sSupPr>
                  <m:e>
                    <m:d>
                      <m:dPr>
                        <m:ctrlPr>
                          <w:rPr>
                            <w:rFonts w:hint="default" w:ascii="Cambria Math" w:hAnsi="Cambria Math"/>
                            <w:i/>
                            <w:color w:val="auto"/>
                          </w:rPr>
                        </m:ctrlPr>
                      </m:dPr>
                      <m:e>
                        <m:r>
                          <m:rPr/>
                          <w:rPr>
                            <w:rFonts w:hint="default" w:ascii="Cambria Math" w:hAnsi="Cambria Math"/>
                            <w:color w:val="auto"/>
                          </w:rPr>
                          <m:t>sL</m:t>
                        </m:r>
                        <m:ctrlPr>
                          <w:rPr>
                            <w:rFonts w:hint="default" w:ascii="Cambria Math" w:hAnsi="Cambria Math"/>
                            <w:i/>
                            <w:color w:val="auto"/>
                          </w:rPr>
                        </m:ctrlPr>
                      </m:e>
                    </m:d>
                    <m:ctrlPr>
                      <w:rPr>
                        <w:rFonts w:hint="default" w:ascii="Cambria Math" w:hAnsi="Cambria Math"/>
                        <w:i/>
                        <w:color w:val="auto"/>
                      </w:rPr>
                    </m:ctrlPr>
                  </m:e>
                  <m:sup>
                    <m:r>
                      <m:rPr/>
                      <w:rPr>
                        <w:rFonts w:hint="default" w:ascii="Cambria Math" w:hAnsi="Cambria Math"/>
                        <w:color w:val="auto"/>
                      </w:rPr>
                      <m:t>0.91</m:t>
                    </m:r>
                    <m:ctrlPr>
                      <w:rPr>
                        <w:rFonts w:hint="default" w:ascii="Cambria Math" w:hAnsi="Cambria Math"/>
                        <w:i/>
                        <w:color w:val="auto"/>
                      </w:rPr>
                    </m:ctrlPr>
                  </m:sup>
                </m:sSup>
                <m:sSup>
                  <m:sSupPr>
                    <m:ctrlPr>
                      <w:rPr>
                        <w:rFonts w:hint="default" w:ascii="Cambria Math" w:hAnsi="Cambria Math"/>
                        <w:i/>
                        <w:color w:val="auto"/>
                      </w:rPr>
                    </m:ctrlPr>
                  </m:sSupPr>
                  <m:e>
                    <m:d>
                      <m:dPr>
                        <m:ctrlPr>
                          <w:rPr>
                            <w:rFonts w:hint="default" w:ascii="Cambria Math" w:hAnsi="Cambria Math"/>
                            <w:i/>
                            <w:color w:val="auto"/>
                          </w:rPr>
                        </m:ctrlPr>
                      </m:dPr>
                      <m:e>
                        <m:r>
                          <m:rPr/>
                          <w:rPr>
                            <w:rFonts w:hint="default" w:ascii="Cambria Math" w:hAnsi="Cambria Math"/>
                            <w:color w:val="auto"/>
                          </w:rPr>
                          <m:t>W</m:t>
                        </m:r>
                        <m:ctrlPr>
                          <w:rPr>
                            <w:rFonts w:hint="default" w:ascii="Cambria Math" w:hAnsi="Cambria Math"/>
                            <w:i/>
                            <w:color w:val="auto"/>
                          </w:rPr>
                        </m:ctrlPr>
                      </m:e>
                    </m:d>
                    <m:ctrlPr>
                      <w:rPr>
                        <w:rFonts w:hint="default" w:ascii="Cambria Math" w:hAnsi="Cambria Math"/>
                        <w:i/>
                        <w:color w:val="auto"/>
                      </w:rPr>
                    </m:ctrlPr>
                  </m:e>
                  <m:sup>
                    <m:r>
                      <m:rPr/>
                      <w:rPr>
                        <w:rFonts w:hint="default" w:ascii="Cambria Math" w:hAnsi="Cambria Math"/>
                        <w:color w:val="auto"/>
                      </w:rPr>
                      <m:t>1.02</m:t>
                    </m:r>
                    <m:ctrlPr>
                      <w:rPr>
                        <w:rFonts w:hint="default" w:ascii="Cambria Math" w:hAnsi="Cambria Math"/>
                        <w:i/>
                        <w:color w:val="auto"/>
                      </w:rPr>
                    </m:ctrlPr>
                  </m:sup>
                </m:sSup>
                <m:d>
                  <m:dPr>
                    <m:ctrlPr>
                      <w:rPr>
                        <w:rFonts w:hint="default" w:ascii="Cambria Math" w:hAnsi="Cambria Math"/>
                        <w:i/>
                        <w:color w:val="auto"/>
                      </w:rPr>
                    </m:ctrlPr>
                  </m:dPr>
                  <m:e>
                    <m:r>
                      <m:rPr/>
                      <w:rPr>
                        <w:rFonts w:hint="default" w:ascii="Cambria Math" w:hAnsi="Cambria Math"/>
                        <w:color w:val="auto"/>
                      </w:rPr>
                      <m:t>1−</m:t>
                    </m:r>
                    <m:r>
                      <m:rPr/>
                      <w:rPr>
                        <w:rFonts w:hint="default" w:ascii="Cambria Math" w:hAnsi="Cambria Math" w:cs="宋体"/>
                        <w:color w:val="auto"/>
                        <w:kern w:val="0"/>
                        <w:szCs w:val="24"/>
                      </w:rPr>
                      <m:t>η</m:t>
                    </m:r>
                    <m:ctrlPr>
                      <w:rPr>
                        <w:rFonts w:hint="default" w:ascii="Cambria Math" w:hAnsi="Cambria Math"/>
                        <w:i/>
                        <w:color w:val="auto"/>
                      </w:rPr>
                    </m:ctrlPr>
                  </m:e>
                </m:d>
              </m:oMath>
            </m:oMathPara>
          </w:p>
          <w:p w14:paraId="2362F29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color w:val="auto"/>
                <w:sz w:val="24"/>
                <w:szCs w:val="22"/>
                <w:u w:val="single"/>
              </w:rPr>
              <w:t xml:space="preserve">式中   </w:t>
            </w:r>
            <w:r>
              <w:rPr>
                <w:rFonts w:hint="eastAsia" w:ascii="Times New Roman" w:hAnsi="Times New Roman" w:eastAsia="宋体" w:cs="Times New Roman"/>
                <w:i/>
                <w:iCs/>
                <w:color w:val="auto"/>
                <w:sz w:val="24"/>
                <w:szCs w:val="22"/>
                <w:u w:val="single"/>
              </w:rPr>
              <w:t>E</w:t>
            </w:r>
            <w:r>
              <w:rPr>
                <w:rFonts w:hint="eastAsia" w:ascii="Times New Roman" w:hAnsi="Times New Roman" w:eastAsia="宋体" w:cs="Times New Roman"/>
                <w:i/>
                <w:iCs/>
                <w:color w:val="auto"/>
                <w:sz w:val="24"/>
                <w:szCs w:val="22"/>
                <w:u w:val="single"/>
                <w:vertAlign w:val="subscript"/>
              </w:rPr>
              <w:t>Ri</w:t>
            </w:r>
            <w:r>
              <w:rPr>
                <w:rFonts w:hint="eastAsia" w:ascii="Times New Roman" w:hAnsi="Times New Roman" w:eastAsia="宋体" w:cs="Times New Roman"/>
                <w:color w:val="auto"/>
                <w:sz w:val="24"/>
                <w:szCs w:val="22"/>
                <w:u w:val="single"/>
              </w:rPr>
              <w:t>———铺装道路的扬尘中P</w:t>
            </w:r>
            <w:r>
              <w:rPr>
                <w:rFonts w:hint="eastAsia" w:ascii="Times New Roman" w:hAnsi="Times New Roman" w:eastAsia="宋体" w:cs="Times New Roman"/>
                <w:color w:val="auto"/>
                <w:sz w:val="24"/>
                <w:szCs w:val="22"/>
                <w:u w:val="single"/>
                <w:vertAlign w:val="subscript"/>
              </w:rPr>
              <w:t>Mi</w:t>
            </w:r>
            <w:r>
              <w:rPr>
                <w:rFonts w:hint="eastAsia" w:ascii="Times New Roman" w:hAnsi="Times New Roman" w:eastAsia="宋体" w:cs="Times New Roman"/>
                <w:color w:val="auto"/>
                <w:sz w:val="24"/>
                <w:szCs w:val="22"/>
                <w:u w:val="single"/>
              </w:rPr>
              <w:t>排放系数（g/km）；</w:t>
            </w:r>
          </w:p>
          <w:p w14:paraId="438FCA5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k</w:t>
            </w:r>
            <w:r>
              <w:rPr>
                <w:rFonts w:hint="eastAsia" w:ascii="Times New Roman" w:hAnsi="Times New Roman" w:eastAsia="宋体" w:cs="Times New Roman"/>
                <w:i/>
                <w:iCs/>
                <w:color w:val="auto"/>
                <w:sz w:val="24"/>
                <w:szCs w:val="22"/>
                <w:u w:val="single"/>
                <w:vertAlign w:val="subscript"/>
              </w:rPr>
              <w:t>i</w:t>
            </w:r>
            <w:r>
              <w:rPr>
                <w:rFonts w:hint="eastAsia" w:ascii="Times New Roman" w:hAnsi="Times New Roman" w:eastAsia="宋体" w:cs="Times New Roman"/>
                <w:color w:val="auto"/>
                <w:sz w:val="24"/>
                <w:szCs w:val="22"/>
                <w:u w:val="single"/>
              </w:rPr>
              <w:t>———扬尘中PMi的粒度乘数，</w:t>
            </w:r>
            <w:r>
              <w:rPr>
                <w:rFonts w:hint="eastAsia" w:ascii="Times New Roman" w:hAnsi="Times New Roman" w:eastAsia="宋体" w:cs="Times New Roman"/>
                <w:color w:val="auto"/>
                <w:sz w:val="24"/>
                <w:szCs w:val="22"/>
                <w:u w:val="single"/>
                <w:lang w:val="en-US" w:eastAsia="zh-CN"/>
              </w:rPr>
              <w:t>3.23</w:t>
            </w:r>
            <w:r>
              <w:rPr>
                <w:rFonts w:hint="eastAsia" w:ascii="Times New Roman" w:hAnsi="Times New Roman" w:eastAsia="宋体" w:cs="Times New Roman"/>
                <w:color w:val="auto"/>
                <w:sz w:val="24"/>
                <w:szCs w:val="22"/>
                <w:u w:val="single"/>
              </w:rPr>
              <w:t>；</w:t>
            </w:r>
          </w:p>
          <w:p w14:paraId="4B2979C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sL</w:t>
            </w:r>
            <w:r>
              <w:rPr>
                <w:rFonts w:hint="eastAsia" w:ascii="Times New Roman" w:hAnsi="Times New Roman" w:eastAsia="宋体" w:cs="Times New Roman"/>
                <w:color w:val="auto"/>
                <w:sz w:val="24"/>
                <w:szCs w:val="22"/>
                <w:u w:val="single"/>
              </w:rPr>
              <w:t>——道路积尘负荷（g/m</w:t>
            </w:r>
            <w:r>
              <w:rPr>
                <w:rFonts w:hint="eastAsia" w:ascii="Times New Roman" w:hAnsi="Times New Roman" w:eastAsia="宋体" w:cs="Times New Roman"/>
                <w:color w:val="auto"/>
                <w:sz w:val="24"/>
                <w:szCs w:val="22"/>
                <w:u w:val="single"/>
                <w:vertAlign w:val="superscript"/>
              </w:rPr>
              <w:t>2</w:t>
            </w:r>
            <w:r>
              <w:rPr>
                <w:rFonts w:hint="eastAsia" w:ascii="Times New Roman" w:hAnsi="Times New Roman" w:eastAsia="宋体" w:cs="Times New Roman"/>
                <w:color w:val="auto"/>
                <w:sz w:val="24"/>
                <w:szCs w:val="22"/>
                <w:u w:val="single"/>
              </w:rPr>
              <w:t>），</w:t>
            </w:r>
            <w:r>
              <w:rPr>
                <w:rFonts w:hint="eastAsia" w:ascii="Times New Roman" w:hAnsi="Times New Roman" w:eastAsia="宋体" w:cs="Times New Roman"/>
                <w:color w:val="auto"/>
                <w:sz w:val="24"/>
                <w:szCs w:val="22"/>
                <w:u w:val="single"/>
                <w:lang w:eastAsia="zh-CN"/>
              </w:rPr>
              <w:t>参照</w:t>
            </w:r>
            <w:r>
              <w:rPr>
                <w:rFonts w:hint="eastAsia" w:ascii="Times New Roman" w:hAnsi="Times New Roman" w:eastAsia="宋体" w:cs="Times New Roman"/>
                <w:color w:val="auto"/>
                <w:sz w:val="24"/>
                <w:szCs w:val="22"/>
                <w:u w:val="single"/>
              </w:rPr>
              <w:t>《防治城市扬尘污染技术规范》（HJ/T393-2007）附录C中道路类型为“优”的机动车道积尘负荷限定标准参考值，取1g/m</w:t>
            </w:r>
            <w:r>
              <w:rPr>
                <w:rFonts w:hint="eastAsia" w:ascii="Times New Roman" w:hAnsi="Times New Roman" w:eastAsia="宋体" w:cs="Times New Roman"/>
                <w:color w:val="auto"/>
                <w:sz w:val="24"/>
                <w:szCs w:val="22"/>
                <w:u w:val="single"/>
                <w:vertAlign w:val="superscript"/>
              </w:rPr>
              <w:t>2</w:t>
            </w:r>
            <w:r>
              <w:rPr>
                <w:rFonts w:hint="eastAsia" w:ascii="Times New Roman" w:hAnsi="Times New Roman" w:eastAsia="宋体" w:cs="Times New Roman"/>
                <w:color w:val="auto"/>
                <w:sz w:val="24"/>
                <w:szCs w:val="22"/>
                <w:u w:val="single"/>
              </w:rPr>
              <w:t>；</w:t>
            </w:r>
          </w:p>
          <w:p w14:paraId="04A0F94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W</w:t>
            </w:r>
            <w:r>
              <w:rPr>
                <w:rFonts w:hint="eastAsia" w:ascii="Times New Roman" w:hAnsi="Times New Roman" w:eastAsia="宋体" w:cs="Times New Roman"/>
                <w:color w:val="auto"/>
                <w:sz w:val="24"/>
                <w:szCs w:val="22"/>
                <w:u w:val="single"/>
              </w:rPr>
              <w:t>——平均车重（t），取40t；</w:t>
            </w:r>
          </w:p>
          <w:p w14:paraId="3519F9E0">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2"/>
                <w:u w:val="single"/>
              </w:rPr>
            </w:pPr>
            <w:r>
              <w:rPr>
                <w:rFonts w:hint="eastAsia" w:ascii="Times New Roman" w:hAnsi="Times New Roman" w:eastAsia="宋体" w:cs="Times New Roman"/>
                <w:i/>
                <w:iCs/>
                <w:color w:val="auto"/>
                <w:sz w:val="24"/>
                <w:szCs w:val="22"/>
                <w:u w:val="single"/>
              </w:rPr>
              <w:t>η</w:t>
            </w:r>
            <w:r>
              <w:rPr>
                <w:rFonts w:hint="eastAsia" w:ascii="Times New Roman" w:hAnsi="Times New Roman" w:eastAsia="宋体" w:cs="Times New Roman"/>
                <w:color w:val="auto"/>
                <w:sz w:val="24"/>
                <w:szCs w:val="22"/>
                <w:u w:val="single"/>
              </w:rPr>
              <w:t>——污染控制技术对扬尘的控制效率（%），</w:t>
            </w:r>
            <w:r>
              <w:rPr>
                <w:rFonts w:hint="eastAsia" w:ascii="Times New Roman" w:hAnsi="Times New Roman" w:eastAsia="宋体" w:cs="Times New Roman"/>
                <w:color w:val="auto"/>
                <w:sz w:val="24"/>
                <w:szCs w:val="22"/>
                <w:u w:val="single"/>
                <w:lang w:val="en-US" w:eastAsia="zh-CN"/>
              </w:rPr>
              <w:t>洒水（2次/天）情况下为66%</w:t>
            </w:r>
            <w:r>
              <w:rPr>
                <w:rFonts w:hint="eastAsia" w:ascii="Times New Roman" w:hAnsi="Times New Roman" w:eastAsia="宋体" w:cs="Times New Roman"/>
                <w:color w:val="auto"/>
                <w:sz w:val="24"/>
                <w:szCs w:val="22"/>
                <w:u w:val="single"/>
              </w:rPr>
              <w:t>。</w:t>
            </w:r>
          </w:p>
          <w:p w14:paraId="38C4FEB3">
            <w:pPr>
              <w:keepNext/>
              <w:keepLines/>
              <w:pageBreakBefore w:val="0"/>
              <w:widowControl w:val="0"/>
              <w:numPr>
                <w:ilvl w:val="5"/>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5"/>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i w:val="0"/>
                <w:iCs w:val="0"/>
                <w:caps w:val="0"/>
                <w:smallCaps w:val="0"/>
                <w:strike w:val="0"/>
                <w:dstrike w:val="0"/>
                <w:vanish w:val="0"/>
                <w:color w:val="auto"/>
                <w:spacing w:val="0"/>
                <w:kern w:val="2"/>
                <w:position w:val="0"/>
                <w:sz w:val="21"/>
                <w:szCs w:val="21"/>
                <w:u w:val="none"/>
                <w:vertAlign w:val="baseline"/>
                <w:lang w:val="en-US" w:eastAsia="zh-CN" w:bidi="ar-SA"/>
              </w:rPr>
              <w:t>表4-3</w:t>
            </w:r>
            <w:r>
              <w:rPr>
                <w:rFonts w:hint="eastAsia" w:ascii="Times New Roman" w:hAnsi="Times New Roman" w:eastAsia="宋体" w:cs="Times New Roman"/>
                <w:b/>
                <w:bCs/>
                <w:color w:val="auto"/>
                <w:kern w:val="2"/>
                <w:sz w:val="21"/>
                <w:szCs w:val="21"/>
                <w:lang w:val="en-US" w:eastAsia="zh-CN" w:bidi="ar-SA"/>
              </w:rPr>
              <w:t>运输道路起尘源强估算结果</w:t>
            </w:r>
          </w:p>
          <w:tbl>
            <w:tblPr>
              <w:tblStyle w:val="46"/>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358"/>
              <w:gridCol w:w="3833"/>
            </w:tblGrid>
            <w:tr w14:paraId="7B8B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04" w:type="pct"/>
                  <w:shd w:val="clear" w:color="auto" w:fill="auto"/>
                  <w:noWrap w:val="0"/>
                  <w:vAlign w:val="center"/>
                </w:tcPr>
                <w:p w14:paraId="1A76EF3F">
                  <w:pPr>
                    <w:keepNext w:val="0"/>
                    <w:keepLines w:val="0"/>
                    <w:widowControl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扬尘源</w:t>
                  </w:r>
                </w:p>
              </w:tc>
              <w:tc>
                <w:tcPr>
                  <w:tcW w:w="1445" w:type="pct"/>
                  <w:shd w:val="clear" w:color="auto" w:fill="auto"/>
                  <w:noWrap w:val="0"/>
                  <w:vAlign w:val="center"/>
                </w:tcPr>
                <w:p w14:paraId="43B51877">
                  <w:pPr>
                    <w:keepNext w:val="0"/>
                    <w:keepLines w:val="0"/>
                    <w:widowControl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污染物类型</w:t>
                  </w:r>
                </w:p>
              </w:tc>
              <w:tc>
                <w:tcPr>
                  <w:tcW w:w="2349" w:type="pct"/>
                  <w:shd w:val="clear" w:color="auto" w:fill="auto"/>
                  <w:noWrap w:val="0"/>
                  <w:vAlign w:val="center"/>
                </w:tcPr>
                <w:p w14:paraId="045305CB">
                  <w:pPr>
                    <w:keepNext w:val="0"/>
                    <w:keepLines w:val="0"/>
                    <w:widowControl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污染源源强（t/a）</w:t>
                  </w:r>
                </w:p>
              </w:tc>
            </w:tr>
            <w:tr w14:paraId="5F1B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04" w:type="pct"/>
                  <w:shd w:val="clear" w:color="auto" w:fill="auto"/>
                  <w:noWrap w:val="0"/>
                  <w:vAlign w:val="center"/>
                </w:tcPr>
                <w:p w14:paraId="5FBE817D">
                  <w:pPr>
                    <w:keepNext w:val="0"/>
                    <w:keepLines w:val="0"/>
                    <w:widowControl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运输</w:t>
                  </w:r>
                  <w:r>
                    <w:rPr>
                      <w:rFonts w:hint="default" w:ascii="Times New Roman" w:hAnsi="Times New Roman" w:eastAsia="宋体" w:cs="Times New Roman"/>
                      <w:color w:val="auto"/>
                      <w:kern w:val="2"/>
                      <w:sz w:val="21"/>
                      <w:szCs w:val="21"/>
                      <w:u w:val="single"/>
                      <w:lang w:val="en-US" w:eastAsia="zh-CN" w:bidi="ar-SA"/>
                    </w:rPr>
                    <w:t>道路</w:t>
                  </w:r>
                </w:p>
              </w:tc>
              <w:tc>
                <w:tcPr>
                  <w:tcW w:w="1445" w:type="pct"/>
                  <w:shd w:val="clear" w:color="auto" w:fill="auto"/>
                  <w:noWrap w:val="0"/>
                  <w:vAlign w:val="center"/>
                </w:tcPr>
                <w:p w14:paraId="5EF6BEC9">
                  <w:pPr>
                    <w:keepNext w:val="0"/>
                    <w:keepLines w:val="0"/>
                    <w:widowControl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TSP</w:t>
                  </w:r>
                </w:p>
              </w:tc>
              <w:tc>
                <w:tcPr>
                  <w:tcW w:w="2349" w:type="pct"/>
                  <w:shd w:val="clear" w:color="auto" w:fill="auto"/>
                  <w:noWrap w:val="0"/>
                  <w:vAlign w:val="center"/>
                </w:tcPr>
                <w:p w14:paraId="28DBE22D">
                  <w:pPr>
                    <w:keepNext w:val="0"/>
                    <w:keepLines w:val="0"/>
                    <w:widowControl w:val="0"/>
                    <w:suppressLineNumbers w:val="0"/>
                    <w:spacing w:before="0" w:beforeAutospacing="0" w:after="0" w:afterAutospacing="0" w:line="280" w:lineRule="exact"/>
                    <w:ind w:left="0" w:right="0"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0.30</w:t>
                  </w:r>
                </w:p>
              </w:tc>
            </w:tr>
          </w:tbl>
          <w:p w14:paraId="12713C2A">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eastAsia="zh-CN"/>
              </w:rPr>
              <w:t>港内通风良好，车辆在怠速工况下</w:t>
            </w:r>
            <w:r>
              <w:rPr>
                <w:rFonts w:hint="eastAsia" w:ascii="Times New Roman" w:hAnsi="Times New Roman" w:eastAsia="宋体" w:cs="Times New Roman"/>
                <w:color w:val="auto"/>
                <w:sz w:val="24"/>
                <w:szCs w:val="24"/>
                <w:lang w:val="en-US" w:eastAsia="zh-CN"/>
              </w:rPr>
              <w:t>产生的运输扬尘</w:t>
            </w:r>
            <w:r>
              <w:rPr>
                <w:rFonts w:hint="eastAsia" w:ascii="Times New Roman" w:hAnsi="Times New Roman" w:eastAsia="宋体" w:cs="Times New Roman"/>
                <w:color w:val="auto"/>
                <w:sz w:val="24"/>
                <w:szCs w:val="24"/>
                <w:lang w:eastAsia="zh-CN"/>
              </w:rPr>
              <w:t>对外界环境的影响基本可以接受。</w:t>
            </w:r>
          </w:p>
          <w:p w14:paraId="1A3D871F">
            <w:pPr>
              <w:keepNext w:val="0"/>
              <w:keepLines w:val="0"/>
              <w:pageBreakBefore w:val="0"/>
              <w:widowControl w:val="0"/>
              <w:numPr>
                <w:ilvl w:val="0"/>
                <w:numId w:val="0"/>
              </w:numPr>
              <w:suppressLineNumbers w:val="0"/>
              <w:kinsoku/>
              <w:overflow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cs="Times New Roman"/>
                <w:color w:val="auto"/>
                <w:kern w:val="0"/>
                <w:sz w:val="24"/>
                <w:szCs w:val="21"/>
                <w:highlight w:val="none"/>
                <w:u w:val="none" w:color="auto"/>
                <w:lang w:val="en-US" w:eastAsia="zh-CN" w:bidi="ar"/>
              </w:rPr>
            </w:pPr>
            <w:r>
              <w:rPr>
                <w:rFonts w:hint="eastAsia" w:cs="Times New Roman"/>
                <w:color w:val="auto"/>
                <w:kern w:val="0"/>
                <w:sz w:val="24"/>
                <w:szCs w:val="21"/>
                <w:u w:color="auto"/>
                <w:lang w:val="en-US" w:eastAsia="zh-CN" w:bidi="ar"/>
              </w:rPr>
              <w:t>3、</w:t>
            </w:r>
            <w:r>
              <w:rPr>
                <w:rFonts w:hint="eastAsia" w:cs="Times New Roman"/>
                <w:color w:val="auto"/>
                <w:kern w:val="0"/>
                <w:sz w:val="24"/>
                <w:szCs w:val="21"/>
                <w:highlight w:val="none"/>
                <w:u w:val="none" w:color="auto"/>
                <w:lang w:val="en-US" w:eastAsia="zh-CN" w:bidi="ar"/>
              </w:rPr>
              <w:t>环境保护措施</w:t>
            </w:r>
          </w:p>
          <w:p w14:paraId="519003AA">
            <w:pPr>
              <w:keepNext w:val="0"/>
              <w:keepLines w:val="0"/>
              <w:pageBreakBefore w:val="0"/>
              <w:widowControl w:val="0"/>
              <w:numPr>
                <w:ilvl w:val="0"/>
                <w:numId w:val="0"/>
              </w:numPr>
              <w:suppressLineNumbers w:val="0"/>
              <w:kinsoku/>
              <w:overflow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根据调查，现状作业运输车辆尾气、运输扬尘主要采取的措施如下：</w:t>
            </w:r>
          </w:p>
          <w:p w14:paraId="2A40C13A">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（1）使用的运输车辆均为合格车辆，尾气排放满足汽车尾气排放要求；加强机械、车辆的维修保养，使用合格的燃油，使其充分燃烧，减少尾气中污染物的排放量。</w:t>
            </w:r>
          </w:p>
          <w:p w14:paraId="32E91970">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（2）</w:t>
            </w:r>
            <w:r>
              <w:rPr>
                <w:rFonts w:hint="eastAsia" w:cs="Times New Roman"/>
                <w:color w:val="auto"/>
                <w:kern w:val="0"/>
                <w:sz w:val="24"/>
                <w:szCs w:val="21"/>
                <w:highlight w:val="none"/>
                <w:u w:val="none" w:color="auto"/>
                <w:lang w:val="en-US" w:eastAsia="zh-CN" w:bidi="ar"/>
              </w:rPr>
              <w:t>项目</w:t>
            </w:r>
            <w:r>
              <w:rPr>
                <w:rFonts w:hint="eastAsia" w:ascii="Times New Roman" w:hAnsi="Times New Roman" w:eastAsia="宋体" w:cs="Times New Roman"/>
                <w:color w:val="auto"/>
                <w:kern w:val="0"/>
                <w:sz w:val="24"/>
                <w:szCs w:val="21"/>
                <w:highlight w:val="none"/>
                <w:u w:val="none" w:color="auto"/>
                <w:lang w:val="en-US" w:eastAsia="zh-CN" w:bidi="ar"/>
              </w:rPr>
              <w:t>装卸机械设备</w:t>
            </w:r>
            <w:r>
              <w:rPr>
                <w:rFonts w:hint="eastAsia" w:cs="Times New Roman"/>
                <w:color w:val="auto"/>
                <w:kern w:val="0"/>
                <w:sz w:val="24"/>
                <w:szCs w:val="21"/>
                <w:highlight w:val="none"/>
                <w:u w:val="none" w:color="auto"/>
                <w:lang w:val="en-US" w:eastAsia="zh-CN" w:bidi="ar"/>
              </w:rPr>
              <w:t>选用电动机械，</w:t>
            </w:r>
            <w:r>
              <w:rPr>
                <w:rFonts w:hint="eastAsia" w:ascii="Times New Roman" w:hAnsi="Times New Roman" w:eastAsia="宋体" w:cs="Times New Roman"/>
                <w:color w:val="auto"/>
                <w:kern w:val="0"/>
                <w:sz w:val="24"/>
                <w:szCs w:val="21"/>
                <w:highlight w:val="none"/>
                <w:u w:val="none" w:color="auto"/>
                <w:lang w:val="en-US" w:eastAsia="zh-CN" w:bidi="ar"/>
              </w:rPr>
              <w:t>选择符合国家标准的环保产品，以减少有害气体的排放量。加强机械的维修保养。</w:t>
            </w:r>
          </w:p>
          <w:p w14:paraId="43C327D4">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（3）集卡运输道路定期洒水降尘，减少铺装道路运输扬尘。</w:t>
            </w:r>
          </w:p>
          <w:p w14:paraId="7F701103">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kern w:val="0"/>
                <w:sz w:val="24"/>
                <w:szCs w:val="21"/>
                <w:highlight w:val="none"/>
                <w:u w:val="none" w:color="auto"/>
                <w:lang w:val="en-US" w:eastAsia="zh-CN" w:bidi="ar"/>
              </w:rPr>
              <w:t>本工程各大气污染物排放量较少，经采取上述措施后，大气污染物对区域环境影响不大。</w:t>
            </w:r>
          </w:p>
          <w:p w14:paraId="31C0F2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val="0"/>
                <w:bCs w:val="0"/>
                <w:color w:val="auto"/>
                <w:sz w:val="24"/>
                <w:szCs w:val="24"/>
                <w:highlight w:val="none"/>
                <w:u w:val="none" w:color="auto"/>
                <w:lang w:eastAsia="zh-CN"/>
              </w:rPr>
            </w:pPr>
            <w:r>
              <w:rPr>
                <w:rFonts w:hint="eastAsia" w:ascii="Times New Roman" w:hAnsi="Times New Roman" w:eastAsia="宋体" w:cs="Times New Roman"/>
                <w:b/>
                <w:bCs/>
                <w:color w:val="auto"/>
                <w:sz w:val="24"/>
                <w:highlight w:val="none"/>
                <w:u w:val="none" w:color="auto"/>
                <w:lang w:val="en-US" w:eastAsia="zh-CN"/>
              </w:rPr>
              <w:t>二</w:t>
            </w:r>
            <w:r>
              <w:rPr>
                <w:rFonts w:hint="default" w:ascii="Times New Roman" w:hAnsi="Times New Roman" w:eastAsia="宋体" w:cs="Times New Roman"/>
                <w:b/>
                <w:bCs/>
                <w:color w:val="auto"/>
                <w:sz w:val="24"/>
                <w:highlight w:val="none"/>
                <w:u w:val="none" w:color="auto"/>
                <w:lang w:val="en-US" w:eastAsia="zh-CN"/>
              </w:rPr>
              <w:t>、废水污染</w:t>
            </w:r>
            <w:r>
              <w:rPr>
                <w:rFonts w:hint="default" w:ascii="Times New Roman" w:hAnsi="Times New Roman" w:eastAsia="宋体" w:cs="Times New Roman"/>
                <w:b/>
                <w:color w:val="auto"/>
                <w:sz w:val="24"/>
                <w:highlight w:val="none"/>
                <w:u w:val="none" w:color="auto"/>
                <w:lang w:eastAsia="zh-CN"/>
              </w:rPr>
              <w:t>环境影响分析及保护措施</w:t>
            </w:r>
          </w:p>
          <w:p w14:paraId="111135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混堆场</w:t>
            </w:r>
            <w:r>
              <w:rPr>
                <w:rFonts w:hint="eastAsia" w:cs="Times New Roman"/>
                <w:color w:val="auto"/>
                <w:kern w:val="0"/>
                <w:sz w:val="24"/>
                <w:szCs w:val="21"/>
                <w:highlight w:val="none"/>
                <w:u w:val="none" w:color="auto"/>
                <w:lang w:val="en-US" w:eastAsia="zh-CN" w:bidi="ar"/>
              </w:rPr>
              <w:t>运营期</w:t>
            </w:r>
            <w:r>
              <w:rPr>
                <w:rFonts w:hint="eastAsia" w:ascii="Times New Roman" w:hAnsi="Times New Roman" w:eastAsia="宋体" w:cs="Times New Roman"/>
                <w:color w:val="auto"/>
                <w:kern w:val="0"/>
                <w:sz w:val="24"/>
                <w:szCs w:val="21"/>
                <w:highlight w:val="none"/>
                <w:u w:val="none" w:color="auto"/>
                <w:lang w:val="en-US" w:eastAsia="zh-CN" w:bidi="ar"/>
              </w:rPr>
              <w:t>产生的废水主要为工作人员生活污水及机修含油废水；项目不增加总吞吐量，不增加装卸时间，</w:t>
            </w:r>
            <w:r>
              <w:rPr>
                <w:rFonts w:hint="default" w:ascii="Times New Roman" w:hAnsi="Times New Roman" w:eastAsia="宋体" w:cs="Times New Roman"/>
                <w:color w:val="auto"/>
                <w:kern w:val="0"/>
                <w:sz w:val="24"/>
                <w:szCs w:val="21"/>
                <w:highlight w:val="none"/>
                <w:u w:val="none" w:color="auto"/>
                <w:lang w:val="en-US" w:eastAsia="en-US" w:bidi="ar"/>
              </w:rPr>
              <w:t>不新增</w:t>
            </w:r>
            <w:r>
              <w:rPr>
                <w:rFonts w:hint="eastAsia" w:ascii="Times New Roman" w:hAnsi="Times New Roman" w:eastAsia="宋体" w:cs="Times New Roman"/>
                <w:color w:val="auto"/>
                <w:kern w:val="0"/>
                <w:sz w:val="24"/>
                <w:szCs w:val="21"/>
                <w:highlight w:val="none"/>
                <w:u w:val="none" w:color="auto"/>
                <w:lang w:val="en-US" w:eastAsia="zh-CN" w:bidi="ar"/>
              </w:rPr>
              <w:t>机械</w:t>
            </w:r>
            <w:r>
              <w:rPr>
                <w:rFonts w:hint="default" w:ascii="Times New Roman" w:hAnsi="Times New Roman" w:eastAsia="宋体" w:cs="Times New Roman"/>
                <w:color w:val="auto"/>
                <w:kern w:val="0"/>
                <w:sz w:val="24"/>
                <w:szCs w:val="21"/>
                <w:highlight w:val="none"/>
                <w:u w:val="none" w:color="auto"/>
                <w:lang w:val="en-US" w:eastAsia="en-US" w:bidi="ar"/>
              </w:rPr>
              <w:t>设备</w:t>
            </w:r>
            <w:r>
              <w:rPr>
                <w:rFonts w:hint="eastAsia" w:ascii="Times New Roman" w:hAnsi="Times New Roman" w:eastAsia="宋体" w:cs="Times New Roman"/>
                <w:color w:val="auto"/>
                <w:kern w:val="0"/>
                <w:sz w:val="24"/>
                <w:szCs w:val="21"/>
                <w:highlight w:val="none"/>
                <w:u w:val="none" w:color="auto"/>
                <w:lang w:val="en-US" w:eastAsia="zh-CN" w:bidi="ar"/>
              </w:rPr>
              <w:t>及运输车辆，不新增劳动定员，因此不新增机修和冲洗的含油废水及生活污水。</w:t>
            </w:r>
            <w:r>
              <w:rPr>
                <w:rFonts w:hint="eastAsia" w:cs="Times New Roman"/>
                <w:color w:val="auto"/>
                <w:kern w:val="0"/>
                <w:sz w:val="24"/>
                <w:szCs w:val="21"/>
                <w:highlight w:val="none"/>
                <w:u w:val="none" w:color="auto"/>
                <w:lang w:val="en-US" w:eastAsia="zh-CN" w:bidi="ar"/>
              </w:rPr>
              <w:t>项目废水情况如下：</w:t>
            </w:r>
          </w:p>
          <w:p w14:paraId="1AB1ABA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aps w:val="0"/>
                <w:color w:val="auto"/>
                <w:sz w:val="24"/>
                <w:szCs w:val="22"/>
                <w:highlight w:val="none"/>
                <w:u w:val="single"/>
                <w:lang w:val="en-US" w:eastAsia="zh-CN"/>
              </w:rPr>
            </w:pPr>
            <w:r>
              <w:rPr>
                <w:rFonts w:hint="eastAsia" w:ascii="Times New Roman" w:hAnsi="Times New Roman" w:eastAsia="宋体" w:cs="Times New Roman"/>
                <w:b w:val="0"/>
                <w:bCs w:val="0"/>
                <w:caps w:val="0"/>
                <w:color w:val="auto"/>
                <w:sz w:val="24"/>
                <w:szCs w:val="22"/>
                <w:highlight w:val="none"/>
                <w:u w:val="single"/>
                <w:lang w:val="en-US" w:eastAsia="zh-CN"/>
              </w:rPr>
              <w:t>1、生活污水</w:t>
            </w:r>
          </w:p>
          <w:p w14:paraId="4A29E69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aps w:val="0"/>
                <w:color w:val="auto"/>
                <w:sz w:val="24"/>
                <w:szCs w:val="22"/>
                <w:highlight w:val="none"/>
                <w:u w:val="single"/>
              </w:rPr>
            </w:pPr>
            <w:r>
              <w:rPr>
                <w:rFonts w:hint="eastAsia" w:ascii="Times New Roman" w:hAnsi="Times New Roman" w:eastAsia="宋体" w:cs="Times New Roman"/>
                <w:caps w:val="0"/>
                <w:color w:val="auto"/>
                <w:sz w:val="24"/>
                <w:szCs w:val="22"/>
                <w:highlight w:val="none"/>
                <w:u w:val="single"/>
              </w:rPr>
              <w:t>项目</w:t>
            </w:r>
            <w:r>
              <w:rPr>
                <w:rFonts w:hint="eastAsia" w:ascii="Times New Roman" w:hAnsi="Times New Roman" w:eastAsia="宋体" w:cs="Times New Roman"/>
                <w:caps w:val="0"/>
                <w:color w:val="auto"/>
                <w:sz w:val="24"/>
                <w:szCs w:val="22"/>
                <w:highlight w:val="none"/>
                <w:u w:val="single"/>
                <w:lang w:val="en-US" w:eastAsia="zh-CN"/>
              </w:rPr>
              <w:t>不</w:t>
            </w:r>
            <w:r>
              <w:rPr>
                <w:rFonts w:hint="eastAsia" w:ascii="Times New Roman" w:hAnsi="Times New Roman" w:eastAsia="宋体" w:cs="Times New Roman"/>
                <w:caps w:val="0"/>
                <w:color w:val="auto"/>
                <w:sz w:val="24"/>
                <w:szCs w:val="22"/>
                <w:highlight w:val="none"/>
                <w:u w:val="single"/>
              </w:rPr>
              <w:t>新增</w:t>
            </w:r>
            <w:r>
              <w:rPr>
                <w:rFonts w:hint="eastAsia" w:ascii="Times New Roman" w:hAnsi="Times New Roman" w:eastAsia="宋体" w:cs="Times New Roman"/>
                <w:caps w:val="0"/>
                <w:color w:val="auto"/>
                <w:sz w:val="24"/>
                <w:szCs w:val="22"/>
                <w:highlight w:val="none"/>
                <w:u w:val="single"/>
                <w:lang w:val="en-US" w:eastAsia="zh-CN"/>
              </w:rPr>
              <w:t>劳动人员</w:t>
            </w:r>
            <w:r>
              <w:rPr>
                <w:rFonts w:hint="eastAsia" w:ascii="Times New Roman" w:hAnsi="Times New Roman" w:eastAsia="宋体" w:cs="Times New Roman"/>
                <w:caps w:val="0"/>
                <w:color w:val="auto"/>
                <w:sz w:val="24"/>
                <w:szCs w:val="22"/>
                <w:highlight w:val="none"/>
                <w:u w:val="single"/>
              </w:rPr>
              <w:t>，</w:t>
            </w:r>
            <w:r>
              <w:rPr>
                <w:rFonts w:hint="eastAsia" w:ascii="Times New Roman" w:hAnsi="Times New Roman" w:eastAsia="宋体" w:cs="Times New Roman"/>
                <w:caps w:val="0"/>
                <w:color w:val="auto"/>
                <w:sz w:val="24"/>
                <w:szCs w:val="22"/>
                <w:highlight w:val="none"/>
                <w:u w:val="single"/>
                <w:lang w:val="en-US" w:eastAsia="zh-CN"/>
              </w:rPr>
              <w:t>根据调查，负责项目堆场劳动人员约为5人，均不在厂区食宿，</w:t>
            </w:r>
            <w:r>
              <w:rPr>
                <w:rFonts w:hint="default" w:ascii="Times New Roman" w:hAnsi="Times New Roman" w:eastAsia="宋体" w:cs="Times New Roman"/>
                <w:caps w:val="0"/>
                <w:color w:val="auto"/>
                <w:sz w:val="24"/>
                <w:szCs w:val="22"/>
                <w:highlight w:val="none"/>
                <w:u w:val="single"/>
              </w:rPr>
              <w:t>员工生活废水</w:t>
            </w:r>
            <w:r>
              <w:rPr>
                <w:rFonts w:hint="default" w:ascii="Times New Roman" w:hAnsi="Times New Roman" w:eastAsia="宋体" w:cs="Times New Roman"/>
                <w:bCs/>
                <w:caps w:val="0"/>
                <w:color w:val="auto"/>
                <w:spacing w:val="-10"/>
                <w:sz w:val="24"/>
                <w:szCs w:val="22"/>
                <w:highlight w:val="none"/>
                <w:u w:val="single"/>
              </w:rPr>
              <w:t>主要污染物为</w:t>
            </w:r>
            <w:r>
              <w:rPr>
                <w:rFonts w:hint="default" w:ascii="Times New Roman" w:hAnsi="Times New Roman" w:eastAsia="宋体" w:cs="Times New Roman"/>
                <w:caps w:val="0"/>
                <w:color w:val="auto"/>
                <w:sz w:val="24"/>
                <w:szCs w:val="22"/>
                <w:highlight w:val="none"/>
                <w:u w:val="single"/>
              </w:rPr>
              <w:t>SS、COD、BOD</w:t>
            </w:r>
            <w:r>
              <w:rPr>
                <w:rFonts w:hint="default" w:ascii="Times New Roman" w:hAnsi="Times New Roman" w:eastAsia="宋体" w:cs="Times New Roman"/>
                <w:caps w:val="0"/>
                <w:color w:val="auto"/>
                <w:sz w:val="24"/>
                <w:szCs w:val="22"/>
                <w:highlight w:val="none"/>
                <w:u w:val="single"/>
                <w:vertAlign w:val="subscript"/>
              </w:rPr>
              <w:t>5</w:t>
            </w:r>
            <w:r>
              <w:rPr>
                <w:rFonts w:hint="default" w:ascii="Times New Roman" w:hAnsi="Times New Roman" w:eastAsia="宋体" w:cs="Times New Roman"/>
                <w:caps w:val="0"/>
                <w:color w:val="auto"/>
                <w:sz w:val="24"/>
                <w:szCs w:val="22"/>
                <w:highlight w:val="none"/>
                <w:u w:val="single"/>
              </w:rPr>
              <w:t>、NH</w:t>
            </w:r>
            <w:r>
              <w:rPr>
                <w:rFonts w:hint="default" w:ascii="Times New Roman" w:hAnsi="Times New Roman" w:eastAsia="宋体" w:cs="Times New Roman"/>
                <w:caps w:val="0"/>
                <w:color w:val="auto"/>
                <w:sz w:val="24"/>
                <w:szCs w:val="22"/>
                <w:highlight w:val="none"/>
                <w:u w:val="single"/>
                <w:vertAlign w:val="subscript"/>
              </w:rPr>
              <w:t>3</w:t>
            </w:r>
            <w:r>
              <w:rPr>
                <w:rFonts w:hint="default" w:ascii="Times New Roman" w:hAnsi="Times New Roman" w:eastAsia="宋体" w:cs="Times New Roman"/>
                <w:caps w:val="0"/>
                <w:color w:val="auto"/>
                <w:sz w:val="24"/>
                <w:szCs w:val="22"/>
                <w:highlight w:val="none"/>
                <w:u w:val="single"/>
              </w:rPr>
              <w:t>-N等。</w:t>
            </w:r>
            <w:r>
              <w:rPr>
                <w:rFonts w:hint="eastAsia" w:ascii="Times New Roman" w:hAnsi="Times New Roman" w:eastAsia="宋体" w:cs="Times New Roman"/>
                <w:caps w:val="0"/>
                <w:color w:val="auto"/>
                <w:sz w:val="24"/>
                <w:szCs w:val="22"/>
                <w:highlight w:val="none"/>
                <w:u w:val="single"/>
              </w:rPr>
              <w:t>根据2021年6月9日中华人民共和国生态环境部发布的《排放源统计调查产排污核算方法和系数手册》中的《生活源产排污核算方法和系数手册》，广西地理分区属于其中的“五区”。建设项目位于</w:t>
            </w:r>
            <w:r>
              <w:rPr>
                <w:rFonts w:hint="eastAsia" w:ascii="Times New Roman" w:hAnsi="Times New Roman" w:eastAsia="宋体" w:cs="Times New Roman"/>
                <w:caps w:val="0"/>
                <w:color w:val="auto"/>
                <w:sz w:val="24"/>
                <w:szCs w:val="22"/>
                <w:highlight w:val="none"/>
                <w:u w:val="single"/>
                <w:lang w:val="en-US" w:eastAsia="zh-CN"/>
              </w:rPr>
              <w:t>钦州市</w:t>
            </w:r>
            <w:r>
              <w:rPr>
                <w:rFonts w:hint="eastAsia" w:ascii="Times New Roman" w:hAnsi="Times New Roman" w:eastAsia="宋体" w:cs="Times New Roman"/>
                <w:caps w:val="0"/>
                <w:color w:val="auto"/>
                <w:sz w:val="24"/>
                <w:szCs w:val="22"/>
                <w:highlight w:val="none"/>
                <w:u w:val="single"/>
              </w:rPr>
              <w:t>，生活污水中污染物产生系数及产生量详见下表。</w:t>
            </w:r>
          </w:p>
          <w:p w14:paraId="589CF0A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2" w:firstLineChars="200"/>
              <w:jc w:val="center"/>
              <w:textAlignment w:val="auto"/>
              <w:rPr>
                <w:rFonts w:hint="default" w:ascii="Times New Roman" w:hAnsi="Times New Roman" w:eastAsia="宋体" w:cs="Times New Roman"/>
                <w:b/>
                <w:caps w:val="0"/>
                <w:color w:val="auto"/>
                <w:kern w:val="2"/>
                <w:sz w:val="21"/>
                <w:szCs w:val="21"/>
                <w:highlight w:val="none"/>
                <w:u w:val="single"/>
                <w:lang w:val="en-US" w:eastAsia="zh-CN" w:bidi="ar-SA"/>
              </w:rPr>
            </w:pPr>
            <w:r>
              <w:rPr>
                <w:rFonts w:hint="eastAsia" w:ascii="Times New Roman" w:hAnsi="Times New Roman" w:eastAsia="宋体" w:cs="Times New Roman"/>
                <w:b/>
                <w:caps w:val="0"/>
                <w:color w:val="auto"/>
                <w:kern w:val="2"/>
                <w:sz w:val="21"/>
                <w:szCs w:val="21"/>
                <w:highlight w:val="none"/>
                <w:u w:val="single"/>
                <w:lang w:val="en-US" w:eastAsia="zh-CN" w:bidi="ar-SA"/>
              </w:rPr>
              <w:t xml:space="preserve">表4-4  </w:t>
            </w:r>
            <w:r>
              <w:rPr>
                <w:rFonts w:hint="default" w:ascii="Times New Roman" w:hAnsi="Times New Roman" w:eastAsia="宋体" w:cs="Times New Roman"/>
                <w:b/>
                <w:caps w:val="0"/>
                <w:color w:val="auto"/>
                <w:kern w:val="2"/>
                <w:sz w:val="21"/>
                <w:szCs w:val="21"/>
                <w:highlight w:val="none"/>
                <w:u w:val="single"/>
                <w:lang w:val="en-US" w:eastAsia="zh-CN" w:bidi="ar-SA"/>
              </w:rPr>
              <w:t>城镇生活源水污染物产生系数表（五区）</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8"/>
              <w:gridCol w:w="2719"/>
              <w:gridCol w:w="2720"/>
            </w:tblGrid>
            <w:tr w14:paraId="331C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840" w:type="dxa"/>
                  <w:tcBorders>
                    <w:tl2br w:val="nil"/>
                    <w:tr2bl w:val="nil"/>
                  </w:tcBorders>
                  <w:noWrap w:val="0"/>
                  <w:vAlign w:val="center"/>
                </w:tcPr>
                <w:p w14:paraId="4A5EBF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single"/>
                    </w:rPr>
                  </w:pPr>
                  <w:r>
                    <w:rPr>
                      <w:rFonts w:hint="eastAsia" w:ascii="Times New Roman" w:hAnsi="Times New Roman" w:eastAsia="宋体" w:cs="Times New Roman"/>
                      <w:b/>
                      <w:bCs/>
                      <w:caps w:val="0"/>
                      <w:color w:val="auto"/>
                      <w:sz w:val="21"/>
                      <w:szCs w:val="21"/>
                      <w:highlight w:val="none"/>
                      <w:u w:val="single"/>
                    </w:rPr>
                    <w:t>指标名称</w:t>
                  </w:r>
                </w:p>
              </w:tc>
              <w:tc>
                <w:tcPr>
                  <w:tcW w:w="2841" w:type="dxa"/>
                  <w:tcBorders>
                    <w:tl2br w:val="nil"/>
                    <w:tr2bl w:val="nil"/>
                  </w:tcBorders>
                  <w:noWrap w:val="0"/>
                  <w:vAlign w:val="center"/>
                </w:tcPr>
                <w:p w14:paraId="4B581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single"/>
                    </w:rPr>
                  </w:pPr>
                  <w:r>
                    <w:rPr>
                      <w:rFonts w:hint="eastAsia" w:ascii="Times New Roman" w:hAnsi="Times New Roman" w:eastAsia="宋体" w:cs="Times New Roman"/>
                      <w:b/>
                      <w:bCs/>
                      <w:caps w:val="0"/>
                      <w:color w:val="auto"/>
                      <w:sz w:val="21"/>
                      <w:szCs w:val="21"/>
                      <w:highlight w:val="none"/>
                      <w:u w:val="single"/>
                    </w:rPr>
                    <w:t>单位</w:t>
                  </w:r>
                </w:p>
              </w:tc>
              <w:tc>
                <w:tcPr>
                  <w:tcW w:w="2841" w:type="dxa"/>
                  <w:tcBorders>
                    <w:tl2br w:val="nil"/>
                    <w:tr2bl w:val="nil"/>
                  </w:tcBorders>
                  <w:noWrap w:val="0"/>
                  <w:vAlign w:val="center"/>
                </w:tcPr>
                <w:p w14:paraId="32629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aps w:val="0"/>
                      <w:color w:val="auto"/>
                      <w:sz w:val="21"/>
                      <w:szCs w:val="21"/>
                      <w:highlight w:val="none"/>
                      <w:u w:val="single"/>
                    </w:rPr>
                  </w:pPr>
                  <w:r>
                    <w:rPr>
                      <w:rFonts w:hint="eastAsia" w:ascii="Times New Roman" w:hAnsi="Times New Roman" w:eastAsia="宋体" w:cs="Times New Roman"/>
                      <w:b/>
                      <w:bCs/>
                      <w:caps w:val="0"/>
                      <w:color w:val="auto"/>
                      <w:sz w:val="21"/>
                      <w:szCs w:val="21"/>
                      <w:highlight w:val="none"/>
                      <w:u w:val="single"/>
                    </w:rPr>
                    <w:t>产生系数</w:t>
                  </w:r>
                </w:p>
              </w:tc>
            </w:tr>
            <w:tr w14:paraId="61F0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noWrap w:val="0"/>
                  <w:vAlign w:val="center"/>
                </w:tcPr>
                <w:p w14:paraId="3F6A15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人均生活用水量</w:t>
                  </w:r>
                </w:p>
              </w:tc>
              <w:tc>
                <w:tcPr>
                  <w:tcW w:w="2841" w:type="dxa"/>
                  <w:tcBorders>
                    <w:tl2br w:val="nil"/>
                    <w:tr2bl w:val="nil"/>
                  </w:tcBorders>
                  <w:noWrap w:val="0"/>
                  <w:vAlign w:val="center"/>
                </w:tcPr>
                <w:p w14:paraId="7CF40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L/（人·d）</w:t>
                  </w:r>
                </w:p>
              </w:tc>
              <w:tc>
                <w:tcPr>
                  <w:tcW w:w="2841" w:type="dxa"/>
                  <w:tcBorders>
                    <w:tl2br w:val="nil"/>
                    <w:tr2bl w:val="nil"/>
                  </w:tcBorders>
                  <w:noWrap w:val="0"/>
                  <w:vAlign w:val="center"/>
                </w:tcPr>
                <w:p w14:paraId="4FE61C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240</w:t>
                  </w:r>
                </w:p>
              </w:tc>
            </w:tr>
            <w:tr w14:paraId="5C3A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noWrap w:val="0"/>
                  <w:vAlign w:val="center"/>
                </w:tcPr>
                <w:p w14:paraId="6EC805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折污系数</w:t>
                  </w:r>
                </w:p>
              </w:tc>
              <w:tc>
                <w:tcPr>
                  <w:tcW w:w="2841" w:type="dxa"/>
                  <w:tcBorders>
                    <w:tl2br w:val="nil"/>
                    <w:tr2bl w:val="nil"/>
                  </w:tcBorders>
                  <w:noWrap w:val="0"/>
                  <w:vAlign w:val="center"/>
                </w:tcPr>
                <w:p w14:paraId="1CA8D0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无量纲</w:t>
                  </w:r>
                </w:p>
              </w:tc>
              <w:tc>
                <w:tcPr>
                  <w:tcW w:w="2841" w:type="dxa"/>
                  <w:tcBorders>
                    <w:tl2br w:val="nil"/>
                    <w:tr2bl w:val="nil"/>
                  </w:tcBorders>
                  <w:noWrap w:val="0"/>
                  <w:vAlign w:val="center"/>
                </w:tcPr>
                <w:p w14:paraId="75F5D7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0.8</w:t>
                  </w:r>
                </w:p>
              </w:tc>
            </w:tr>
            <w:tr w14:paraId="11A9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noWrap w:val="0"/>
                  <w:vAlign w:val="center"/>
                </w:tcPr>
                <w:p w14:paraId="3D64CB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COD</w:t>
                  </w:r>
                </w:p>
              </w:tc>
              <w:tc>
                <w:tcPr>
                  <w:tcW w:w="2841" w:type="dxa"/>
                  <w:tcBorders>
                    <w:tl2br w:val="nil"/>
                    <w:tr2bl w:val="nil"/>
                  </w:tcBorders>
                  <w:noWrap w:val="0"/>
                  <w:vAlign w:val="center"/>
                </w:tcPr>
                <w:p w14:paraId="3F7F4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mg/L</w:t>
                  </w:r>
                </w:p>
              </w:tc>
              <w:tc>
                <w:tcPr>
                  <w:tcW w:w="2841" w:type="dxa"/>
                  <w:tcBorders>
                    <w:tl2br w:val="nil"/>
                    <w:tr2bl w:val="nil"/>
                  </w:tcBorders>
                  <w:noWrap w:val="0"/>
                  <w:vAlign w:val="center"/>
                </w:tcPr>
                <w:p w14:paraId="4E2F23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285</w:t>
                  </w:r>
                </w:p>
              </w:tc>
            </w:tr>
            <w:tr w14:paraId="62E4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noWrap w:val="0"/>
                  <w:vAlign w:val="center"/>
                </w:tcPr>
                <w:p w14:paraId="6952B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vertAlign w:val="superscript"/>
                    </w:rPr>
                  </w:pPr>
                  <w:r>
                    <w:rPr>
                      <w:rFonts w:hint="eastAsia" w:ascii="Times New Roman" w:hAnsi="Times New Roman" w:eastAsia="宋体" w:cs="Times New Roman"/>
                      <w:caps w:val="0"/>
                      <w:color w:val="auto"/>
                      <w:sz w:val="21"/>
                      <w:szCs w:val="21"/>
                      <w:highlight w:val="none"/>
                      <w:u w:val="single"/>
                    </w:rPr>
                    <w:t>BOD</w:t>
                  </w:r>
                  <w:r>
                    <w:rPr>
                      <w:rFonts w:hint="eastAsia" w:ascii="Times New Roman" w:hAnsi="Times New Roman" w:eastAsia="宋体" w:cs="Times New Roman"/>
                      <w:caps w:val="0"/>
                      <w:color w:val="auto"/>
                      <w:sz w:val="21"/>
                      <w:szCs w:val="21"/>
                      <w:highlight w:val="none"/>
                      <w:u w:val="single"/>
                      <w:vertAlign w:val="subscript"/>
                    </w:rPr>
                    <w:t>5</w:t>
                  </w:r>
                  <w:r>
                    <w:rPr>
                      <w:rFonts w:hint="eastAsia" w:ascii="Times New Roman" w:hAnsi="Times New Roman" w:eastAsia="宋体" w:cs="Times New Roman"/>
                      <w:caps w:val="0"/>
                      <w:color w:val="auto"/>
                      <w:sz w:val="21"/>
                      <w:szCs w:val="21"/>
                      <w:highlight w:val="none"/>
                      <w:u w:val="single"/>
                      <w:vertAlign w:val="superscript"/>
                    </w:rPr>
                    <w:t>a</w:t>
                  </w:r>
                </w:p>
              </w:tc>
              <w:tc>
                <w:tcPr>
                  <w:tcW w:w="2841" w:type="dxa"/>
                  <w:tcBorders>
                    <w:tl2br w:val="nil"/>
                    <w:tr2bl w:val="nil"/>
                  </w:tcBorders>
                  <w:noWrap w:val="0"/>
                  <w:vAlign w:val="center"/>
                </w:tcPr>
                <w:p w14:paraId="38F9BF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mg/L</w:t>
                  </w:r>
                </w:p>
              </w:tc>
              <w:tc>
                <w:tcPr>
                  <w:tcW w:w="2841" w:type="dxa"/>
                  <w:tcBorders>
                    <w:tl2br w:val="nil"/>
                    <w:tr2bl w:val="nil"/>
                  </w:tcBorders>
                  <w:noWrap w:val="0"/>
                  <w:vAlign w:val="center"/>
                </w:tcPr>
                <w:p w14:paraId="378C6B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123</w:t>
                  </w:r>
                </w:p>
              </w:tc>
            </w:tr>
            <w:tr w14:paraId="7341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noWrap w:val="0"/>
                  <w:vAlign w:val="center"/>
                </w:tcPr>
                <w:p w14:paraId="30E9B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NH</w:t>
                  </w:r>
                  <w:r>
                    <w:rPr>
                      <w:rFonts w:hint="eastAsia" w:ascii="Times New Roman" w:hAnsi="Times New Roman" w:eastAsia="宋体" w:cs="Times New Roman"/>
                      <w:caps w:val="0"/>
                      <w:color w:val="auto"/>
                      <w:sz w:val="21"/>
                      <w:szCs w:val="21"/>
                      <w:highlight w:val="none"/>
                      <w:u w:val="single"/>
                      <w:vertAlign w:val="subscript"/>
                    </w:rPr>
                    <w:t>3</w:t>
                  </w:r>
                  <w:r>
                    <w:rPr>
                      <w:rFonts w:hint="eastAsia" w:ascii="Times New Roman" w:hAnsi="Times New Roman" w:eastAsia="宋体" w:cs="Times New Roman"/>
                      <w:caps w:val="0"/>
                      <w:color w:val="auto"/>
                      <w:sz w:val="21"/>
                      <w:szCs w:val="21"/>
                      <w:highlight w:val="none"/>
                      <w:u w:val="single"/>
                    </w:rPr>
                    <w:t>-N</w:t>
                  </w:r>
                </w:p>
              </w:tc>
              <w:tc>
                <w:tcPr>
                  <w:tcW w:w="2841" w:type="dxa"/>
                  <w:tcBorders>
                    <w:tl2br w:val="nil"/>
                    <w:tr2bl w:val="nil"/>
                  </w:tcBorders>
                  <w:noWrap w:val="0"/>
                  <w:vAlign w:val="center"/>
                </w:tcPr>
                <w:p w14:paraId="04C686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mg/L</w:t>
                  </w:r>
                </w:p>
              </w:tc>
              <w:tc>
                <w:tcPr>
                  <w:tcW w:w="2841" w:type="dxa"/>
                  <w:tcBorders>
                    <w:tl2br w:val="nil"/>
                    <w:tr2bl w:val="nil"/>
                  </w:tcBorders>
                  <w:noWrap w:val="0"/>
                  <w:vAlign w:val="center"/>
                </w:tcPr>
                <w:p w14:paraId="6FEAB2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28.3</w:t>
                  </w:r>
                </w:p>
              </w:tc>
            </w:tr>
            <w:tr w14:paraId="7ECC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l2br w:val="nil"/>
                    <w:tr2bl w:val="nil"/>
                  </w:tcBorders>
                  <w:noWrap w:val="0"/>
                  <w:vAlign w:val="center"/>
                </w:tcPr>
                <w:p w14:paraId="5BE30E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vertAlign w:val="superscript"/>
                    </w:rPr>
                  </w:pPr>
                  <w:r>
                    <w:rPr>
                      <w:rFonts w:hint="eastAsia" w:ascii="Times New Roman" w:hAnsi="Times New Roman" w:eastAsia="宋体" w:cs="Times New Roman"/>
                      <w:caps w:val="0"/>
                      <w:color w:val="auto"/>
                      <w:sz w:val="21"/>
                      <w:szCs w:val="21"/>
                      <w:highlight w:val="none"/>
                      <w:u w:val="single"/>
                    </w:rPr>
                    <w:t>SS</w:t>
                  </w:r>
                  <w:r>
                    <w:rPr>
                      <w:rFonts w:hint="eastAsia" w:ascii="Times New Roman" w:hAnsi="Times New Roman" w:eastAsia="宋体" w:cs="Times New Roman"/>
                      <w:caps w:val="0"/>
                      <w:color w:val="auto"/>
                      <w:sz w:val="21"/>
                      <w:szCs w:val="21"/>
                      <w:highlight w:val="none"/>
                      <w:u w:val="single"/>
                      <w:vertAlign w:val="superscript"/>
                    </w:rPr>
                    <w:t>b</w:t>
                  </w:r>
                </w:p>
              </w:tc>
              <w:tc>
                <w:tcPr>
                  <w:tcW w:w="2841" w:type="dxa"/>
                  <w:tcBorders>
                    <w:tl2br w:val="nil"/>
                    <w:tr2bl w:val="nil"/>
                  </w:tcBorders>
                  <w:noWrap w:val="0"/>
                  <w:vAlign w:val="center"/>
                </w:tcPr>
                <w:p w14:paraId="735945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mg/L</w:t>
                  </w:r>
                </w:p>
              </w:tc>
              <w:tc>
                <w:tcPr>
                  <w:tcW w:w="2841" w:type="dxa"/>
                  <w:tcBorders>
                    <w:tl2br w:val="nil"/>
                    <w:tr2bl w:val="nil"/>
                  </w:tcBorders>
                  <w:noWrap w:val="0"/>
                  <w:vAlign w:val="center"/>
                </w:tcPr>
                <w:p w14:paraId="56F64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150</w:t>
                  </w:r>
                </w:p>
              </w:tc>
            </w:tr>
            <w:tr w14:paraId="4A87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Borders>
                    <w:tl2br w:val="nil"/>
                    <w:tr2bl w:val="nil"/>
                  </w:tcBorders>
                  <w:noWrap w:val="0"/>
                  <w:vAlign w:val="center"/>
                </w:tcPr>
                <w:p w14:paraId="2D6E0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aps w:val="0"/>
                      <w:color w:val="auto"/>
                      <w:sz w:val="21"/>
                      <w:szCs w:val="21"/>
                      <w:highlight w:val="none"/>
                      <w:u w:val="single"/>
                    </w:rPr>
                  </w:pPr>
                  <w:r>
                    <w:rPr>
                      <w:rFonts w:hint="eastAsia" w:ascii="Times New Roman" w:hAnsi="Times New Roman" w:eastAsia="宋体" w:cs="Times New Roman"/>
                      <w:caps w:val="0"/>
                      <w:color w:val="auto"/>
                      <w:sz w:val="21"/>
                      <w:szCs w:val="21"/>
                      <w:highlight w:val="none"/>
                      <w:u w:val="single"/>
                    </w:rPr>
                    <w:t>注：a</w:t>
                  </w:r>
                  <w:r>
                    <w:rPr>
                      <w:rFonts w:hint="eastAsia" w:ascii="Times New Roman" w:hAnsi="Times New Roman" w:eastAsia="宋体" w:cs="Times New Roman"/>
                      <w:caps w:val="0"/>
                      <w:color w:val="auto"/>
                      <w:sz w:val="21"/>
                      <w:szCs w:val="21"/>
                      <w:highlight w:val="none"/>
                      <w:u w:val="single"/>
                      <w:lang w:eastAsia="zh-CN"/>
                    </w:rPr>
                    <w:t>、</w:t>
                  </w:r>
                  <w:r>
                    <w:rPr>
                      <w:rFonts w:hint="eastAsia" w:ascii="Times New Roman" w:hAnsi="Times New Roman" w:eastAsia="宋体" w:cs="Times New Roman"/>
                      <w:caps w:val="0"/>
                      <w:color w:val="auto"/>
                      <w:sz w:val="21"/>
                      <w:szCs w:val="21"/>
                      <w:highlight w:val="none"/>
                      <w:u w:val="single"/>
                    </w:rPr>
                    <w:t>五日生化需氧量参考《第二次全国污染源普查产排污核算系数手册—生活污染源产排污系数手册》中的“五区-镇区”的产污系数平均值。</w:t>
                  </w:r>
                  <w:r>
                    <w:rPr>
                      <w:rFonts w:hint="eastAsia" w:ascii="Times New Roman" w:hAnsi="Times New Roman" w:eastAsia="宋体" w:cs="Times New Roman"/>
                      <w:caps w:val="0"/>
                      <w:color w:val="auto"/>
                      <w:sz w:val="21"/>
                      <w:szCs w:val="21"/>
                      <w:highlight w:val="none"/>
                      <w:u w:val="single"/>
                      <w:lang w:val="en-US" w:eastAsia="zh-CN"/>
                    </w:rPr>
                    <w:t>b</w:t>
                  </w:r>
                  <w:r>
                    <w:rPr>
                      <w:rFonts w:hint="eastAsia" w:ascii="Times New Roman" w:hAnsi="Times New Roman" w:eastAsia="宋体" w:cs="Times New Roman"/>
                      <w:caps w:val="0"/>
                      <w:color w:val="auto"/>
                      <w:sz w:val="21"/>
                      <w:szCs w:val="21"/>
                      <w:highlight w:val="none"/>
                      <w:u w:val="single"/>
                      <w:lang w:eastAsia="zh-CN"/>
                    </w:rPr>
                    <w:t>、</w:t>
                  </w:r>
                  <w:r>
                    <w:rPr>
                      <w:rFonts w:hint="eastAsia" w:ascii="Times New Roman" w:hAnsi="Times New Roman" w:eastAsia="宋体" w:cs="Times New Roman"/>
                      <w:caps w:val="0"/>
                      <w:color w:val="auto"/>
                      <w:sz w:val="21"/>
                      <w:szCs w:val="21"/>
                      <w:highlight w:val="none"/>
                      <w:u w:val="single"/>
                    </w:rPr>
                    <w:t>悬浮物为类比其他同类项目。</w:t>
                  </w:r>
                </w:p>
              </w:tc>
            </w:tr>
          </w:tbl>
          <w:p w14:paraId="76CCB12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bCs/>
                <w:caps w:val="0"/>
                <w:color w:val="auto"/>
                <w:sz w:val="24"/>
                <w:szCs w:val="24"/>
                <w:highlight w:val="none"/>
                <w:u w:val="single"/>
                <w:lang w:val="en-US" w:eastAsia="zh-CN"/>
              </w:rPr>
            </w:pPr>
            <w:r>
              <w:rPr>
                <w:rFonts w:hint="eastAsia" w:ascii="Times New Roman" w:hAnsi="Times New Roman" w:eastAsia="宋体" w:cs="Times New Roman"/>
                <w:caps w:val="0"/>
                <w:color w:val="auto"/>
                <w:sz w:val="24"/>
                <w:szCs w:val="22"/>
                <w:highlight w:val="none"/>
                <w:u w:val="single"/>
                <w:lang w:val="en-US" w:eastAsia="zh-CN"/>
              </w:rPr>
              <w:t>项目人员</w:t>
            </w:r>
            <w:r>
              <w:rPr>
                <w:rFonts w:hint="default" w:ascii="Times New Roman" w:hAnsi="Times New Roman" w:eastAsia="宋体" w:cs="Times New Roman"/>
                <w:caps w:val="0"/>
                <w:color w:val="auto"/>
                <w:sz w:val="24"/>
                <w:szCs w:val="22"/>
                <w:highlight w:val="none"/>
                <w:u w:val="single"/>
              </w:rPr>
              <w:t>按日用水量50L/人·d计，则生活用水量为</w:t>
            </w:r>
            <w:r>
              <w:rPr>
                <w:rFonts w:hint="eastAsia" w:ascii="Times New Roman" w:hAnsi="Times New Roman" w:eastAsia="宋体" w:cs="Times New Roman"/>
                <w:caps w:val="0"/>
                <w:color w:val="auto"/>
                <w:sz w:val="24"/>
                <w:szCs w:val="22"/>
                <w:highlight w:val="none"/>
                <w:u w:val="single"/>
                <w:lang w:val="en-US" w:eastAsia="zh-CN"/>
              </w:rPr>
              <w:t>0.25</w:t>
            </w:r>
            <w:r>
              <w:rPr>
                <w:rFonts w:hint="default" w:ascii="Times New Roman" w:hAnsi="Times New Roman" w:eastAsia="宋体" w:cs="Times New Roman"/>
                <w:caps w:val="0"/>
                <w:color w:val="auto"/>
                <w:sz w:val="24"/>
                <w:szCs w:val="22"/>
                <w:highlight w:val="none"/>
                <w:u w:val="single"/>
              </w:rPr>
              <w:t>m</w:t>
            </w:r>
            <w:r>
              <w:rPr>
                <w:rFonts w:hint="default" w:ascii="Times New Roman" w:hAnsi="Times New Roman" w:eastAsia="宋体" w:cs="Times New Roman"/>
                <w:caps w:val="0"/>
                <w:color w:val="auto"/>
                <w:sz w:val="24"/>
                <w:szCs w:val="22"/>
                <w:highlight w:val="none"/>
                <w:u w:val="single"/>
                <w:vertAlign w:val="superscript"/>
              </w:rPr>
              <w:t>3</w:t>
            </w:r>
            <w:r>
              <w:rPr>
                <w:rFonts w:hint="default" w:ascii="Times New Roman" w:hAnsi="Times New Roman" w:eastAsia="宋体" w:cs="Times New Roman"/>
                <w:caps w:val="0"/>
                <w:color w:val="auto"/>
                <w:sz w:val="24"/>
                <w:szCs w:val="22"/>
                <w:highlight w:val="none"/>
                <w:u w:val="single"/>
              </w:rPr>
              <w:t>/d，排放系数取0.8，则生活污水产生量为</w:t>
            </w:r>
            <w:r>
              <w:rPr>
                <w:rFonts w:hint="eastAsia" w:ascii="Times New Roman" w:hAnsi="Times New Roman" w:eastAsia="宋体" w:cs="Times New Roman"/>
                <w:caps w:val="0"/>
                <w:color w:val="auto"/>
                <w:sz w:val="24"/>
                <w:szCs w:val="22"/>
                <w:highlight w:val="none"/>
                <w:u w:val="single"/>
                <w:lang w:val="en-US" w:eastAsia="zh-CN"/>
              </w:rPr>
              <w:t>0.2</w:t>
            </w:r>
            <w:r>
              <w:rPr>
                <w:rFonts w:hint="default" w:ascii="Times New Roman" w:hAnsi="Times New Roman" w:eastAsia="宋体" w:cs="Times New Roman"/>
                <w:caps w:val="0"/>
                <w:color w:val="auto"/>
                <w:sz w:val="24"/>
                <w:szCs w:val="22"/>
                <w:highlight w:val="none"/>
                <w:u w:val="single"/>
              </w:rPr>
              <w:t>m</w:t>
            </w:r>
            <w:r>
              <w:rPr>
                <w:rFonts w:hint="default" w:ascii="Times New Roman" w:hAnsi="Times New Roman" w:eastAsia="宋体" w:cs="Times New Roman"/>
                <w:caps w:val="0"/>
                <w:color w:val="auto"/>
                <w:sz w:val="24"/>
                <w:szCs w:val="22"/>
                <w:highlight w:val="none"/>
                <w:u w:val="single"/>
                <w:vertAlign w:val="superscript"/>
              </w:rPr>
              <w:t>3</w:t>
            </w:r>
            <w:r>
              <w:rPr>
                <w:rFonts w:hint="default" w:ascii="Times New Roman" w:hAnsi="Times New Roman" w:eastAsia="宋体" w:cs="Times New Roman"/>
                <w:caps w:val="0"/>
                <w:color w:val="auto"/>
                <w:sz w:val="24"/>
                <w:szCs w:val="22"/>
                <w:highlight w:val="none"/>
                <w:u w:val="single"/>
              </w:rPr>
              <w:t>/d。</w:t>
            </w:r>
            <w:r>
              <w:rPr>
                <w:rFonts w:hint="eastAsia" w:ascii="Times New Roman" w:hAnsi="Times New Roman" w:eastAsia="宋体" w:cs="Times New Roman"/>
                <w:caps w:val="0"/>
                <w:color w:val="auto"/>
                <w:sz w:val="24"/>
                <w:szCs w:val="22"/>
                <w:u w:val="single"/>
              </w:rPr>
              <w:t>生活污水经化粪池收集后</w:t>
            </w:r>
            <w:r>
              <w:rPr>
                <w:rFonts w:hint="eastAsia" w:ascii="Times New Roman" w:hAnsi="Times New Roman" w:eastAsia="宋体" w:cs="Times New Roman"/>
                <w:caps w:val="0"/>
                <w:color w:val="auto"/>
                <w:sz w:val="24"/>
                <w:szCs w:val="22"/>
                <w:u w:val="single"/>
                <w:lang w:eastAsia="zh-CN"/>
              </w:rPr>
              <w:t>，</w:t>
            </w:r>
            <w:r>
              <w:rPr>
                <w:rFonts w:hint="eastAsia" w:ascii="Times New Roman" w:hAnsi="Times New Roman" w:eastAsia="宋体" w:cs="Times New Roman"/>
                <w:caps w:val="0"/>
                <w:color w:val="auto"/>
                <w:sz w:val="24"/>
                <w:szCs w:val="22"/>
                <w:highlight w:val="none"/>
                <w:u w:val="single"/>
              </w:rPr>
              <w:t>接入市政污水管道，排入大榄坪污水处理厂</w:t>
            </w:r>
            <w:r>
              <w:rPr>
                <w:rFonts w:hint="eastAsia" w:ascii="Times New Roman" w:hAnsi="Times New Roman" w:eastAsia="宋体" w:cs="Times New Roman"/>
                <w:caps w:val="0"/>
                <w:color w:val="auto"/>
                <w:sz w:val="24"/>
                <w:szCs w:val="22"/>
                <w:highlight w:val="none"/>
                <w:u w:val="single"/>
                <w:lang w:val="en-US" w:eastAsia="zh-CN"/>
              </w:rPr>
              <w:t>。</w:t>
            </w:r>
          </w:p>
          <w:p w14:paraId="23F3D06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aps w:val="0"/>
                <w:color w:val="auto"/>
                <w:sz w:val="24"/>
                <w:szCs w:val="24"/>
                <w:highlight w:val="none"/>
                <w:u w:val="single"/>
              </w:rPr>
            </w:pPr>
            <w:r>
              <w:rPr>
                <w:rFonts w:hint="eastAsia" w:ascii="Times New Roman" w:hAnsi="Times New Roman" w:eastAsia="宋体" w:cs="Times New Roman"/>
                <w:b w:val="0"/>
                <w:bCs w:val="0"/>
                <w:caps w:val="0"/>
                <w:color w:val="auto"/>
                <w:sz w:val="24"/>
                <w:szCs w:val="24"/>
                <w:highlight w:val="none"/>
                <w:u w:val="single"/>
                <w:lang w:val="en-US" w:eastAsia="zh-CN"/>
              </w:rPr>
              <w:t>2、</w:t>
            </w:r>
            <w:r>
              <w:rPr>
                <w:rFonts w:hint="eastAsia" w:ascii="Times New Roman" w:hAnsi="Times New Roman" w:eastAsia="宋体" w:cs="Times New Roman"/>
                <w:b w:val="0"/>
                <w:bCs w:val="0"/>
                <w:caps w:val="0"/>
                <w:color w:val="auto"/>
                <w:sz w:val="24"/>
                <w:szCs w:val="24"/>
                <w:highlight w:val="none"/>
                <w:u w:val="single"/>
              </w:rPr>
              <w:t>机修废水</w:t>
            </w:r>
          </w:p>
          <w:p w14:paraId="0748EB9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aps w:val="0"/>
                <w:color w:val="auto"/>
                <w:sz w:val="24"/>
                <w:szCs w:val="22"/>
                <w:highlight w:val="none"/>
                <w:u w:val="single"/>
                <w:lang w:val="en-US" w:eastAsia="zh-CN"/>
              </w:rPr>
            </w:pPr>
            <w:r>
              <w:rPr>
                <w:rFonts w:hint="eastAsia" w:ascii="Times New Roman" w:hAnsi="Times New Roman" w:eastAsia="宋体" w:cs="Times New Roman"/>
                <w:caps w:val="0"/>
                <w:color w:val="auto"/>
                <w:sz w:val="24"/>
                <w:szCs w:val="24"/>
                <w:highlight w:val="none"/>
                <w:u w:val="single"/>
              </w:rPr>
              <w:t>本项目</w:t>
            </w:r>
            <w:r>
              <w:rPr>
                <w:rFonts w:hint="eastAsia" w:ascii="Times New Roman" w:hAnsi="Times New Roman" w:eastAsia="宋体" w:cs="Times New Roman"/>
                <w:caps w:val="0"/>
                <w:color w:val="auto"/>
                <w:sz w:val="24"/>
                <w:szCs w:val="24"/>
                <w:highlight w:val="none"/>
                <w:u w:val="single"/>
                <w:lang w:val="en-US" w:eastAsia="zh-CN"/>
              </w:rPr>
              <w:t>不</w:t>
            </w:r>
            <w:r>
              <w:rPr>
                <w:rFonts w:hint="eastAsia" w:ascii="Times New Roman" w:hAnsi="Times New Roman" w:eastAsia="宋体" w:cs="Times New Roman"/>
                <w:caps w:val="0"/>
                <w:color w:val="auto"/>
                <w:sz w:val="24"/>
                <w:szCs w:val="24"/>
                <w:highlight w:val="none"/>
                <w:u w:val="single"/>
              </w:rPr>
              <w:t>新增机械设备，</w:t>
            </w:r>
            <w:r>
              <w:rPr>
                <w:rFonts w:hint="eastAsia" w:ascii="Times New Roman" w:hAnsi="Times New Roman" w:eastAsia="宋体" w:cs="Times New Roman"/>
                <w:caps w:val="0"/>
                <w:color w:val="auto"/>
                <w:sz w:val="24"/>
                <w:szCs w:val="24"/>
                <w:highlight w:val="none"/>
                <w:u w:val="single"/>
                <w:lang w:val="en-US" w:eastAsia="zh-CN"/>
              </w:rPr>
              <w:t>根据调查，负责项目堆场机械设备约为6台，类比</w:t>
            </w:r>
            <w:r>
              <w:rPr>
                <w:rFonts w:hint="eastAsia" w:ascii="Times New Roman" w:hAnsi="Times New Roman" w:eastAsia="宋体" w:cs="Times New Roman"/>
                <w:caps w:val="0"/>
                <w:color w:val="auto"/>
                <w:sz w:val="24"/>
                <w:szCs w:val="24"/>
                <w:highlight w:val="none"/>
                <w:u w:val="single"/>
              </w:rPr>
              <w:t>现有工程机修废水产生量为</w:t>
            </w:r>
            <w:r>
              <w:rPr>
                <w:rFonts w:hint="eastAsia" w:ascii="Times New Roman" w:hAnsi="Times New Roman" w:eastAsia="宋体" w:cs="Times New Roman"/>
                <w:caps w:val="0"/>
                <w:color w:val="auto"/>
                <w:sz w:val="24"/>
                <w:szCs w:val="24"/>
                <w:highlight w:val="none"/>
                <w:u w:val="single"/>
                <w:lang w:val="en-US" w:eastAsia="zh-CN"/>
              </w:rPr>
              <w:t>0.2</w:t>
            </w:r>
            <w:r>
              <w:rPr>
                <w:rFonts w:hint="eastAsia" w:ascii="Times New Roman" w:hAnsi="Times New Roman" w:eastAsia="宋体" w:cs="Times New Roman"/>
                <w:caps w:val="0"/>
                <w:color w:val="auto"/>
                <w:sz w:val="24"/>
                <w:szCs w:val="24"/>
                <w:highlight w:val="none"/>
                <w:u w:val="single"/>
              </w:rPr>
              <w:t>m</w:t>
            </w:r>
            <w:r>
              <w:rPr>
                <w:rFonts w:hint="eastAsia" w:ascii="Times New Roman" w:hAnsi="Times New Roman" w:eastAsia="宋体" w:cs="Times New Roman"/>
                <w:caps w:val="0"/>
                <w:color w:val="auto"/>
                <w:sz w:val="24"/>
                <w:szCs w:val="24"/>
                <w:highlight w:val="none"/>
                <w:u w:val="single"/>
                <w:vertAlign w:val="superscript"/>
              </w:rPr>
              <w:t>3</w:t>
            </w:r>
            <w:r>
              <w:rPr>
                <w:rFonts w:hint="eastAsia" w:ascii="Times New Roman" w:hAnsi="Times New Roman" w:eastAsia="宋体" w:cs="Times New Roman"/>
                <w:caps w:val="0"/>
                <w:color w:val="auto"/>
                <w:sz w:val="24"/>
                <w:szCs w:val="24"/>
                <w:highlight w:val="none"/>
                <w:u w:val="single"/>
              </w:rPr>
              <w:t>/d，</w:t>
            </w:r>
            <w:r>
              <w:rPr>
                <w:rFonts w:hint="eastAsia" w:ascii="Times New Roman" w:hAnsi="Times New Roman" w:eastAsia="宋体" w:cs="Times New Roman"/>
                <w:caps w:val="0"/>
                <w:color w:val="auto"/>
                <w:sz w:val="24"/>
                <w:szCs w:val="24"/>
                <w:highlight w:val="none"/>
                <w:u w:val="single"/>
                <w:lang w:val="en-US" w:eastAsia="zh-CN"/>
              </w:rPr>
              <w:t>项目</w:t>
            </w:r>
            <w:r>
              <w:rPr>
                <w:rFonts w:hint="eastAsia" w:ascii="Times New Roman" w:hAnsi="Times New Roman" w:eastAsia="宋体" w:cs="Times New Roman"/>
                <w:caps w:val="0"/>
                <w:color w:val="auto"/>
                <w:sz w:val="24"/>
                <w:szCs w:val="24"/>
                <w:highlight w:val="none"/>
                <w:u w:val="single"/>
              </w:rPr>
              <w:t>机修废水</w:t>
            </w:r>
            <w:r>
              <w:rPr>
                <w:rFonts w:hint="eastAsia" w:ascii="Times New Roman" w:hAnsi="Times New Roman" w:eastAsia="宋体" w:cs="Times New Roman"/>
                <w:caps w:val="0"/>
                <w:color w:val="auto"/>
                <w:sz w:val="24"/>
                <w:szCs w:val="24"/>
                <w:highlight w:val="none"/>
                <w:u w:val="single"/>
                <w:lang w:val="en-US" w:eastAsia="zh-CN"/>
              </w:rPr>
              <w:t>产生量为66</w:t>
            </w:r>
            <w:r>
              <w:rPr>
                <w:rFonts w:hint="eastAsia" w:ascii="Times New Roman" w:hAnsi="Times New Roman" w:eastAsia="宋体" w:cs="Times New Roman"/>
                <w:caps w:val="0"/>
                <w:color w:val="auto"/>
                <w:sz w:val="24"/>
                <w:szCs w:val="24"/>
                <w:highlight w:val="none"/>
                <w:u w:val="single"/>
              </w:rPr>
              <w:t>m</w:t>
            </w:r>
            <w:r>
              <w:rPr>
                <w:rFonts w:hint="eastAsia" w:ascii="Times New Roman" w:hAnsi="Times New Roman" w:eastAsia="宋体" w:cs="Times New Roman"/>
                <w:caps w:val="0"/>
                <w:color w:val="auto"/>
                <w:sz w:val="24"/>
                <w:szCs w:val="24"/>
                <w:highlight w:val="none"/>
                <w:u w:val="single"/>
                <w:vertAlign w:val="superscript"/>
              </w:rPr>
              <w:t>3</w:t>
            </w:r>
            <w:r>
              <w:rPr>
                <w:rFonts w:hint="eastAsia" w:ascii="Times New Roman" w:hAnsi="Times New Roman" w:eastAsia="宋体" w:cs="Times New Roman"/>
                <w:caps w:val="0"/>
                <w:color w:val="auto"/>
                <w:sz w:val="24"/>
                <w:szCs w:val="24"/>
                <w:highlight w:val="none"/>
                <w:u w:val="single"/>
              </w:rPr>
              <w:t>/</w:t>
            </w:r>
            <w:r>
              <w:rPr>
                <w:rFonts w:hint="eastAsia" w:ascii="Times New Roman" w:hAnsi="Times New Roman" w:eastAsia="宋体" w:cs="Times New Roman"/>
                <w:caps w:val="0"/>
                <w:color w:val="auto"/>
                <w:sz w:val="24"/>
                <w:szCs w:val="24"/>
                <w:highlight w:val="none"/>
                <w:u w:val="single"/>
                <w:lang w:val="en-US" w:eastAsia="zh-CN"/>
              </w:rPr>
              <w:t>a</w:t>
            </w:r>
            <w:r>
              <w:rPr>
                <w:rFonts w:hint="eastAsia" w:ascii="Times New Roman" w:hAnsi="Times New Roman" w:eastAsia="宋体" w:cs="Times New Roman"/>
                <w:caps w:val="0"/>
                <w:color w:val="auto"/>
                <w:sz w:val="24"/>
                <w:szCs w:val="24"/>
                <w:highlight w:val="none"/>
                <w:u w:val="single"/>
              </w:rPr>
              <w:t>，</w:t>
            </w:r>
            <w:r>
              <w:rPr>
                <w:rFonts w:hint="eastAsia" w:ascii="Times New Roman" w:hAnsi="Times New Roman" w:eastAsia="宋体" w:cs="Times New Roman"/>
                <w:caps w:val="0"/>
                <w:color w:val="auto"/>
                <w:sz w:val="24"/>
                <w:szCs w:val="22"/>
                <w:highlight w:val="none"/>
                <w:u w:val="single"/>
              </w:rPr>
              <w:t>主要污染物为COD、石油类、悬浮物等</w:t>
            </w:r>
            <w:r>
              <w:rPr>
                <w:rFonts w:hint="eastAsia" w:ascii="Times New Roman" w:hAnsi="Times New Roman" w:eastAsia="宋体" w:cs="Times New Roman"/>
                <w:caps w:val="0"/>
                <w:color w:val="auto"/>
                <w:sz w:val="24"/>
                <w:szCs w:val="22"/>
                <w:highlight w:val="none"/>
                <w:u w:val="single"/>
                <w:lang w:eastAsia="zh-CN"/>
              </w:rPr>
              <w:t>。</w:t>
            </w:r>
            <w:r>
              <w:rPr>
                <w:rFonts w:hint="eastAsia" w:ascii="Times New Roman" w:hAnsi="Times New Roman" w:eastAsia="宋体" w:cs="Times New Roman"/>
                <w:caps w:val="0"/>
                <w:color w:val="auto"/>
                <w:sz w:val="24"/>
                <w:szCs w:val="22"/>
                <w:highlight w:val="none"/>
                <w:u w:val="single"/>
                <w:lang w:val="en-US" w:eastAsia="zh-CN"/>
              </w:rPr>
              <w:t>根据类比现有工程，本项目机修废水产生及排放情况详见下表。</w:t>
            </w:r>
          </w:p>
          <w:p w14:paraId="5E8EE975">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u w:val="single"/>
                <w:lang w:val="en-US" w:eastAsia="zh-CN"/>
              </w:rPr>
            </w:pPr>
            <w:r>
              <w:rPr>
                <w:rFonts w:hint="eastAsia" w:ascii="Times New Roman" w:hAnsi="Times New Roman" w:eastAsia="宋体" w:cs="Times New Roman"/>
                <w:b/>
                <w:bCs/>
                <w:caps w:val="0"/>
                <w:color w:val="auto"/>
                <w:sz w:val="21"/>
                <w:szCs w:val="21"/>
                <w:u w:val="single"/>
                <w:lang w:val="en-US" w:eastAsia="zh-CN"/>
              </w:rPr>
              <w:t xml:space="preserve">表4-5  </w:t>
            </w:r>
            <w:r>
              <w:rPr>
                <w:rFonts w:hint="default" w:ascii="Times New Roman" w:hAnsi="Times New Roman" w:eastAsia="宋体" w:cs="Times New Roman"/>
                <w:b/>
                <w:bCs/>
                <w:caps w:val="0"/>
                <w:color w:val="auto"/>
                <w:sz w:val="21"/>
                <w:szCs w:val="21"/>
                <w:u w:val="single"/>
              </w:rPr>
              <w:t>项目</w:t>
            </w:r>
            <w:r>
              <w:rPr>
                <w:rFonts w:hint="eastAsia" w:ascii="Times New Roman" w:hAnsi="Times New Roman" w:eastAsia="宋体" w:cs="Times New Roman"/>
                <w:b/>
                <w:bCs/>
                <w:caps w:val="0"/>
                <w:color w:val="auto"/>
                <w:sz w:val="21"/>
                <w:szCs w:val="21"/>
                <w:u w:val="single"/>
                <w:lang w:val="en-US" w:eastAsia="zh-CN"/>
              </w:rPr>
              <w:t>机修废水</w:t>
            </w:r>
            <w:r>
              <w:rPr>
                <w:rFonts w:hint="default" w:ascii="Times New Roman" w:hAnsi="Times New Roman" w:eastAsia="宋体" w:cs="Times New Roman"/>
                <w:b/>
                <w:bCs/>
                <w:caps w:val="0"/>
                <w:color w:val="auto"/>
                <w:sz w:val="21"/>
                <w:szCs w:val="21"/>
                <w:u w:val="single"/>
              </w:rPr>
              <w:t>主要污染物产生</w:t>
            </w:r>
            <w:r>
              <w:rPr>
                <w:rFonts w:hint="eastAsia" w:ascii="Times New Roman" w:hAnsi="Times New Roman" w:eastAsia="宋体" w:cs="Times New Roman"/>
                <w:b/>
                <w:bCs/>
                <w:caps w:val="0"/>
                <w:color w:val="auto"/>
                <w:sz w:val="21"/>
                <w:szCs w:val="21"/>
                <w:u w:val="single"/>
                <w:lang w:val="en-US" w:eastAsia="zh-CN"/>
              </w:rPr>
              <w:t>及排放情况表</w:t>
            </w:r>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4021"/>
              <w:gridCol w:w="1200"/>
              <w:gridCol w:w="1007"/>
              <w:gridCol w:w="910"/>
            </w:tblGrid>
            <w:tr w14:paraId="3B2D74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4" w:type="dxa"/>
                  <w:tcBorders>
                    <w:tl2br w:val="nil"/>
                    <w:tr2bl w:val="nil"/>
                  </w:tcBorders>
                  <w:noWrap w:val="0"/>
                  <w:vAlign w:val="center"/>
                </w:tcPr>
                <w:p w14:paraId="39640FD7">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default" w:ascii="Times New Roman" w:hAnsi="Times New Roman" w:eastAsia="宋体" w:cs="Times New Roman"/>
                      <w:bCs/>
                      <w:caps w:val="0"/>
                      <w:color w:val="auto"/>
                      <w:kern w:val="0"/>
                      <w:sz w:val="21"/>
                      <w:szCs w:val="21"/>
                      <w:u w:val="single"/>
                      <w:lang w:val="en-US" w:eastAsia="en-US" w:bidi="ar-SA"/>
                    </w:rPr>
                    <w:t>类型</w:t>
                  </w:r>
                </w:p>
              </w:tc>
              <w:tc>
                <w:tcPr>
                  <w:tcW w:w="4021" w:type="dxa"/>
                  <w:tcBorders>
                    <w:tl2br w:val="nil"/>
                    <w:tr2bl w:val="nil"/>
                  </w:tcBorders>
                  <w:noWrap w:val="0"/>
                  <w:vAlign w:val="center"/>
                </w:tcPr>
                <w:p w14:paraId="0785023C">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default" w:ascii="Times New Roman" w:hAnsi="Times New Roman" w:eastAsia="宋体" w:cs="Times New Roman"/>
                      <w:bCs/>
                      <w:caps w:val="0"/>
                      <w:color w:val="auto"/>
                      <w:kern w:val="0"/>
                      <w:sz w:val="21"/>
                      <w:szCs w:val="21"/>
                      <w:u w:val="single"/>
                      <w:lang w:val="en-US" w:eastAsia="en-US" w:bidi="ar-SA"/>
                    </w:rPr>
                    <w:t>项目</w:t>
                  </w:r>
                </w:p>
              </w:tc>
              <w:tc>
                <w:tcPr>
                  <w:tcW w:w="1200" w:type="dxa"/>
                  <w:tcBorders>
                    <w:tl2br w:val="nil"/>
                    <w:tr2bl w:val="nil"/>
                  </w:tcBorders>
                  <w:noWrap w:val="0"/>
                  <w:vAlign w:val="center"/>
                </w:tcPr>
                <w:p w14:paraId="6A857C50">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default" w:ascii="Times New Roman" w:hAnsi="Times New Roman" w:eastAsia="宋体" w:cs="Times New Roman"/>
                      <w:bCs/>
                      <w:caps w:val="0"/>
                      <w:color w:val="auto"/>
                      <w:kern w:val="0"/>
                      <w:sz w:val="21"/>
                      <w:szCs w:val="21"/>
                      <w:u w:val="single"/>
                      <w:lang w:val="en-US" w:eastAsia="en-US" w:bidi="ar-SA"/>
                    </w:rPr>
                    <w:t>COD</w:t>
                  </w:r>
                </w:p>
              </w:tc>
              <w:tc>
                <w:tcPr>
                  <w:tcW w:w="1007" w:type="dxa"/>
                  <w:tcBorders>
                    <w:tl2br w:val="nil"/>
                    <w:tr2bl w:val="nil"/>
                  </w:tcBorders>
                  <w:noWrap w:val="0"/>
                  <w:vAlign w:val="center"/>
                </w:tcPr>
                <w:p w14:paraId="24D03249">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default" w:ascii="Times New Roman" w:hAnsi="Times New Roman" w:eastAsia="宋体" w:cs="Times New Roman"/>
                      <w:bCs/>
                      <w:caps w:val="0"/>
                      <w:color w:val="auto"/>
                      <w:kern w:val="0"/>
                      <w:sz w:val="21"/>
                      <w:szCs w:val="21"/>
                      <w:u w:val="single"/>
                      <w:lang w:val="en-US" w:eastAsia="en-US" w:bidi="ar-SA"/>
                    </w:rPr>
                    <w:t>石油类</w:t>
                  </w:r>
                </w:p>
              </w:tc>
              <w:tc>
                <w:tcPr>
                  <w:tcW w:w="910" w:type="dxa"/>
                  <w:tcBorders>
                    <w:tl2br w:val="nil"/>
                    <w:tr2bl w:val="nil"/>
                  </w:tcBorders>
                  <w:noWrap w:val="0"/>
                  <w:vAlign w:val="top"/>
                </w:tcPr>
                <w:p w14:paraId="0EBF4A2D">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eastAsia" w:ascii="Times New Roman" w:hAnsi="Times New Roman" w:eastAsia="宋体" w:cs="Times New Roman"/>
                      <w:bCs/>
                      <w:caps w:val="0"/>
                      <w:color w:val="auto"/>
                      <w:kern w:val="0"/>
                      <w:sz w:val="21"/>
                      <w:szCs w:val="21"/>
                      <w:u w:val="single"/>
                      <w:lang w:val="en-US" w:eastAsia="zh-CN" w:bidi="ar-SA"/>
                    </w:rPr>
                    <w:t>SS</w:t>
                  </w:r>
                </w:p>
              </w:tc>
            </w:tr>
            <w:tr w14:paraId="556490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4" w:type="dxa"/>
                  <w:vMerge w:val="restart"/>
                  <w:tcBorders>
                    <w:tl2br w:val="nil"/>
                    <w:tr2bl w:val="nil"/>
                  </w:tcBorders>
                  <w:noWrap w:val="0"/>
                  <w:vAlign w:val="center"/>
                </w:tcPr>
                <w:p w14:paraId="3D91C39B">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eastAsia" w:ascii="Times New Roman" w:hAnsi="Times New Roman" w:eastAsia="宋体" w:cs="Times New Roman"/>
                      <w:bCs/>
                      <w:caps w:val="0"/>
                      <w:color w:val="auto"/>
                      <w:kern w:val="0"/>
                      <w:sz w:val="21"/>
                      <w:szCs w:val="21"/>
                      <w:u w:val="single"/>
                      <w:lang w:val="en-US" w:eastAsia="zh-CN" w:bidi="ar-SA"/>
                    </w:rPr>
                    <w:t>机修</w:t>
                  </w:r>
                  <w:r>
                    <w:rPr>
                      <w:rFonts w:hint="default" w:ascii="Times New Roman" w:hAnsi="Times New Roman" w:eastAsia="宋体" w:cs="Times New Roman"/>
                      <w:bCs/>
                      <w:caps w:val="0"/>
                      <w:color w:val="auto"/>
                      <w:kern w:val="0"/>
                      <w:sz w:val="21"/>
                      <w:szCs w:val="21"/>
                      <w:u w:val="single"/>
                      <w:lang w:val="en-US" w:eastAsia="en-US" w:bidi="ar-SA"/>
                    </w:rPr>
                    <w:t>废水</w:t>
                  </w:r>
                </w:p>
                <w:p w14:paraId="2310719F">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eastAsia" w:ascii="Times New Roman" w:hAnsi="Times New Roman" w:eastAsia="宋体" w:cs="Times New Roman"/>
                      <w:bCs/>
                      <w:caps w:val="0"/>
                      <w:color w:val="auto"/>
                      <w:kern w:val="0"/>
                      <w:sz w:val="21"/>
                      <w:szCs w:val="21"/>
                      <w:u w:val="single"/>
                      <w:lang w:val="en-US" w:eastAsia="zh-CN" w:bidi="ar-SA"/>
                    </w:rPr>
                    <w:t>66</w:t>
                  </w:r>
                  <w:r>
                    <w:rPr>
                      <w:rFonts w:hint="default" w:ascii="Times New Roman" w:hAnsi="Times New Roman" w:eastAsia="宋体" w:cs="Times New Roman"/>
                      <w:bCs/>
                      <w:caps w:val="0"/>
                      <w:color w:val="auto"/>
                      <w:kern w:val="0"/>
                      <w:sz w:val="21"/>
                      <w:szCs w:val="21"/>
                      <w:u w:val="single"/>
                      <w:lang w:val="en-US" w:eastAsia="en-US" w:bidi="ar-SA"/>
                    </w:rPr>
                    <w:t>m</w:t>
                  </w:r>
                  <w:r>
                    <w:rPr>
                      <w:rFonts w:hint="default" w:ascii="Times New Roman" w:hAnsi="Times New Roman" w:eastAsia="宋体" w:cs="Times New Roman"/>
                      <w:bCs/>
                      <w:caps w:val="0"/>
                      <w:color w:val="auto"/>
                      <w:kern w:val="0"/>
                      <w:sz w:val="21"/>
                      <w:szCs w:val="21"/>
                      <w:u w:val="single"/>
                      <w:vertAlign w:val="superscript"/>
                      <w:lang w:val="en-US" w:eastAsia="en-US" w:bidi="ar-SA"/>
                    </w:rPr>
                    <w:t>3</w:t>
                  </w:r>
                  <w:r>
                    <w:rPr>
                      <w:rFonts w:hint="default" w:ascii="Times New Roman" w:hAnsi="Times New Roman" w:eastAsia="宋体" w:cs="Times New Roman"/>
                      <w:bCs/>
                      <w:caps w:val="0"/>
                      <w:color w:val="auto"/>
                      <w:kern w:val="0"/>
                      <w:sz w:val="21"/>
                      <w:szCs w:val="21"/>
                      <w:u w:val="single"/>
                      <w:lang w:val="en-US" w:eastAsia="en-US" w:bidi="ar-SA"/>
                    </w:rPr>
                    <w:t>/a</w:t>
                  </w:r>
                </w:p>
              </w:tc>
              <w:tc>
                <w:tcPr>
                  <w:tcW w:w="4021" w:type="dxa"/>
                  <w:tcBorders>
                    <w:tl2br w:val="nil"/>
                    <w:tr2bl w:val="nil"/>
                  </w:tcBorders>
                  <w:noWrap w:val="0"/>
                  <w:vAlign w:val="center"/>
                </w:tcPr>
                <w:p w14:paraId="527AA15B">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default" w:ascii="Times New Roman" w:hAnsi="Times New Roman" w:eastAsia="宋体" w:cs="Times New Roman"/>
                      <w:bCs/>
                      <w:caps w:val="0"/>
                      <w:color w:val="auto"/>
                      <w:kern w:val="0"/>
                      <w:sz w:val="21"/>
                      <w:szCs w:val="21"/>
                      <w:u w:val="single"/>
                      <w:lang w:val="en-US" w:eastAsia="zh-CN" w:bidi="ar-SA"/>
                    </w:rPr>
                    <w:t>污染物产生浓度(mg/L)</w:t>
                  </w:r>
                </w:p>
              </w:tc>
              <w:tc>
                <w:tcPr>
                  <w:tcW w:w="1200" w:type="dxa"/>
                  <w:tcBorders>
                    <w:tl2br w:val="nil"/>
                    <w:tr2bl w:val="nil"/>
                  </w:tcBorders>
                  <w:noWrap w:val="0"/>
                  <w:vAlign w:val="center"/>
                </w:tcPr>
                <w:p w14:paraId="22A82513">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395</w:t>
                  </w:r>
                </w:p>
              </w:tc>
              <w:tc>
                <w:tcPr>
                  <w:tcW w:w="1007" w:type="dxa"/>
                  <w:tcBorders>
                    <w:tl2br w:val="nil"/>
                    <w:tr2bl w:val="nil"/>
                  </w:tcBorders>
                  <w:noWrap w:val="0"/>
                  <w:vAlign w:val="center"/>
                </w:tcPr>
                <w:p w14:paraId="686FBF5B">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0.77</w:t>
                  </w:r>
                </w:p>
              </w:tc>
              <w:tc>
                <w:tcPr>
                  <w:tcW w:w="910" w:type="dxa"/>
                  <w:tcBorders>
                    <w:tl2br w:val="nil"/>
                    <w:tr2bl w:val="nil"/>
                  </w:tcBorders>
                  <w:noWrap w:val="0"/>
                  <w:vAlign w:val="top"/>
                </w:tcPr>
                <w:p w14:paraId="6C75175A">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56</w:t>
                  </w:r>
                </w:p>
              </w:tc>
            </w:tr>
            <w:tr w14:paraId="456F35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4" w:type="dxa"/>
                  <w:vMerge w:val="continue"/>
                  <w:tcBorders>
                    <w:tl2br w:val="nil"/>
                    <w:tr2bl w:val="nil"/>
                  </w:tcBorders>
                  <w:noWrap w:val="0"/>
                  <w:vAlign w:val="center"/>
                </w:tcPr>
                <w:p w14:paraId="23A1E091">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p>
              </w:tc>
              <w:tc>
                <w:tcPr>
                  <w:tcW w:w="4021" w:type="dxa"/>
                  <w:tcBorders>
                    <w:tl2br w:val="nil"/>
                    <w:tr2bl w:val="nil"/>
                  </w:tcBorders>
                  <w:noWrap w:val="0"/>
                  <w:vAlign w:val="center"/>
                </w:tcPr>
                <w:p w14:paraId="103D7A43">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default" w:ascii="Times New Roman" w:hAnsi="Times New Roman" w:eastAsia="宋体" w:cs="Times New Roman"/>
                      <w:bCs/>
                      <w:caps w:val="0"/>
                      <w:color w:val="auto"/>
                      <w:kern w:val="0"/>
                      <w:sz w:val="21"/>
                      <w:szCs w:val="21"/>
                      <w:u w:val="single"/>
                      <w:lang w:val="en-US" w:eastAsia="en-US" w:bidi="ar-SA"/>
                    </w:rPr>
                    <w:t>污染物产生量(t/a)</w:t>
                  </w:r>
                </w:p>
              </w:tc>
              <w:tc>
                <w:tcPr>
                  <w:tcW w:w="1200" w:type="dxa"/>
                  <w:tcBorders>
                    <w:tl2br w:val="nil"/>
                    <w:tr2bl w:val="nil"/>
                  </w:tcBorders>
                  <w:noWrap w:val="0"/>
                  <w:vAlign w:val="center"/>
                </w:tcPr>
                <w:p w14:paraId="3B8CA779">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0.02607</w:t>
                  </w:r>
                </w:p>
              </w:tc>
              <w:tc>
                <w:tcPr>
                  <w:tcW w:w="1007" w:type="dxa"/>
                  <w:tcBorders>
                    <w:tl2br w:val="nil"/>
                    <w:tr2bl w:val="nil"/>
                  </w:tcBorders>
                  <w:noWrap w:val="0"/>
                  <w:vAlign w:val="center"/>
                </w:tcPr>
                <w:p w14:paraId="5AE35D51">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 xml:space="preserve">0.00005 </w:t>
                  </w:r>
                </w:p>
              </w:tc>
              <w:tc>
                <w:tcPr>
                  <w:tcW w:w="910" w:type="dxa"/>
                  <w:tcBorders>
                    <w:tl2br w:val="nil"/>
                    <w:tr2bl w:val="nil"/>
                  </w:tcBorders>
                  <w:noWrap w:val="0"/>
                  <w:vAlign w:val="center"/>
                </w:tcPr>
                <w:p w14:paraId="1507230B">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0.0037</w:t>
                  </w:r>
                </w:p>
              </w:tc>
            </w:tr>
            <w:tr w14:paraId="7E36D5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4" w:type="dxa"/>
                  <w:vMerge w:val="continue"/>
                  <w:tcBorders>
                    <w:tl2br w:val="nil"/>
                    <w:tr2bl w:val="nil"/>
                  </w:tcBorders>
                  <w:noWrap w:val="0"/>
                  <w:vAlign w:val="center"/>
                </w:tcPr>
                <w:p w14:paraId="6C0F076F">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p>
              </w:tc>
              <w:tc>
                <w:tcPr>
                  <w:tcW w:w="4021" w:type="dxa"/>
                  <w:tcBorders>
                    <w:tl2br w:val="nil"/>
                    <w:tr2bl w:val="nil"/>
                  </w:tcBorders>
                  <w:noWrap w:val="0"/>
                  <w:vAlign w:val="center"/>
                </w:tcPr>
                <w:p w14:paraId="677825C5">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处理措施</w:t>
                  </w:r>
                </w:p>
              </w:tc>
              <w:tc>
                <w:tcPr>
                  <w:tcW w:w="3117" w:type="dxa"/>
                  <w:gridSpan w:val="3"/>
                  <w:tcBorders>
                    <w:tl2br w:val="nil"/>
                    <w:tr2bl w:val="nil"/>
                  </w:tcBorders>
                  <w:noWrap w:val="0"/>
                  <w:vAlign w:val="center"/>
                </w:tcPr>
                <w:p w14:paraId="2739CB86">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隔油+混凝沉淀+气浮+过滤</w:t>
                  </w:r>
                </w:p>
              </w:tc>
            </w:tr>
            <w:tr w14:paraId="136004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4" w:type="dxa"/>
                  <w:vMerge w:val="continue"/>
                  <w:tcBorders>
                    <w:tl2br w:val="nil"/>
                    <w:tr2bl w:val="nil"/>
                  </w:tcBorders>
                  <w:noWrap w:val="0"/>
                  <w:vAlign w:val="center"/>
                </w:tcPr>
                <w:p w14:paraId="0B723C16">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p>
              </w:tc>
              <w:tc>
                <w:tcPr>
                  <w:tcW w:w="4021" w:type="dxa"/>
                  <w:tcBorders>
                    <w:tl2br w:val="nil"/>
                    <w:tr2bl w:val="nil"/>
                  </w:tcBorders>
                  <w:noWrap w:val="0"/>
                  <w:vAlign w:val="center"/>
                </w:tcPr>
                <w:p w14:paraId="229E9C9D">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default" w:ascii="Times New Roman" w:hAnsi="Times New Roman" w:eastAsia="宋体" w:cs="Times New Roman"/>
                      <w:bCs/>
                      <w:caps w:val="0"/>
                      <w:color w:val="auto"/>
                      <w:kern w:val="0"/>
                      <w:sz w:val="21"/>
                      <w:szCs w:val="21"/>
                      <w:u w:val="single"/>
                      <w:lang w:val="en-US" w:eastAsia="zh-CN" w:bidi="ar-SA"/>
                    </w:rPr>
                    <w:t>污染物</w:t>
                  </w:r>
                  <w:r>
                    <w:rPr>
                      <w:rFonts w:hint="eastAsia" w:ascii="Times New Roman" w:hAnsi="Times New Roman" w:eastAsia="宋体" w:cs="Times New Roman"/>
                      <w:bCs/>
                      <w:caps w:val="0"/>
                      <w:color w:val="auto"/>
                      <w:kern w:val="0"/>
                      <w:sz w:val="21"/>
                      <w:szCs w:val="21"/>
                      <w:u w:val="single"/>
                      <w:lang w:val="en-US" w:eastAsia="zh-CN" w:bidi="ar-SA"/>
                    </w:rPr>
                    <w:t>排放</w:t>
                  </w:r>
                  <w:r>
                    <w:rPr>
                      <w:rFonts w:hint="default" w:ascii="Times New Roman" w:hAnsi="Times New Roman" w:eastAsia="宋体" w:cs="Times New Roman"/>
                      <w:bCs/>
                      <w:caps w:val="0"/>
                      <w:color w:val="auto"/>
                      <w:kern w:val="0"/>
                      <w:sz w:val="21"/>
                      <w:szCs w:val="21"/>
                      <w:u w:val="single"/>
                      <w:lang w:val="en-US" w:eastAsia="zh-CN" w:bidi="ar-SA"/>
                    </w:rPr>
                    <w:t>浓度(mg/L)</w:t>
                  </w:r>
                </w:p>
              </w:tc>
              <w:tc>
                <w:tcPr>
                  <w:tcW w:w="1200" w:type="dxa"/>
                  <w:tcBorders>
                    <w:tl2br w:val="nil"/>
                    <w:tr2bl w:val="nil"/>
                  </w:tcBorders>
                  <w:noWrap w:val="0"/>
                  <w:vAlign w:val="center"/>
                </w:tcPr>
                <w:p w14:paraId="709A170D">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29</w:t>
                  </w:r>
                </w:p>
              </w:tc>
              <w:tc>
                <w:tcPr>
                  <w:tcW w:w="1007" w:type="dxa"/>
                  <w:tcBorders>
                    <w:tl2br w:val="nil"/>
                    <w:tr2bl w:val="nil"/>
                  </w:tcBorders>
                  <w:noWrap w:val="0"/>
                  <w:vAlign w:val="center"/>
                </w:tcPr>
                <w:p w14:paraId="5410AF97">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0.17</w:t>
                  </w:r>
                </w:p>
              </w:tc>
              <w:tc>
                <w:tcPr>
                  <w:tcW w:w="910" w:type="dxa"/>
                  <w:tcBorders>
                    <w:tl2br w:val="nil"/>
                    <w:tr2bl w:val="nil"/>
                  </w:tcBorders>
                  <w:noWrap w:val="0"/>
                  <w:vAlign w:val="center"/>
                </w:tcPr>
                <w:p w14:paraId="7158391A">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22</w:t>
                  </w:r>
                </w:p>
              </w:tc>
            </w:tr>
            <w:tr w14:paraId="07EE57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1384" w:type="dxa"/>
                  <w:vMerge w:val="continue"/>
                  <w:tcBorders>
                    <w:tl2br w:val="nil"/>
                    <w:tr2bl w:val="nil"/>
                  </w:tcBorders>
                  <w:noWrap w:val="0"/>
                  <w:vAlign w:val="center"/>
                </w:tcPr>
                <w:p w14:paraId="312D8364">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p>
              </w:tc>
              <w:tc>
                <w:tcPr>
                  <w:tcW w:w="4021" w:type="dxa"/>
                  <w:tcBorders>
                    <w:tl2br w:val="nil"/>
                    <w:tr2bl w:val="nil"/>
                  </w:tcBorders>
                  <w:noWrap w:val="0"/>
                  <w:vAlign w:val="center"/>
                </w:tcPr>
                <w:p w14:paraId="0A24BF89">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default" w:ascii="Times New Roman" w:hAnsi="Times New Roman" w:eastAsia="宋体" w:cs="Times New Roman"/>
                      <w:bCs/>
                      <w:caps w:val="0"/>
                      <w:color w:val="auto"/>
                      <w:kern w:val="0"/>
                      <w:sz w:val="21"/>
                      <w:szCs w:val="21"/>
                      <w:u w:val="single"/>
                      <w:lang w:val="en-US" w:eastAsia="en-US" w:bidi="ar-SA"/>
                    </w:rPr>
                    <w:t>污染物</w:t>
                  </w:r>
                  <w:r>
                    <w:rPr>
                      <w:rFonts w:hint="eastAsia" w:ascii="Times New Roman" w:hAnsi="Times New Roman" w:eastAsia="宋体" w:cs="Times New Roman"/>
                      <w:bCs/>
                      <w:caps w:val="0"/>
                      <w:color w:val="auto"/>
                      <w:kern w:val="0"/>
                      <w:sz w:val="21"/>
                      <w:szCs w:val="21"/>
                      <w:u w:val="single"/>
                      <w:lang w:val="en-US" w:eastAsia="zh-CN" w:bidi="ar-SA"/>
                    </w:rPr>
                    <w:t>排放</w:t>
                  </w:r>
                  <w:r>
                    <w:rPr>
                      <w:rFonts w:hint="default" w:ascii="Times New Roman" w:hAnsi="Times New Roman" w:eastAsia="宋体" w:cs="Times New Roman"/>
                      <w:bCs/>
                      <w:caps w:val="0"/>
                      <w:color w:val="auto"/>
                      <w:kern w:val="0"/>
                      <w:sz w:val="21"/>
                      <w:szCs w:val="21"/>
                      <w:u w:val="single"/>
                      <w:lang w:val="en-US" w:eastAsia="en-US" w:bidi="ar-SA"/>
                    </w:rPr>
                    <w:t>量(t/a)</w:t>
                  </w:r>
                </w:p>
              </w:tc>
              <w:tc>
                <w:tcPr>
                  <w:tcW w:w="1200" w:type="dxa"/>
                  <w:tcBorders>
                    <w:tl2br w:val="nil"/>
                    <w:tr2bl w:val="nil"/>
                  </w:tcBorders>
                  <w:noWrap w:val="0"/>
                  <w:vAlign w:val="center"/>
                </w:tcPr>
                <w:p w14:paraId="77988627">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0.0019</w:t>
                  </w:r>
                </w:p>
              </w:tc>
              <w:tc>
                <w:tcPr>
                  <w:tcW w:w="1007" w:type="dxa"/>
                  <w:tcBorders>
                    <w:tl2br w:val="nil"/>
                    <w:tr2bl w:val="nil"/>
                  </w:tcBorders>
                  <w:noWrap w:val="0"/>
                  <w:vAlign w:val="center"/>
                </w:tcPr>
                <w:p w14:paraId="50580C56">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 xml:space="preserve">0.00001 </w:t>
                  </w:r>
                </w:p>
              </w:tc>
              <w:tc>
                <w:tcPr>
                  <w:tcW w:w="910" w:type="dxa"/>
                  <w:tcBorders>
                    <w:tl2br w:val="nil"/>
                    <w:tr2bl w:val="nil"/>
                  </w:tcBorders>
                  <w:noWrap w:val="0"/>
                  <w:vAlign w:val="center"/>
                </w:tcPr>
                <w:p w14:paraId="1DB0ED2F">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0.0015</w:t>
                  </w:r>
                </w:p>
              </w:tc>
            </w:tr>
            <w:tr w14:paraId="367785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405" w:type="dxa"/>
                  <w:gridSpan w:val="2"/>
                  <w:tcBorders>
                    <w:tl2br w:val="nil"/>
                    <w:tr2bl w:val="nil"/>
                  </w:tcBorders>
                  <w:noWrap w:val="0"/>
                  <w:vAlign w:val="center"/>
                </w:tcPr>
                <w:p w14:paraId="3A37347F">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en-US" w:bidi="ar-SA"/>
                    </w:rPr>
                  </w:pPr>
                  <w:r>
                    <w:rPr>
                      <w:rFonts w:hint="eastAsia" w:ascii="Times New Roman" w:hAnsi="Times New Roman" w:eastAsia="宋体" w:cs="Times New Roman"/>
                      <w:bCs/>
                      <w:caps w:val="0"/>
                      <w:color w:val="auto"/>
                      <w:kern w:val="2"/>
                      <w:sz w:val="21"/>
                      <w:szCs w:val="24"/>
                      <w:u w:val="single"/>
                      <w:lang w:val="en-US" w:eastAsia="en-US" w:bidi="ar-SA"/>
                    </w:rPr>
                    <w:t>《城市污水再生利用-城市杂用水水质》（GB/T18920-2020）“城市绿化、道路清扫、消防、建筑施工”用水标准</w:t>
                  </w:r>
                </w:p>
              </w:tc>
              <w:tc>
                <w:tcPr>
                  <w:tcW w:w="1200" w:type="dxa"/>
                  <w:tcBorders>
                    <w:tl2br w:val="nil"/>
                    <w:tr2bl w:val="nil"/>
                  </w:tcBorders>
                  <w:noWrap w:val="0"/>
                  <w:vAlign w:val="center"/>
                </w:tcPr>
                <w:p w14:paraId="00FCD084">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w:t>
                  </w:r>
                </w:p>
              </w:tc>
              <w:tc>
                <w:tcPr>
                  <w:tcW w:w="1007" w:type="dxa"/>
                  <w:tcBorders>
                    <w:tl2br w:val="nil"/>
                    <w:tr2bl w:val="nil"/>
                  </w:tcBorders>
                  <w:noWrap w:val="0"/>
                  <w:vAlign w:val="center"/>
                </w:tcPr>
                <w:p w14:paraId="1663E8AB">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10</w:t>
                  </w:r>
                </w:p>
              </w:tc>
              <w:tc>
                <w:tcPr>
                  <w:tcW w:w="910" w:type="dxa"/>
                  <w:tcBorders>
                    <w:tl2br w:val="nil"/>
                    <w:tr2bl w:val="nil"/>
                  </w:tcBorders>
                  <w:noWrap w:val="0"/>
                  <w:vAlign w:val="center"/>
                </w:tcPr>
                <w:p w14:paraId="08BA2686">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w:t>
                  </w:r>
                </w:p>
              </w:tc>
            </w:tr>
            <w:tr w14:paraId="57D27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5405" w:type="dxa"/>
                  <w:gridSpan w:val="2"/>
                  <w:tcBorders>
                    <w:tl2br w:val="nil"/>
                    <w:tr2bl w:val="nil"/>
                  </w:tcBorders>
                  <w:noWrap w:val="0"/>
                  <w:vAlign w:val="center"/>
                </w:tcPr>
                <w:p w14:paraId="6D9D33D6">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2"/>
                      <w:sz w:val="21"/>
                      <w:szCs w:val="24"/>
                      <w:u w:val="single"/>
                      <w:lang w:val="en-US" w:eastAsia="en-US" w:bidi="ar-SA"/>
                    </w:rPr>
                  </w:pPr>
                  <w:r>
                    <w:rPr>
                      <w:rFonts w:hint="eastAsia" w:ascii="Times New Roman" w:hAnsi="Times New Roman" w:eastAsia="宋体" w:cs="Times New Roman"/>
                      <w:bCs/>
                      <w:caps w:val="0"/>
                      <w:color w:val="auto"/>
                      <w:kern w:val="2"/>
                      <w:sz w:val="21"/>
                      <w:szCs w:val="24"/>
                      <w:u w:val="single"/>
                      <w:lang w:val="en-US" w:eastAsia="en-US" w:bidi="ar-SA"/>
                    </w:rPr>
                    <w:t>《城市污水再生利用 工业用水水质标准》（GB/T 19923-20</w:t>
                  </w:r>
                  <w:r>
                    <w:rPr>
                      <w:rFonts w:hint="eastAsia" w:ascii="Times New Roman" w:hAnsi="Times New Roman" w:eastAsia="宋体" w:cs="Times New Roman"/>
                      <w:bCs/>
                      <w:caps w:val="0"/>
                      <w:color w:val="auto"/>
                      <w:kern w:val="2"/>
                      <w:sz w:val="21"/>
                      <w:szCs w:val="24"/>
                      <w:u w:val="single"/>
                      <w:lang w:val="en-US" w:eastAsia="zh-CN" w:bidi="ar-SA"/>
                    </w:rPr>
                    <w:t>24</w:t>
                  </w:r>
                  <w:r>
                    <w:rPr>
                      <w:rFonts w:hint="eastAsia" w:ascii="Times New Roman" w:hAnsi="Times New Roman" w:eastAsia="宋体" w:cs="Times New Roman"/>
                      <w:bCs/>
                      <w:caps w:val="0"/>
                      <w:color w:val="auto"/>
                      <w:kern w:val="2"/>
                      <w:sz w:val="21"/>
                      <w:szCs w:val="24"/>
                      <w:u w:val="single"/>
                      <w:lang w:val="en-US" w:eastAsia="en-US" w:bidi="ar-SA"/>
                    </w:rPr>
                    <w:t>）“洗涤用水”用水标准</w:t>
                  </w:r>
                </w:p>
              </w:tc>
              <w:tc>
                <w:tcPr>
                  <w:tcW w:w="1200" w:type="dxa"/>
                  <w:tcBorders>
                    <w:tl2br w:val="nil"/>
                    <w:tr2bl w:val="nil"/>
                  </w:tcBorders>
                  <w:noWrap w:val="0"/>
                  <w:vAlign w:val="center"/>
                </w:tcPr>
                <w:p w14:paraId="5BE42749">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50</w:t>
                  </w:r>
                </w:p>
              </w:tc>
              <w:tc>
                <w:tcPr>
                  <w:tcW w:w="1007" w:type="dxa"/>
                  <w:tcBorders>
                    <w:tl2br w:val="nil"/>
                    <w:tr2bl w:val="nil"/>
                  </w:tcBorders>
                  <w:noWrap w:val="0"/>
                  <w:vAlign w:val="center"/>
                </w:tcPr>
                <w:p w14:paraId="3395A27F">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1</w:t>
                  </w:r>
                </w:p>
              </w:tc>
              <w:tc>
                <w:tcPr>
                  <w:tcW w:w="910" w:type="dxa"/>
                  <w:tcBorders>
                    <w:tl2br w:val="nil"/>
                    <w:tr2bl w:val="nil"/>
                  </w:tcBorders>
                  <w:noWrap w:val="0"/>
                  <w:vAlign w:val="center"/>
                </w:tcPr>
                <w:p w14:paraId="5A240DE6">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lang w:val="en-US" w:eastAsia="zh-CN" w:bidi="ar-SA"/>
                    </w:rPr>
                  </w:pPr>
                  <w:r>
                    <w:rPr>
                      <w:rFonts w:hint="eastAsia" w:ascii="Times New Roman" w:hAnsi="Times New Roman" w:eastAsia="宋体" w:cs="Times New Roman"/>
                      <w:bCs/>
                      <w:caps w:val="0"/>
                      <w:color w:val="auto"/>
                      <w:kern w:val="0"/>
                      <w:sz w:val="21"/>
                      <w:szCs w:val="21"/>
                      <w:u w:val="single"/>
                      <w:lang w:val="en-US" w:eastAsia="zh-CN" w:bidi="ar-SA"/>
                    </w:rPr>
                    <w:t>-</w:t>
                  </w:r>
                </w:p>
              </w:tc>
            </w:tr>
          </w:tbl>
          <w:p w14:paraId="3127B67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aps w:val="0"/>
                <w:color w:val="auto"/>
                <w:sz w:val="24"/>
                <w:szCs w:val="22"/>
                <w:highlight w:val="none"/>
                <w:u w:val="single"/>
              </w:rPr>
            </w:pPr>
            <w:r>
              <w:rPr>
                <w:rFonts w:hint="eastAsia" w:ascii="Times New Roman" w:hAnsi="Times New Roman" w:eastAsia="宋体" w:cs="Times New Roman"/>
                <w:caps w:val="0"/>
                <w:color w:val="auto"/>
                <w:sz w:val="24"/>
                <w:szCs w:val="24"/>
                <w:highlight w:val="none"/>
                <w:u w:val="single"/>
                <w:lang w:val="en-US" w:eastAsia="zh-CN"/>
              </w:rPr>
              <w:t>项目</w:t>
            </w:r>
            <w:r>
              <w:rPr>
                <w:rFonts w:hint="eastAsia" w:ascii="Times New Roman" w:hAnsi="Times New Roman" w:eastAsia="宋体" w:cs="Times New Roman"/>
                <w:caps w:val="0"/>
                <w:color w:val="auto"/>
                <w:sz w:val="24"/>
                <w:szCs w:val="24"/>
                <w:highlight w:val="none"/>
                <w:u w:val="single"/>
              </w:rPr>
              <w:t>机修废水进行收集后送至</w:t>
            </w:r>
            <w:r>
              <w:rPr>
                <w:rFonts w:hint="eastAsia" w:ascii="Times New Roman" w:hAnsi="Times New Roman" w:eastAsia="宋体" w:cs="Times New Roman"/>
                <w:caps w:val="0"/>
                <w:color w:val="auto"/>
                <w:sz w:val="24"/>
                <w:szCs w:val="24"/>
                <w:highlight w:val="none"/>
                <w:u w:val="single"/>
                <w:lang w:val="en-US" w:eastAsia="zh-CN"/>
              </w:rPr>
              <w:t>2#、5</w:t>
            </w:r>
            <w:r>
              <w:rPr>
                <w:rFonts w:hint="eastAsia" w:ascii="Times New Roman" w:hAnsi="Times New Roman" w:eastAsia="宋体" w:cs="Times New Roman"/>
                <w:caps w:val="0"/>
                <w:color w:val="auto"/>
                <w:sz w:val="24"/>
                <w:szCs w:val="24"/>
                <w:highlight w:val="none"/>
                <w:u w:val="single"/>
              </w:rPr>
              <w:t>#泊位的</w:t>
            </w:r>
            <w:r>
              <w:rPr>
                <w:rFonts w:hint="eastAsia" w:ascii="Times New Roman" w:hAnsi="Times New Roman" w:eastAsia="宋体" w:cs="Times New Roman"/>
                <w:caps w:val="0"/>
                <w:color w:val="auto"/>
                <w:sz w:val="24"/>
                <w:szCs w:val="24"/>
                <w:highlight w:val="none"/>
                <w:u w:val="single"/>
                <w:lang w:val="en-US" w:eastAsia="zh-CN"/>
              </w:rPr>
              <w:t>含油</w:t>
            </w:r>
            <w:r>
              <w:rPr>
                <w:rFonts w:hint="eastAsia" w:ascii="Times New Roman" w:hAnsi="Times New Roman" w:eastAsia="宋体" w:cs="Times New Roman"/>
                <w:caps w:val="0"/>
                <w:color w:val="auto"/>
                <w:sz w:val="24"/>
                <w:szCs w:val="24"/>
                <w:highlight w:val="none"/>
                <w:u w:val="single"/>
              </w:rPr>
              <w:t>污水处理站进行处理</w:t>
            </w:r>
            <w:r>
              <w:rPr>
                <w:rFonts w:hint="eastAsia" w:ascii="Times New Roman" w:hAnsi="Times New Roman" w:eastAsia="宋体" w:cs="Times New Roman"/>
                <w:caps w:val="0"/>
                <w:color w:val="auto"/>
                <w:sz w:val="24"/>
                <w:szCs w:val="24"/>
                <w:highlight w:val="none"/>
                <w:u w:val="single"/>
                <w:lang w:eastAsia="zh-CN"/>
              </w:rPr>
              <w:t>，</w:t>
            </w:r>
            <w:r>
              <w:rPr>
                <w:rFonts w:hint="eastAsia" w:ascii="Times New Roman" w:hAnsi="Times New Roman" w:eastAsia="宋体" w:cs="Times New Roman"/>
                <w:caps w:val="0"/>
                <w:color w:val="auto"/>
                <w:sz w:val="24"/>
                <w:szCs w:val="24"/>
                <w:highlight w:val="none"/>
                <w:u w:val="single"/>
                <w:lang w:val="en-US" w:eastAsia="zh-CN"/>
              </w:rPr>
              <w:t>出水满足</w:t>
            </w:r>
            <w:r>
              <w:rPr>
                <w:rFonts w:hint="eastAsia" w:ascii="Times New Roman" w:hAnsi="Times New Roman" w:eastAsia="宋体" w:cs="Times New Roman"/>
                <w:caps w:val="0"/>
                <w:color w:val="auto"/>
                <w:sz w:val="24"/>
                <w:szCs w:val="24"/>
                <w:u w:val="single"/>
              </w:rPr>
              <w:t>《城市污水再生利用-城市杂用水水质》（GB/T18920-2020）“城市绿化、道路清扫、消防、建筑施工”用水标准和《城市污水再生利用 工业用水水质标准》（GB/T 19923-20</w:t>
            </w:r>
            <w:r>
              <w:rPr>
                <w:rFonts w:hint="eastAsia" w:ascii="Times New Roman" w:hAnsi="Times New Roman" w:eastAsia="宋体" w:cs="Times New Roman"/>
                <w:caps w:val="0"/>
                <w:color w:val="auto"/>
                <w:sz w:val="24"/>
                <w:szCs w:val="24"/>
                <w:u w:val="single"/>
                <w:lang w:val="en-US" w:eastAsia="zh-CN"/>
              </w:rPr>
              <w:t>24</w:t>
            </w:r>
            <w:r>
              <w:rPr>
                <w:rFonts w:hint="eastAsia" w:ascii="Times New Roman" w:hAnsi="Times New Roman" w:eastAsia="宋体" w:cs="Times New Roman"/>
                <w:caps w:val="0"/>
                <w:color w:val="auto"/>
                <w:sz w:val="24"/>
                <w:szCs w:val="24"/>
                <w:u w:val="single"/>
              </w:rPr>
              <w:t>）“洗涤用水”用水标准，</w:t>
            </w:r>
            <w:r>
              <w:rPr>
                <w:rFonts w:hint="eastAsia" w:ascii="Times New Roman" w:hAnsi="Times New Roman" w:eastAsia="宋体" w:cs="Times New Roman"/>
                <w:caps w:val="0"/>
                <w:color w:val="auto"/>
                <w:sz w:val="24"/>
                <w:szCs w:val="24"/>
                <w:highlight w:val="none"/>
                <w:u w:val="single"/>
              </w:rPr>
              <w:t>回用于机械冲洗用水</w:t>
            </w:r>
            <w:r>
              <w:rPr>
                <w:rFonts w:hint="eastAsia" w:ascii="Times New Roman" w:hAnsi="Times New Roman" w:eastAsia="宋体" w:cs="Times New Roman"/>
                <w:caps w:val="0"/>
                <w:color w:val="auto"/>
                <w:sz w:val="24"/>
                <w:szCs w:val="22"/>
                <w:u w:val="single"/>
                <w:lang w:val="en-US" w:eastAsia="zh-CN"/>
              </w:rPr>
              <w:t>、厂区绿化和</w:t>
            </w:r>
            <w:r>
              <w:rPr>
                <w:rFonts w:hint="eastAsia" w:ascii="Times New Roman" w:hAnsi="Times New Roman" w:eastAsia="宋体" w:cs="Times New Roman"/>
                <w:caps w:val="0"/>
                <w:color w:val="auto"/>
                <w:sz w:val="24"/>
                <w:szCs w:val="24"/>
                <w:u w:val="single"/>
              </w:rPr>
              <w:t>道路清扫。</w:t>
            </w:r>
          </w:p>
          <w:p w14:paraId="28B5C148">
            <w:pPr>
              <w:keepNext w:val="0"/>
              <w:keepLines w:val="0"/>
              <w:pageBreakBefore w:val="0"/>
              <w:widowControl w:val="0"/>
              <w:numPr>
                <w:ilvl w:val="0"/>
                <w:numId w:val="0"/>
              </w:numPr>
              <w:suppressLineNumbers w:val="0"/>
              <w:kinsoku/>
              <w:overflow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cs="Times New Roman"/>
                <w:color w:val="auto"/>
                <w:kern w:val="0"/>
                <w:sz w:val="24"/>
                <w:szCs w:val="21"/>
                <w:highlight w:val="none"/>
                <w:u w:val="none" w:color="auto"/>
                <w:lang w:val="en-US" w:eastAsia="zh-CN" w:bidi="ar"/>
              </w:rPr>
            </w:pPr>
            <w:r>
              <w:rPr>
                <w:rFonts w:hint="eastAsia" w:cs="Times New Roman"/>
                <w:color w:val="auto"/>
                <w:kern w:val="0"/>
                <w:sz w:val="24"/>
                <w:szCs w:val="21"/>
                <w:u w:color="auto"/>
                <w:lang w:val="en-US" w:eastAsia="zh-CN" w:bidi="ar"/>
              </w:rPr>
              <w:t>3</w:t>
            </w:r>
            <w:r>
              <w:rPr>
                <w:rFonts w:hint="eastAsia" w:ascii="Times New Roman" w:hAnsi="Times New Roman" w:eastAsia="宋体" w:cs="Times New Roman"/>
                <w:color w:val="auto"/>
                <w:kern w:val="0"/>
                <w:sz w:val="24"/>
                <w:szCs w:val="21"/>
                <w:u w:color="auto"/>
                <w:lang w:val="en-US" w:eastAsia="zh-CN" w:bidi="ar"/>
              </w:rPr>
              <w:t>、</w:t>
            </w:r>
            <w:r>
              <w:rPr>
                <w:rFonts w:hint="eastAsia" w:cs="Times New Roman"/>
                <w:color w:val="auto"/>
                <w:kern w:val="0"/>
                <w:sz w:val="24"/>
                <w:szCs w:val="21"/>
                <w:highlight w:val="none"/>
                <w:u w:val="none" w:color="auto"/>
                <w:lang w:val="en-US" w:eastAsia="zh-CN" w:bidi="ar"/>
              </w:rPr>
              <w:t>环境保护措施</w:t>
            </w:r>
          </w:p>
          <w:p w14:paraId="5A7AA4F1">
            <w:pPr>
              <w:keepNext w:val="0"/>
              <w:keepLines w:val="0"/>
              <w:pageBreakBefore w:val="0"/>
              <w:widowControl w:val="0"/>
              <w:numPr>
                <w:ilvl w:val="0"/>
                <w:numId w:val="0"/>
              </w:numPr>
              <w:suppressLineNumbers w:val="0"/>
              <w:kinsoku/>
              <w:overflow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根据调查，现状含油废水收集后送至2#泊位和5#泊位的含油污水处理站进行处理，污水处理站处理工艺为隔油池+混凝沉淀池+组合气浮装置，处理后回用于机械冲洗用水、厂区绿化和道路清扫，不外排；现状生活污水经化粪池预处理后排入市政污水管网，最终排入大榄坪污水处理厂，对周边环境影响较小。</w:t>
            </w:r>
          </w:p>
          <w:p w14:paraId="29782762">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b/>
                <w:bCs/>
                <w:color w:val="auto"/>
                <w:sz w:val="24"/>
                <w:highlight w:val="none"/>
                <w:u w:val="none" w:color="auto"/>
                <w:lang w:val="en-US" w:eastAsia="zh-CN"/>
              </w:rPr>
              <w:t>三</w:t>
            </w:r>
            <w:r>
              <w:rPr>
                <w:rFonts w:hint="default" w:ascii="Times New Roman" w:hAnsi="Times New Roman" w:eastAsia="宋体" w:cs="Times New Roman"/>
                <w:b/>
                <w:bCs/>
                <w:color w:val="auto"/>
                <w:sz w:val="24"/>
                <w:highlight w:val="none"/>
                <w:u w:val="none" w:color="auto"/>
              </w:rPr>
              <w:t>、噪声环境影响</w:t>
            </w:r>
            <w:r>
              <w:rPr>
                <w:rFonts w:hint="default" w:ascii="Times New Roman" w:hAnsi="Times New Roman" w:eastAsia="宋体" w:cs="Times New Roman"/>
                <w:b/>
                <w:bCs/>
                <w:color w:val="auto"/>
                <w:sz w:val="24"/>
                <w:highlight w:val="none"/>
                <w:u w:val="none" w:color="auto"/>
                <w:lang w:eastAsia="zh-CN"/>
              </w:rPr>
              <w:t>分析</w:t>
            </w:r>
            <w:r>
              <w:rPr>
                <w:rFonts w:hint="eastAsia" w:ascii="Times New Roman" w:hAnsi="Times New Roman" w:eastAsia="宋体" w:cs="Times New Roman"/>
                <w:b/>
                <w:bCs/>
                <w:color w:val="auto"/>
                <w:sz w:val="24"/>
                <w:highlight w:val="none"/>
                <w:u w:val="none" w:color="auto"/>
                <w:lang w:val="en-US" w:eastAsia="zh-CN"/>
              </w:rPr>
              <w:t>及</w:t>
            </w:r>
            <w:r>
              <w:rPr>
                <w:rFonts w:hint="default" w:ascii="Times New Roman" w:hAnsi="Times New Roman" w:eastAsia="宋体" w:cs="Times New Roman"/>
                <w:b/>
                <w:bCs/>
                <w:color w:val="auto"/>
                <w:sz w:val="24"/>
                <w:highlight w:val="none"/>
                <w:u w:val="none" w:color="auto"/>
              </w:rPr>
              <w:t>保护措施</w:t>
            </w:r>
          </w:p>
          <w:p w14:paraId="3A98A451">
            <w:pPr>
              <w:keepNext w:val="0"/>
              <w:keepLines w:val="0"/>
              <w:pageBreakBefore w:val="0"/>
              <w:widowControl w:val="0"/>
              <w:numPr>
                <w:ilvl w:val="0"/>
                <w:numId w:val="0"/>
              </w:numPr>
              <w:suppressLineNumbers w:val="0"/>
              <w:kinsoku/>
              <w:overflow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4"/>
                <w:szCs w:val="21"/>
                <w:highlight w:val="none"/>
                <w:u w:val="none" w:color="auto"/>
                <w:lang w:val="en-US" w:eastAsia="zh-CN" w:bidi="ar"/>
              </w:rPr>
            </w:pPr>
            <w:r>
              <w:rPr>
                <w:rFonts w:hint="eastAsia" w:ascii="Times New Roman" w:hAnsi="Times New Roman" w:eastAsia="宋体" w:cs="Times New Roman"/>
                <w:color w:val="auto"/>
                <w:kern w:val="0"/>
                <w:sz w:val="24"/>
                <w:szCs w:val="21"/>
                <w:highlight w:val="none"/>
                <w:u w:val="none" w:color="auto"/>
                <w:lang w:val="en-US" w:eastAsia="zh-CN" w:bidi="ar"/>
              </w:rPr>
              <w:t>混堆场</w:t>
            </w:r>
            <w:r>
              <w:rPr>
                <w:rFonts w:hint="eastAsia" w:cs="Times New Roman"/>
                <w:color w:val="auto"/>
                <w:kern w:val="0"/>
                <w:sz w:val="24"/>
                <w:szCs w:val="21"/>
                <w:highlight w:val="none"/>
                <w:u w:val="none" w:color="auto"/>
                <w:lang w:val="en-US" w:eastAsia="zh-CN" w:bidi="ar"/>
              </w:rPr>
              <w:t>运营期</w:t>
            </w:r>
            <w:r>
              <w:rPr>
                <w:rFonts w:hint="eastAsia" w:ascii="Times New Roman" w:hAnsi="Times New Roman" w:eastAsia="宋体" w:cs="Times New Roman"/>
                <w:color w:val="auto"/>
                <w:kern w:val="0"/>
                <w:sz w:val="24"/>
                <w:szCs w:val="21"/>
                <w:highlight w:val="none"/>
                <w:u w:val="none" w:color="auto"/>
                <w:lang w:val="en-US" w:eastAsia="zh-CN" w:bidi="ar"/>
              </w:rPr>
              <w:t>产生的噪声主要为机械设备运行产生的噪声，</w:t>
            </w:r>
            <w:r>
              <w:rPr>
                <w:rFonts w:hint="default" w:ascii="Times New Roman" w:hAnsi="Times New Roman" w:eastAsia="宋体" w:cs="Times New Roman"/>
                <w:color w:val="auto"/>
                <w:kern w:val="0"/>
                <w:sz w:val="24"/>
                <w:szCs w:val="21"/>
                <w:highlight w:val="none"/>
                <w:u w:val="none" w:color="auto"/>
                <w:lang w:val="en-US" w:eastAsia="zh-CN" w:bidi="ar"/>
              </w:rPr>
              <w:t>项目不增加总吞吐量，不增</w:t>
            </w:r>
            <w:r>
              <w:rPr>
                <w:rFonts w:hint="eastAsia" w:ascii="Times New Roman" w:hAnsi="Times New Roman" w:eastAsia="宋体" w:cs="Times New Roman"/>
                <w:color w:val="auto"/>
                <w:kern w:val="0"/>
                <w:sz w:val="24"/>
                <w:szCs w:val="21"/>
                <w:highlight w:val="none"/>
                <w:u w:val="none" w:color="auto"/>
                <w:lang w:val="en-US" w:eastAsia="zh-CN" w:bidi="ar"/>
              </w:rPr>
              <w:t>加</w:t>
            </w:r>
            <w:r>
              <w:rPr>
                <w:rFonts w:hint="default" w:ascii="Times New Roman" w:hAnsi="Times New Roman" w:eastAsia="宋体" w:cs="Times New Roman"/>
                <w:color w:val="auto"/>
                <w:kern w:val="0"/>
                <w:sz w:val="24"/>
                <w:szCs w:val="21"/>
                <w:highlight w:val="none"/>
                <w:u w:val="none" w:color="auto"/>
                <w:lang w:val="en-US" w:eastAsia="zh-CN" w:bidi="ar"/>
              </w:rPr>
              <w:t>装卸时间，</w:t>
            </w:r>
            <w:r>
              <w:rPr>
                <w:rFonts w:hint="default" w:ascii="Times New Roman" w:hAnsi="Times New Roman" w:eastAsia="宋体" w:cs="Times New Roman"/>
                <w:color w:val="auto"/>
                <w:kern w:val="0"/>
                <w:sz w:val="24"/>
                <w:szCs w:val="21"/>
                <w:highlight w:val="none"/>
                <w:u w:val="none" w:color="auto"/>
                <w:lang w:val="en-US" w:eastAsia="en-US" w:bidi="ar"/>
              </w:rPr>
              <w:t>不新增</w:t>
            </w:r>
            <w:r>
              <w:rPr>
                <w:rFonts w:hint="default" w:ascii="Times New Roman" w:hAnsi="Times New Roman" w:eastAsia="宋体" w:cs="Times New Roman"/>
                <w:color w:val="auto"/>
                <w:kern w:val="0"/>
                <w:sz w:val="24"/>
                <w:szCs w:val="21"/>
                <w:highlight w:val="none"/>
                <w:u w:val="none" w:color="auto"/>
                <w:lang w:val="en-US" w:eastAsia="zh-CN" w:bidi="ar"/>
              </w:rPr>
              <w:t>机械</w:t>
            </w:r>
            <w:r>
              <w:rPr>
                <w:rFonts w:hint="default" w:ascii="Times New Roman" w:hAnsi="Times New Roman" w:eastAsia="宋体" w:cs="Times New Roman"/>
                <w:color w:val="auto"/>
                <w:kern w:val="0"/>
                <w:sz w:val="24"/>
                <w:szCs w:val="21"/>
                <w:highlight w:val="none"/>
                <w:u w:val="none" w:color="auto"/>
                <w:lang w:val="en-US" w:eastAsia="en-US" w:bidi="ar"/>
              </w:rPr>
              <w:t>设备</w:t>
            </w:r>
            <w:r>
              <w:rPr>
                <w:rFonts w:hint="default" w:ascii="Times New Roman" w:hAnsi="Times New Roman" w:eastAsia="宋体" w:cs="Times New Roman"/>
                <w:color w:val="auto"/>
                <w:kern w:val="0"/>
                <w:sz w:val="24"/>
                <w:szCs w:val="21"/>
                <w:highlight w:val="none"/>
                <w:u w:val="none" w:color="auto"/>
                <w:lang w:val="en-US" w:eastAsia="zh-CN" w:bidi="ar"/>
              </w:rPr>
              <w:t>及运输车辆</w:t>
            </w:r>
            <w:r>
              <w:rPr>
                <w:rFonts w:hint="eastAsia" w:ascii="Times New Roman" w:hAnsi="Times New Roman" w:eastAsia="宋体" w:cs="Times New Roman"/>
                <w:color w:val="auto"/>
                <w:kern w:val="0"/>
                <w:sz w:val="24"/>
                <w:szCs w:val="21"/>
                <w:highlight w:val="none"/>
                <w:u w:val="none" w:color="auto"/>
                <w:lang w:val="en-US" w:eastAsia="zh-CN" w:bidi="ar"/>
              </w:rPr>
              <w:t>，无新增噪声源。</w:t>
            </w:r>
          </w:p>
          <w:p w14:paraId="0D7888D0">
            <w:pPr>
              <w:keepNext w:val="0"/>
              <w:keepLines w:val="0"/>
              <w:pageBreakBefore w:val="0"/>
              <w:widowControl w:val="0"/>
              <w:numPr>
                <w:ilvl w:val="0"/>
                <w:numId w:val="0"/>
              </w:numPr>
              <w:suppressLineNumbers w:val="0"/>
              <w:kinsoku/>
              <w:overflowPunct/>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auto"/>
                <w:kern w:val="0"/>
                <w:sz w:val="24"/>
                <w:szCs w:val="21"/>
                <w:highlight w:val="none"/>
                <w:u w:val="single" w:color="auto"/>
                <w:lang w:val="en-US" w:eastAsia="zh-CN" w:bidi="ar"/>
              </w:rPr>
            </w:pPr>
            <w:r>
              <w:rPr>
                <w:rFonts w:hint="eastAsia" w:ascii="Times New Roman" w:hAnsi="Times New Roman" w:eastAsia="宋体" w:cs="Times New Roman"/>
                <w:color w:val="auto"/>
                <w:kern w:val="0"/>
                <w:sz w:val="24"/>
                <w:szCs w:val="21"/>
                <w:highlight w:val="none"/>
                <w:u w:val="single" w:color="auto"/>
                <w:lang w:val="en-US" w:eastAsia="zh-CN" w:bidi="ar"/>
              </w:rPr>
              <w:t>项目噪声源主要为装卸作业、运输车辆行驶噪声，根据实测资料，项目噪声源强在75～86dB(A)，具体详见下表</w:t>
            </w:r>
            <w:r>
              <w:rPr>
                <w:rFonts w:hint="eastAsia" w:ascii="Times New Roman" w:hAnsi="Times New Roman" w:cs="Times New Roman"/>
                <w:color w:val="auto"/>
                <w:kern w:val="0"/>
                <w:sz w:val="24"/>
                <w:szCs w:val="21"/>
                <w:highlight w:val="none"/>
                <w:u w:val="single" w:color="auto"/>
                <w:lang w:val="en-US" w:eastAsia="zh-CN" w:bidi="ar"/>
              </w:rPr>
              <w:t>。</w:t>
            </w:r>
          </w:p>
          <w:p w14:paraId="66A6D28E">
            <w:pPr>
              <w:keepNext w:val="0"/>
              <w:keepLines w:val="0"/>
              <w:suppressLineNumbers w:val="0"/>
              <w:snapToGrid w:val="0"/>
              <w:spacing w:before="0" w:beforeAutospacing="0" w:after="0" w:afterAutospacing="0"/>
              <w:ind w:left="1" w:right="0"/>
              <w:jc w:val="center"/>
              <w:rPr>
                <w:rFonts w:hint="default" w:ascii="Times New Roman" w:hAnsi="Times New Roman" w:eastAsia="宋体"/>
                <w:b/>
                <w:color w:val="auto"/>
                <w:szCs w:val="22"/>
                <w:u w:val="single" w:color="auto"/>
              </w:rPr>
            </w:pPr>
            <w:r>
              <w:rPr>
                <w:rFonts w:hint="default" w:ascii="Times New Roman" w:hAnsi="Times New Roman" w:eastAsia="宋体"/>
                <w:b/>
                <w:color w:val="auto"/>
                <w:szCs w:val="22"/>
                <w:u w:val="single" w:color="auto"/>
              </w:rPr>
              <w:t>表</w:t>
            </w:r>
            <w:r>
              <w:rPr>
                <w:rFonts w:hint="eastAsia" w:eastAsia="宋体"/>
                <w:b/>
                <w:color w:val="auto"/>
                <w:szCs w:val="22"/>
                <w:u w:val="single" w:color="auto"/>
                <w:lang w:val="en-US" w:eastAsia="zh-CN"/>
              </w:rPr>
              <w:t xml:space="preserve">4-6 </w:t>
            </w:r>
            <w:r>
              <w:rPr>
                <w:rFonts w:hint="default" w:ascii="Times New Roman" w:hAnsi="Times New Roman" w:eastAsia="宋体"/>
                <w:b/>
                <w:color w:val="auto"/>
                <w:szCs w:val="22"/>
                <w:u w:val="single" w:color="auto"/>
              </w:rPr>
              <w:t>噪声源强一览表</w:t>
            </w:r>
          </w:p>
          <w:tbl>
            <w:tblPr>
              <w:tblStyle w:val="47"/>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083"/>
              <w:gridCol w:w="2617"/>
              <w:gridCol w:w="1700"/>
            </w:tblGrid>
            <w:tr w14:paraId="4503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noWrap w:val="0"/>
                  <w:vAlign w:val="center"/>
                </w:tcPr>
                <w:p w14:paraId="3B8F8EB1">
                  <w:pPr>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b/>
                      <w:color w:val="auto"/>
                      <w:sz w:val="21"/>
                      <w:szCs w:val="21"/>
                      <w:u w:val="single" w:color="auto"/>
                      <w:vertAlign w:val="baseline"/>
                      <w:lang w:val="en-US" w:eastAsia="zh-CN" w:bidi="ar-SA"/>
                    </w:rPr>
                  </w:pPr>
                  <w:r>
                    <w:rPr>
                      <w:rFonts w:hint="eastAsia" w:ascii="Times New Roman" w:hAnsi="Times New Roman" w:eastAsia="宋体" w:cs="Times New Roman"/>
                      <w:b/>
                      <w:color w:val="auto"/>
                      <w:sz w:val="21"/>
                      <w:szCs w:val="21"/>
                      <w:u w:val="single" w:color="auto"/>
                      <w:vertAlign w:val="baseline"/>
                      <w:lang w:val="en-US" w:eastAsia="zh-CN" w:bidi="ar-SA"/>
                    </w:rPr>
                    <w:t>序号</w:t>
                  </w:r>
                </w:p>
              </w:tc>
              <w:tc>
                <w:tcPr>
                  <w:tcW w:w="3083" w:type="dxa"/>
                  <w:noWrap w:val="0"/>
                  <w:vAlign w:val="center"/>
                </w:tcPr>
                <w:p w14:paraId="15974175">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 w:val="21"/>
                      <w:szCs w:val="21"/>
                      <w:u w:val="single" w:color="auto"/>
                      <w:vertAlign w:val="baseline"/>
                      <w:lang w:val="en-US" w:eastAsia="zh-CN" w:bidi="ar-SA"/>
                    </w:rPr>
                  </w:pPr>
                  <w:r>
                    <w:rPr>
                      <w:rFonts w:hint="eastAsia" w:ascii="Times New Roman" w:hAnsi="Times New Roman" w:eastAsia="宋体" w:cs="Times New Roman"/>
                      <w:b/>
                      <w:color w:val="auto"/>
                      <w:sz w:val="21"/>
                      <w:szCs w:val="21"/>
                      <w:u w:val="single" w:color="auto"/>
                      <w:vertAlign w:val="baseline"/>
                      <w:lang w:val="en-US" w:eastAsia="zh-CN" w:bidi="ar-SA"/>
                    </w:rPr>
                    <w:t>噪声源</w:t>
                  </w:r>
                </w:p>
              </w:tc>
              <w:tc>
                <w:tcPr>
                  <w:tcW w:w="2617" w:type="dxa"/>
                  <w:noWrap w:val="0"/>
                  <w:vAlign w:val="center"/>
                </w:tcPr>
                <w:p w14:paraId="4D9064E3">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 w:val="21"/>
                      <w:szCs w:val="21"/>
                      <w:u w:val="single" w:color="auto"/>
                      <w:vertAlign w:val="baseline"/>
                      <w:lang w:val="en-US" w:eastAsia="zh-CN" w:bidi="ar-SA"/>
                    </w:rPr>
                  </w:pPr>
                  <w:r>
                    <w:rPr>
                      <w:rFonts w:hint="eastAsia" w:ascii="Times New Roman" w:hAnsi="Times New Roman" w:eastAsia="宋体" w:cs="Times New Roman"/>
                      <w:b/>
                      <w:color w:val="auto"/>
                      <w:sz w:val="21"/>
                      <w:szCs w:val="21"/>
                      <w:u w:val="single" w:color="auto"/>
                      <w:vertAlign w:val="baseline"/>
                      <w:lang w:val="en-US" w:eastAsia="zh-CN" w:bidi="ar-SA"/>
                    </w:rPr>
                    <w:t>5m处噪声源强</w:t>
                  </w:r>
                </w:p>
              </w:tc>
              <w:tc>
                <w:tcPr>
                  <w:tcW w:w="1700" w:type="dxa"/>
                  <w:noWrap w:val="0"/>
                  <w:vAlign w:val="center"/>
                </w:tcPr>
                <w:p w14:paraId="1A792385">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color w:val="auto"/>
                      <w:sz w:val="21"/>
                      <w:szCs w:val="21"/>
                      <w:u w:val="single" w:color="auto"/>
                      <w:vertAlign w:val="baseline"/>
                      <w:lang w:val="en-US" w:eastAsia="zh-CN" w:bidi="ar-SA"/>
                    </w:rPr>
                  </w:pPr>
                  <w:r>
                    <w:rPr>
                      <w:rFonts w:hint="eastAsia" w:ascii="Times New Roman" w:hAnsi="Times New Roman" w:eastAsia="宋体" w:cs="Times New Roman"/>
                      <w:b/>
                      <w:color w:val="auto"/>
                      <w:sz w:val="21"/>
                      <w:szCs w:val="21"/>
                      <w:u w:val="single" w:color="auto"/>
                      <w:vertAlign w:val="baseline"/>
                      <w:lang w:val="en-US" w:eastAsia="zh-CN" w:bidi="ar-SA"/>
                    </w:rPr>
                    <w:t>排放方式</w:t>
                  </w:r>
                </w:p>
              </w:tc>
            </w:tr>
            <w:tr w14:paraId="6C2C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57" w:type="dxa"/>
                  <w:noWrap w:val="0"/>
                  <w:vAlign w:val="center"/>
                </w:tcPr>
                <w:p w14:paraId="6BA7A7B6">
                  <w:pPr>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b w:val="0"/>
                      <w:bCs/>
                      <w:color w:val="auto"/>
                      <w:sz w:val="21"/>
                      <w:szCs w:val="21"/>
                      <w:u w:val="single" w:color="auto"/>
                      <w:vertAlign w:val="baseline"/>
                      <w:lang w:val="en-US" w:eastAsia="zh-CN" w:bidi="ar-SA"/>
                    </w:rPr>
                  </w:pPr>
                  <w:r>
                    <w:rPr>
                      <w:rFonts w:hint="eastAsia" w:ascii="Times New Roman" w:hAnsi="Times New Roman" w:eastAsia="宋体" w:cs="Times New Roman"/>
                      <w:b w:val="0"/>
                      <w:bCs/>
                      <w:color w:val="auto"/>
                      <w:sz w:val="21"/>
                      <w:szCs w:val="21"/>
                      <w:u w:val="single" w:color="auto"/>
                      <w:vertAlign w:val="baseline"/>
                      <w:lang w:val="en-US" w:eastAsia="zh-CN" w:bidi="ar-SA"/>
                    </w:rPr>
                    <w:t>1</w:t>
                  </w:r>
                </w:p>
              </w:tc>
              <w:tc>
                <w:tcPr>
                  <w:tcW w:w="3083" w:type="dxa"/>
                  <w:noWrap w:val="0"/>
                  <w:vAlign w:val="center"/>
                </w:tcPr>
                <w:p w14:paraId="255CBC58">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val="0"/>
                      <w:bCs/>
                      <w:color w:val="auto"/>
                      <w:sz w:val="21"/>
                      <w:szCs w:val="21"/>
                      <w:u w:val="single" w:color="auto"/>
                      <w:vertAlign w:val="baseline"/>
                      <w:lang w:val="en-US" w:eastAsia="zh-CN" w:bidi="ar-SA"/>
                    </w:rPr>
                  </w:pPr>
                  <w:r>
                    <w:rPr>
                      <w:rFonts w:hint="eastAsia" w:ascii="Times New Roman" w:hAnsi="Times New Roman" w:eastAsia="宋体" w:cs="Times New Roman"/>
                      <w:b w:val="0"/>
                      <w:bCs/>
                      <w:color w:val="auto"/>
                      <w:sz w:val="21"/>
                      <w:szCs w:val="21"/>
                      <w:u w:val="single" w:color="auto"/>
                      <w:vertAlign w:val="baseline"/>
                      <w:lang w:val="en-US" w:eastAsia="zh-CN" w:bidi="ar-SA"/>
                    </w:rPr>
                    <w:t>龙门起重机</w:t>
                  </w:r>
                </w:p>
              </w:tc>
              <w:tc>
                <w:tcPr>
                  <w:tcW w:w="2617" w:type="dxa"/>
                  <w:noWrap w:val="0"/>
                  <w:vAlign w:val="center"/>
                </w:tcPr>
                <w:p w14:paraId="5C3CB83A">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val="0"/>
                      <w:bCs/>
                      <w:color w:val="auto"/>
                      <w:sz w:val="21"/>
                      <w:szCs w:val="21"/>
                      <w:u w:val="single" w:color="auto"/>
                      <w:vertAlign w:val="baseline"/>
                      <w:lang w:val="en-US" w:eastAsia="zh-CN" w:bidi="ar-SA"/>
                    </w:rPr>
                  </w:pPr>
                  <w:r>
                    <w:rPr>
                      <w:rFonts w:hint="eastAsia" w:ascii="Times New Roman" w:hAnsi="Times New Roman" w:eastAsia="宋体" w:cs="Times New Roman"/>
                      <w:b w:val="0"/>
                      <w:bCs/>
                      <w:color w:val="auto"/>
                      <w:sz w:val="21"/>
                      <w:szCs w:val="21"/>
                      <w:u w:val="single" w:color="auto"/>
                      <w:vertAlign w:val="baseline"/>
                      <w:lang w:val="en-US" w:eastAsia="zh-CN" w:bidi="ar-SA"/>
                    </w:rPr>
                    <w:t>75~85</w:t>
                  </w:r>
                </w:p>
              </w:tc>
              <w:tc>
                <w:tcPr>
                  <w:tcW w:w="1700" w:type="dxa"/>
                  <w:noWrap w:val="0"/>
                  <w:vAlign w:val="center"/>
                </w:tcPr>
                <w:p w14:paraId="71B1A5E6">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u w:val="single" w:color="auto"/>
                      <w:vertAlign w:val="baseline"/>
                    </w:rPr>
                  </w:pPr>
                  <w:r>
                    <w:rPr>
                      <w:rFonts w:hint="eastAsia" w:ascii="Times New Roman" w:hAnsi="Calibri" w:eastAsia="宋体"/>
                      <w:b w:val="0"/>
                      <w:bCs/>
                      <w:color w:val="auto"/>
                      <w:sz w:val="21"/>
                      <w:szCs w:val="21"/>
                      <w:u w:val="single" w:color="auto"/>
                      <w:vertAlign w:val="baseline"/>
                      <w:lang w:val="en-US" w:eastAsia="zh-CN"/>
                    </w:rPr>
                    <w:t>间歇</w:t>
                  </w:r>
                </w:p>
              </w:tc>
            </w:tr>
            <w:tr w14:paraId="3714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 w:type="dxa"/>
                  <w:noWrap w:val="0"/>
                  <w:vAlign w:val="center"/>
                </w:tcPr>
                <w:p w14:paraId="53766A44">
                  <w:pPr>
                    <w:keepNext w:val="0"/>
                    <w:keepLines w:val="0"/>
                    <w:widowControl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b w:val="0"/>
                      <w:bCs/>
                      <w:color w:val="auto"/>
                      <w:sz w:val="21"/>
                      <w:szCs w:val="21"/>
                      <w:u w:val="single" w:color="auto"/>
                      <w:vertAlign w:val="baseline"/>
                      <w:lang w:val="en-US" w:eastAsia="zh-CN" w:bidi="ar-SA"/>
                    </w:rPr>
                  </w:pPr>
                  <w:r>
                    <w:rPr>
                      <w:rFonts w:hint="eastAsia" w:ascii="Times New Roman" w:hAnsi="Times New Roman" w:eastAsia="宋体" w:cs="Times New Roman"/>
                      <w:b w:val="0"/>
                      <w:bCs/>
                      <w:color w:val="auto"/>
                      <w:sz w:val="21"/>
                      <w:szCs w:val="21"/>
                      <w:u w:val="single" w:color="auto"/>
                      <w:vertAlign w:val="baseline"/>
                      <w:lang w:val="en-US" w:eastAsia="zh-CN" w:bidi="ar-SA"/>
                    </w:rPr>
                    <w:t>2</w:t>
                  </w:r>
                </w:p>
              </w:tc>
              <w:tc>
                <w:tcPr>
                  <w:tcW w:w="3083" w:type="dxa"/>
                  <w:noWrap w:val="0"/>
                  <w:vAlign w:val="center"/>
                </w:tcPr>
                <w:p w14:paraId="64C6D830">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val="0"/>
                      <w:bCs/>
                      <w:color w:val="auto"/>
                      <w:sz w:val="21"/>
                      <w:szCs w:val="21"/>
                      <w:u w:val="single" w:color="auto"/>
                      <w:vertAlign w:val="baseline"/>
                      <w:lang w:val="en-US" w:eastAsia="zh-CN" w:bidi="ar-SA"/>
                    </w:rPr>
                  </w:pPr>
                  <w:r>
                    <w:rPr>
                      <w:rFonts w:hint="eastAsia" w:ascii="Times New Roman" w:hAnsi="Times New Roman" w:eastAsia="宋体" w:cs="Times New Roman"/>
                      <w:b w:val="0"/>
                      <w:bCs/>
                      <w:color w:val="auto"/>
                      <w:sz w:val="21"/>
                      <w:szCs w:val="21"/>
                      <w:u w:val="single" w:color="auto"/>
                      <w:vertAlign w:val="baseline"/>
                      <w:lang w:val="en-US" w:eastAsia="zh-CN" w:bidi="ar-SA"/>
                    </w:rPr>
                    <w:t>集卡</w:t>
                  </w:r>
                </w:p>
              </w:tc>
              <w:tc>
                <w:tcPr>
                  <w:tcW w:w="2617" w:type="dxa"/>
                  <w:noWrap w:val="0"/>
                  <w:vAlign w:val="center"/>
                </w:tcPr>
                <w:p w14:paraId="442AC57A">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val="0"/>
                      <w:bCs/>
                      <w:color w:val="auto"/>
                      <w:sz w:val="21"/>
                      <w:szCs w:val="21"/>
                      <w:u w:val="single" w:color="auto"/>
                      <w:vertAlign w:val="baseline"/>
                      <w:lang w:val="en-US" w:eastAsia="zh-CN" w:bidi="ar-SA"/>
                    </w:rPr>
                  </w:pPr>
                  <w:r>
                    <w:rPr>
                      <w:rFonts w:hint="eastAsia" w:ascii="Times New Roman" w:hAnsi="Times New Roman" w:eastAsia="宋体" w:cs="Times New Roman"/>
                      <w:b w:val="0"/>
                      <w:bCs/>
                      <w:color w:val="auto"/>
                      <w:sz w:val="21"/>
                      <w:szCs w:val="21"/>
                      <w:u w:val="single" w:color="auto"/>
                      <w:vertAlign w:val="baseline"/>
                      <w:lang w:val="en-US" w:eastAsia="zh-CN" w:bidi="ar-SA"/>
                    </w:rPr>
                    <w:t>82~86</w:t>
                  </w:r>
                </w:p>
              </w:tc>
              <w:tc>
                <w:tcPr>
                  <w:tcW w:w="1700" w:type="dxa"/>
                  <w:noWrap w:val="0"/>
                  <w:vAlign w:val="center"/>
                </w:tcPr>
                <w:p w14:paraId="73DA3898">
                  <w:pPr>
                    <w:keepNext w:val="0"/>
                    <w:keepLines w:val="0"/>
                    <w:suppressLineNumbers w:val="0"/>
                    <w:spacing w:before="0" w:beforeAutospacing="0" w:after="0" w:afterAutospacing="0"/>
                    <w:ind w:left="0" w:right="0"/>
                    <w:jc w:val="center"/>
                    <w:rPr>
                      <w:rFonts w:hint="default" w:ascii="Times New Roman" w:hAnsi="Times New Roman" w:eastAsia="宋体"/>
                      <w:b w:val="0"/>
                      <w:bCs/>
                      <w:color w:val="auto"/>
                      <w:sz w:val="21"/>
                      <w:szCs w:val="21"/>
                      <w:u w:val="single" w:color="auto"/>
                      <w:vertAlign w:val="baseline"/>
                    </w:rPr>
                  </w:pPr>
                  <w:r>
                    <w:rPr>
                      <w:rFonts w:hint="eastAsia" w:ascii="Times New Roman" w:hAnsi="Calibri" w:eastAsia="宋体"/>
                      <w:b w:val="0"/>
                      <w:bCs/>
                      <w:color w:val="auto"/>
                      <w:sz w:val="21"/>
                      <w:szCs w:val="21"/>
                      <w:u w:val="single" w:color="auto"/>
                      <w:vertAlign w:val="baseline"/>
                      <w:lang w:val="en-US" w:eastAsia="zh-CN"/>
                    </w:rPr>
                    <w:t>间歇</w:t>
                  </w:r>
                </w:p>
              </w:tc>
            </w:tr>
          </w:tbl>
          <w:p w14:paraId="38CA5C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snapToGrid w:val="0"/>
                <w:color w:val="auto"/>
                <w:kern w:val="0"/>
                <w:sz w:val="24"/>
                <w:szCs w:val="20"/>
                <w:highlight w:val="none"/>
                <w:u w:val="single" w:color="auto"/>
                <w:lang w:val="en-US" w:eastAsia="zh-CN"/>
              </w:rPr>
            </w:pPr>
            <w:r>
              <w:rPr>
                <w:rFonts w:hint="eastAsia" w:cs="Times New Roman"/>
                <w:snapToGrid w:val="0"/>
                <w:color w:val="auto"/>
                <w:kern w:val="0"/>
                <w:sz w:val="24"/>
                <w:szCs w:val="20"/>
                <w:highlight w:val="none"/>
                <w:u w:val="single" w:color="auto"/>
                <w:lang w:val="en-US" w:eastAsia="zh-CN"/>
              </w:rPr>
              <w:t>根据建设单位《钦州港大榄坪南作业区1#-6#泊位2025年例行监测项目》中对四周噪声的监测，项目堆场所在港区厂界均达到《工业企业厂界噪声标准》（12348-2008）中相关标准。</w:t>
            </w:r>
          </w:p>
          <w:p w14:paraId="3967A2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snapToGrid w:val="0"/>
                <w:color w:val="auto"/>
                <w:kern w:val="0"/>
                <w:sz w:val="24"/>
                <w:szCs w:val="20"/>
                <w:highlight w:val="none"/>
                <w:u w:val="none" w:color="auto"/>
                <w:lang w:val="en-US" w:eastAsia="zh-CN"/>
              </w:rPr>
            </w:pPr>
            <w:r>
              <w:rPr>
                <w:rFonts w:hint="eastAsia" w:cs="Times New Roman"/>
                <w:snapToGrid w:val="0"/>
                <w:color w:val="auto"/>
                <w:kern w:val="0"/>
                <w:sz w:val="24"/>
                <w:szCs w:val="20"/>
                <w:highlight w:val="none"/>
                <w:u w:val="none" w:color="auto"/>
                <w:lang w:val="en-US" w:eastAsia="zh-CN"/>
              </w:rPr>
              <w:t>根据调查，现有工程</w:t>
            </w:r>
            <w:r>
              <w:rPr>
                <w:rFonts w:hint="eastAsia" w:ascii="Times New Roman" w:hAnsi="Times New Roman" w:eastAsia="宋体" w:cs="Times New Roman"/>
                <w:snapToGrid w:val="0"/>
                <w:color w:val="auto"/>
                <w:kern w:val="0"/>
                <w:sz w:val="24"/>
                <w:szCs w:val="20"/>
                <w:highlight w:val="none"/>
                <w:u w:val="none" w:color="auto"/>
                <w:lang w:val="en-US" w:eastAsia="zh-CN"/>
              </w:rPr>
              <w:t>项目采取的措施如下：</w:t>
            </w:r>
          </w:p>
          <w:p w14:paraId="1831F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Times New Roman" w:hAnsi="Times New Roman" w:eastAsia="宋体" w:cs="Times New Roman"/>
                <w:snapToGrid w:val="0"/>
                <w:color w:val="auto"/>
                <w:kern w:val="0"/>
                <w:sz w:val="24"/>
                <w:szCs w:val="20"/>
                <w:highlight w:val="none"/>
                <w:u w:val="none" w:color="auto"/>
              </w:rPr>
            </w:pPr>
            <w:r>
              <w:rPr>
                <w:rFonts w:hint="eastAsia" w:ascii="Times New Roman" w:hAnsi="Times New Roman" w:eastAsia="宋体" w:cs="Times New Roman"/>
                <w:snapToGrid w:val="0"/>
                <w:color w:val="auto"/>
                <w:kern w:val="0"/>
                <w:sz w:val="24"/>
                <w:szCs w:val="20"/>
                <w:highlight w:val="none"/>
                <w:u w:val="none" w:color="auto"/>
                <w:lang w:eastAsia="zh-CN"/>
              </w:rPr>
              <w:t>（</w:t>
            </w:r>
            <w:r>
              <w:rPr>
                <w:rFonts w:hint="eastAsia" w:ascii="Times New Roman" w:hAnsi="Times New Roman" w:eastAsia="宋体" w:cs="Times New Roman"/>
                <w:snapToGrid w:val="0"/>
                <w:color w:val="auto"/>
                <w:kern w:val="0"/>
                <w:sz w:val="24"/>
                <w:szCs w:val="20"/>
                <w:highlight w:val="none"/>
                <w:u w:val="none" w:color="auto"/>
                <w:lang w:val="en-US" w:eastAsia="zh-CN"/>
              </w:rPr>
              <w:t>1</w:t>
            </w:r>
            <w:r>
              <w:rPr>
                <w:rFonts w:hint="eastAsia" w:ascii="Times New Roman" w:hAnsi="Times New Roman" w:eastAsia="宋体" w:cs="Times New Roman"/>
                <w:snapToGrid w:val="0"/>
                <w:color w:val="auto"/>
                <w:kern w:val="0"/>
                <w:sz w:val="24"/>
                <w:szCs w:val="20"/>
                <w:highlight w:val="none"/>
                <w:u w:val="none" w:color="auto"/>
                <w:lang w:eastAsia="zh-CN"/>
              </w:rPr>
              <w:t>）</w:t>
            </w:r>
            <w:r>
              <w:rPr>
                <w:rFonts w:hint="default" w:ascii="Times New Roman" w:hAnsi="Times New Roman" w:eastAsia="宋体" w:cs="Times New Roman"/>
                <w:snapToGrid w:val="0"/>
                <w:color w:val="auto"/>
                <w:kern w:val="0"/>
                <w:sz w:val="24"/>
                <w:szCs w:val="20"/>
                <w:highlight w:val="none"/>
                <w:u w:val="none" w:color="auto"/>
              </w:rPr>
              <w:t>选择噪声低、能耗低的设备。</w:t>
            </w:r>
          </w:p>
          <w:p w14:paraId="4BB6A8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Times New Roman" w:hAnsi="Times New Roman" w:eastAsia="宋体" w:cs="Times New Roman"/>
                <w:b/>
                <w:color w:val="auto"/>
                <w:sz w:val="24"/>
                <w:highlight w:val="none"/>
                <w:u w:val="none" w:color="auto"/>
                <w:lang w:val="en-US" w:eastAsia="zh-CN"/>
              </w:rPr>
            </w:pPr>
            <w:r>
              <w:rPr>
                <w:rFonts w:hint="default" w:ascii="Times New Roman" w:hAnsi="Times New Roman" w:eastAsia="宋体" w:cs="Times New Roman"/>
                <w:snapToGrid w:val="0"/>
                <w:color w:val="auto"/>
                <w:kern w:val="0"/>
                <w:sz w:val="24"/>
                <w:szCs w:val="20"/>
                <w:highlight w:val="none"/>
                <w:u w:val="none" w:color="auto"/>
              </w:rPr>
              <w:t>（2）加强设备的维护，确保设备处于良好的运转状态，杜绝因设备不正常运转时产生的高噪声现象。</w:t>
            </w:r>
          </w:p>
          <w:p w14:paraId="4D9D8A2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highlight w:val="none"/>
                <w:u w:val="none" w:color="auto"/>
              </w:rPr>
            </w:pPr>
            <w:r>
              <w:rPr>
                <w:rFonts w:hint="eastAsia" w:ascii="Times New Roman" w:hAnsi="Times New Roman" w:eastAsia="宋体" w:cs="Times New Roman"/>
                <w:b/>
                <w:color w:val="auto"/>
                <w:sz w:val="24"/>
                <w:highlight w:val="none"/>
                <w:u w:val="none" w:color="auto"/>
                <w:lang w:val="en-US" w:eastAsia="zh-CN"/>
              </w:rPr>
              <w:t>四</w:t>
            </w:r>
            <w:r>
              <w:rPr>
                <w:rFonts w:hint="default" w:ascii="Times New Roman" w:hAnsi="Times New Roman" w:eastAsia="宋体" w:cs="Times New Roman"/>
                <w:b/>
                <w:color w:val="auto"/>
                <w:sz w:val="24"/>
                <w:highlight w:val="none"/>
                <w:u w:val="none" w:color="auto"/>
                <w:lang w:val="en-US" w:eastAsia="zh-CN"/>
              </w:rPr>
              <w:t>、</w:t>
            </w:r>
            <w:r>
              <w:rPr>
                <w:rFonts w:hint="default" w:ascii="Times New Roman" w:hAnsi="Times New Roman" w:eastAsia="宋体" w:cs="Times New Roman"/>
                <w:b/>
                <w:color w:val="auto"/>
                <w:sz w:val="24"/>
                <w:highlight w:val="none"/>
                <w:u w:val="none" w:color="auto"/>
              </w:rPr>
              <w:t>固体废物</w:t>
            </w:r>
            <w:r>
              <w:rPr>
                <w:rFonts w:hint="default" w:ascii="Times New Roman" w:hAnsi="Times New Roman" w:eastAsia="宋体" w:cs="Times New Roman"/>
                <w:b/>
                <w:bCs/>
                <w:color w:val="auto"/>
                <w:sz w:val="24"/>
                <w:highlight w:val="none"/>
                <w:u w:val="none" w:color="auto"/>
                <w:lang w:val="en-US" w:eastAsia="zh-CN"/>
              </w:rPr>
              <w:t>影响分析及保护措施</w:t>
            </w:r>
          </w:p>
          <w:p w14:paraId="1295EA23">
            <w:pPr>
              <w:keepNext w:val="0"/>
              <w:keepLines w:val="0"/>
              <w:pageBreakBefore w:val="0"/>
              <w:widowControl/>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snapToGrid w:val="0"/>
                <w:color w:val="auto"/>
                <w:kern w:val="0"/>
                <w:sz w:val="24"/>
                <w:szCs w:val="20"/>
                <w:highlight w:val="none"/>
                <w:u w:val="none" w:color="auto"/>
                <w:lang w:val="en-US" w:eastAsia="zh-CN"/>
              </w:rPr>
            </w:pPr>
            <w:r>
              <w:rPr>
                <w:rFonts w:hint="eastAsia" w:ascii="Times New Roman" w:hAnsi="Times New Roman" w:eastAsia="宋体" w:cs="Times New Roman"/>
                <w:color w:val="auto"/>
                <w:kern w:val="0"/>
                <w:sz w:val="24"/>
                <w:szCs w:val="21"/>
                <w:highlight w:val="none"/>
                <w:u w:val="none" w:color="auto"/>
                <w:lang w:val="en-US" w:eastAsia="zh-CN" w:bidi="ar"/>
              </w:rPr>
              <w:t>混堆场</w:t>
            </w:r>
            <w:r>
              <w:rPr>
                <w:rFonts w:hint="eastAsia" w:cs="Times New Roman"/>
                <w:color w:val="auto"/>
                <w:kern w:val="0"/>
                <w:sz w:val="24"/>
                <w:szCs w:val="21"/>
                <w:highlight w:val="none"/>
                <w:u w:val="none" w:color="auto"/>
                <w:lang w:val="en-US" w:eastAsia="zh-CN" w:bidi="ar"/>
              </w:rPr>
              <w:t>运营期</w:t>
            </w:r>
            <w:r>
              <w:rPr>
                <w:rFonts w:hint="eastAsia" w:ascii="Times New Roman" w:hAnsi="Times New Roman" w:eastAsia="宋体" w:cs="Times New Roman"/>
                <w:snapToGrid w:val="0"/>
                <w:color w:val="auto"/>
                <w:kern w:val="0"/>
                <w:sz w:val="24"/>
                <w:szCs w:val="20"/>
                <w:highlight w:val="none"/>
                <w:u w:val="none" w:color="auto"/>
                <w:lang w:val="en-US" w:eastAsia="zh-CN"/>
              </w:rPr>
              <w:t>产生的固体废弃物主要为工作人员的生活垃圾和机械日常养护产生的废润滑油及含油抹布，</w:t>
            </w:r>
            <w:r>
              <w:rPr>
                <w:rFonts w:hint="default" w:ascii="Times New Roman" w:hAnsi="Times New Roman" w:eastAsia="宋体" w:cs="Times New Roman"/>
                <w:color w:val="auto"/>
                <w:spacing w:val="-1"/>
                <w:kern w:val="2"/>
                <w:sz w:val="24"/>
                <w:szCs w:val="24"/>
                <w:highlight w:val="none"/>
                <w:u w:val="none" w:color="auto"/>
                <w:lang w:val="en-US" w:eastAsia="en-US" w:bidi="ar-SA"/>
              </w:rPr>
              <w:t>项目不增加总吞吐量，不增加装卸时间，不新增机械设备及运输车辆</w:t>
            </w:r>
            <w:r>
              <w:rPr>
                <w:rFonts w:hint="eastAsia" w:ascii="Times New Roman" w:hAnsi="Times New Roman" w:eastAsia="宋体" w:cs="Times New Roman"/>
                <w:color w:val="auto"/>
                <w:spacing w:val="-1"/>
                <w:kern w:val="2"/>
                <w:sz w:val="24"/>
                <w:szCs w:val="24"/>
                <w:highlight w:val="none"/>
                <w:u w:val="none" w:color="auto"/>
                <w:lang w:val="en-US" w:eastAsia="zh-CN" w:bidi="ar-SA"/>
              </w:rPr>
              <w:t>，不新增劳动人员，无新增生活垃圾，无新增固体废弃物</w:t>
            </w:r>
            <w:r>
              <w:rPr>
                <w:rFonts w:hint="default" w:ascii="Times New Roman" w:hAnsi="Times New Roman" w:eastAsia="宋体" w:cs="Times New Roman"/>
                <w:snapToGrid w:val="0"/>
                <w:color w:val="auto"/>
                <w:kern w:val="0"/>
                <w:sz w:val="24"/>
                <w:szCs w:val="20"/>
                <w:highlight w:val="none"/>
                <w:u w:val="none" w:color="auto"/>
              </w:rPr>
              <w:t>。</w:t>
            </w:r>
            <w:r>
              <w:rPr>
                <w:rFonts w:hint="eastAsia" w:cs="Times New Roman"/>
                <w:snapToGrid w:val="0"/>
                <w:color w:val="auto"/>
                <w:kern w:val="0"/>
                <w:sz w:val="24"/>
                <w:szCs w:val="20"/>
                <w:highlight w:val="none"/>
                <w:u w:val="none" w:color="auto"/>
                <w:lang w:val="en-US" w:eastAsia="zh-CN"/>
              </w:rPr>
              <w:t>项目固体废弃物情况如下：</w:t>
            </w:r>
          </w:p>
          <w:p w14:paraId="3E1CB917">
            <w:pPr>
              <w:keepNext w:val="0"/>
              <w:keepLines w:val="0"/>
              <w:pageBreakBefore w:val="0"/>
              <w:widowControl/>
              <w:numPr>
                <w:ilvl w:val="0"/>
                <w:numId w:val="0"/>
              </w:numPr>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cs="Times New Roman"/>
                <w:snapToGrid w:val="0"/>
                <w:color w:val="auto"/>
                <w:kern w:val="0"/>
                <w:sz w:val="24"/>
                <w:szCs w:val="20"/>
                <w:highlight w:val="none"/>
                <w:u w:val="single" w:color="auto"/>
                <w:lang w:val="en-US" w:eastAsia="zh-CN"/>
              </w:rPr>
            </w:pPr>
            <w:r>
              <w:rPr>
                <w:rFonts w:hint="eastAsia" w:ascii="Times New Roman" w:hAnsi="Times New Roman" w:eastAsia="宋体" w:cs="Times New Roman"/>
                <w:snapToGrid w:val="0"/>
                <w:color w:val="auto"/>
                <w:kern w:val="0"/>
                <w:sz w:val="24"/>
                <w:szCs w:val="20"/>
                <w:u w:val="single" w:color="auto"/>
                <w:lang w:val="en-US" w:eastAsia="zh-CN" w:bidi="ar-SA"/>
              </w:rPr>
              <w:t>1、</w:t>
            </w:r>
            <w:r>
              <w:rPr>
                <w:rFonts w:hint="eastAsia" w:cs="Times New Roman"/>
                <w:snapToGrid w:val="0"/>
                <w:color w:val="auto"/>
                <w:kern w:val="0"/>
                <w:sz w:val="24"/>
                <w:szCs w:val="20"/>
                <w:highlight w:val="none"/>
                <w:u w:val="single" w:color="auto"/>
                <w:lang w:val="en-US" w:eastAsia="zh-CN"/>
              </w:rPr>
              <w:t>生活垃圾</w:t>
            </w:r>
          </w:p>
          <w:p w14:paraId="3A6E61B8">
            <w:pPr>
              <w:keepNext w:val="0"/>
              <w:keepLines w:val="0"/>
              <w:pageBreakBefore w:val="0"/>
              <w:widowControl/>
              <w:numPr>
                <w:ilvl w:val="0"/>
                <w:numId w:val="0"/>
              </w:numPr>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both"/>
              <w:textAlignment w:val="auto"/>
              <w:outlineLvl w:val="9"/>
              <w:rPr>
                <w:rFonts w:hint="eastAsia" w:ascii="Times New Roman" w:hAnsi="Times New Roman" w:eastAsia="宋体" w:cs="Times New Roman"/>
                <w:snapToGrid w:val="0"/>
                <w:color w:val="auto"/>
                <w:kern w:val="0"/>
                <w:sz w:val="24"/>
                <w:szCs w:val="20"/>
                <w:highlight w:val="none"/>
                <w:u w:val="single" w:color="auto"/>
                <w:lang w:val="en-US" w:eastAsia="zh-CN"/>
              </w:rPr>
            </w:pPr>
            <w:r>
              <w:rPr>
                <w:rFonts w:hint="eastAsia" w:ascii="Times New Roman" w:hAnsi="Times New Roman" w:eastAsia="宋体" w:cs="Times New Roman"/>
                <w:snapToGrid w:val="0"/>
                <w:color w:val="auto"/>
                <w:kern w:val="0"/>
                <w:sz w:val="24"/>
                <w:szCs w:val="20"/>
                <w:highlight w:val="none"/>
                <w:u w:val="single" w:color="auto"/>
                <w:lang w:val="en-US" w:eastAsia="zh-CN"/>
              </w:rPr>
              <w:t>项目不新增劳动人员，根据调查，负责项目堆场劳动人员约为5人，生活垃圾产生量按1.0kg/人·d 计算，则项目生活垃圾产生量约为</w:t>
            </w:r>
            <w:r>
              <w:rPr>
                <w:rFonts w:hint="eastAsia" w:cs="Times New Roman"/>
                <w:snapToGrid w:val="0"/>
                <w:color w:val="auto"/>
                <w:kern w:val="0"/>
                <w:sz w:val="24"/>
                <w:szCs w:val="20"/>
                <w:highlight w:val="none"/>
                <w:u w:val="single" w:color="auto"/>
                <w:lang w:val="en-US" w:eastAsia="zh-CN"/>
              </w:rPr>
              <w:t>5</w:t>
            </w:r>
            <w:r>
              <w:rPr>
                <w:rFonts w:hint="eastAsia" w:ascii="Times New Roman" w:hAnsi="Times New Roman" w:eastAsia="宋体" w:cs="Times New Roman"/>
                <w:snapToGrid w:val="0"/>
                <w:color w:val="auto"/>
                <w:kern w:val="0"/>
                <w:sz w:val="24"/>
                <w:szCs w:val="20"/>
                <w:highlight w:val="none"/>
                <w:u w:val="single" w:color="auto"/>
                <w:lang w:val="en-US" w:eastAsia="zh-CN"/>
              </w:rPr>
              <w:t>kg/d</w:t>
            </w:r>
            <w:r>
              <w:rPr>
                <w:rFonts w:hint="eastAsia" w:cs="Times New Roman"/>
                <w:snapToGrid w:val="0"/>
                <w:color w:val="auto"/>
                <w:kern w:val="0"/>
                <w:sz w:val="24"/>
                <w:szCs w:val="20"/>
                <w:highlight w:val="none"/>
                <w:u w:val="single" w:color="auto"/>
                <w:lang w:val="en-US" w:eastAsia="zh-CN"/>
              </w:rPr>
              <w:t>，</w:t>
            </w:r>
            <w:r>
              <w:rPr>
                <w:rFonts w:hint="eastAsia" w:ascii="Times New Roman" w:hAnsi="Times New Roman" w:eastAsia="宋体" w:cs="Times New Roman"/>
                <w:snapToGrid w:val="0"/>
                <w:color w:val="auto"/>
                <w:kern w:val="0"/>
                <w:sz w:val="24"/>
                <w:szCs w:val="20"/>
                <w:highlight w:val="none"/>
                <w:u w:val="single" w:color="auto"/>
                <w:lang w:val="en-US" w:eastAsia="zh-CN"/>
              </w:rPr>
              <w:t>集中收集后委托当地环卫部门清运处理。</w:t>
            </w:r>
          </w:p>
          <w:p w14:paraId="50B7994F">
            <w:pPr>
              <w:keepNext w:val="0"/>
              <w:keepLines w:val="0"/>
              <w:pageBreakBefore w:val="0"/>
              <w:widowControl/>
              <w:numPr>
                <w:ilvl w:val="0"/>
                <w:numId w:val="0"/>
              </w:numPr>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snapToGrid w:val="0"/>
                <w:color w:val="auto"/>
                <w:kern w:val="0"/>
                <w:sz w:val="24"/>
                <w:szCs w:val="20"/>
                <w:highlight w:val="none"/>
                <w:u w:val="single" w:color="auto"/>
                <w:lang w:val="en-US" w:eastAsia="zh-CN"/>
              </w:rPr>
            </w:pPr>
            <w:r>
              <w:rPr>
                <w:rFonts w:hint="eastAsia" w:cs="Times New Roman"/>
                <w:snapToGrid w:val="0"/>
                <w:color w:val="auto"/>
                <w:kern w:val="0"/>
                <w:sz w:val="24"/>
                <w:szCs w:val="20"/>
                <w:highlight w:val="none"/>
                <w:u w:val="single" w:color="auto"/>
                <w:lang w:val="en-US" w:eastAsia="zh-CN"/>
              </w:rPr>
              <w:t>2</w:t>
            </w:r>
            <w:r>
              <w:rPr>
                <w:rFonts w:hint="eastAsia" w:ascii="Times New Roman" w:hAnsi="Times New Roman" w:eastAsia="宋体" w:cs="Times New Roman"/>
                <w:snapToGrid w:val="0"/>
                <w:color w:val="auto"/>
                <w:kern w:val="0"/>
                <w:sz w:val="24"/>
                <w:szCs w:val="20"/>
                <w:highlight w:val="none"/>
                <w:u w:val="single" w:color="auto"/>
                <w:lang w:val="en-US" w:eastAsia="zh-CN"/>
              </w:rPr>
              <w:t>、废润滑油及含油抹布</w:t>
            </w:r>
          </w:p>
          <w:p w14:paraId="47A17013">
            <w:pPr>
              <w:keepNext w:val="0"/>
              <w:keepLines w:val="0"/>
              <w:pageBreakBefore w:val="0"/>
              <w:widowControl/>
              <w:numPr>
                <w:ilvl w:val="0"/>
                <w:numId w:val="0"/>
              </w:numPr>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snapToGrid w:val="0"/>
                <w:color w:val="auto"/>
                <w:kern w:val="0"/>
                <w:sz w:val="24"/>
                <w:szCs w:val="20"/>
                <w:highlight w:val="none"/>
                <w:u w:val="single" w:color="auto"/>
                <w:lang w:val="en-US" w:eastAsia="zh-CN"/>
              </w:rPr>
            </w:pPr>
            <w:r>
              <w:rPr>
                <w:rFonts w:hint="eastAsia" w:ascii="Times New Roman" w:hAnsi="Times New Roman" w:eastAsia="宋体" w:cs="Times New Roman"/>
                <w:snapToGrid w:val="0"/>
                <w:color w:val="auto"/>
                <w:kern w:val="0"/>
                <w:sz w:val="24"/>
                <w:szCs w:val="20"/>
                <w:highlight w:val="none"/>
                <w:u w:val="single" w:color="auto"/>
                <w:lang w:val="en-US" w:eastAsia="zh-CN"/>
              </w:rPr>
              <w:t>项目</w:t>
            </w:r>
            <w:r>
              <w:rPr>
                <w:rFonts w:hint="eastAsia" w:cs="Times New Roman"/>
                <w:snapToGrid w:val="0"/>
                <w:color w:val="auto"/>
                <w:kern w:val="0"/>
                <w:sz w:val="24"/>
                <w:szCs w:val="20"/>
                <w:highlight w:val="none"/>
                <w:u w:val="single" w:color="auto"/>
                <w:lang w:val="en-US" w:eastAsia="zh-CN"/>
              </w:rPr>
              <w:t>不</w:t>
            </w:r>
            <w:r>
              <w:rPr>
                <w:rFonts w:hint="eastAsia" w:ascii="Times New Roman" w:hAnsi="Times New Roman" w:eastAsia="宋体" w:cs="Times New Roman"/>
                <w:snapToGrid w:val="0"/>
                <w:color w:val="auto"/>
                <w:kern w:val="0"/>
                <w:sz w:val="24"/>
                <w:szCs w:val="20"/>
                <w:highlight w:val="none"/>
                <w:u w:val="single" w:color="auto"/>
                <w:lang w:val="en-US" w:eastAsia="zh-CN"/>
              </w:rPr>
              <w:t>新增机械</w:t>
            </w:r>
            <w:r>
              <w:rPr>
                <w:rFonts w:hint="eastAsia" w:cs="Times New Roman"/>
                <w:snapToGrid w:val="0"/>
                <w:color w:val="auto"/>
                <w:kern w:val="0"/>
                <w:sz w:val="24"/>
                <w:szCs w:val="20"/>
                <w:highlight w:val="none"/>
                <w:u w:val="single" w:color="auto"/>
                <w:lang w:val="en-US" w:eastAsia="zh-CN"/>
              </w:rPr>
              <w:t>设备，根据调查，项目使用机械设备</w:t>
            </w:r>
            <w:r>
              <w:rPr>
                <w:rFonts w:hint="eastAsia" w:ascii="Times New Roman" w:hAnsi="Times New Roman" w:eastAsia="宋体" w:cs="Times New Roman"/>
                <w:snapToGrid w:val="0"/>
                <w:color w:val="auto"/>
                <w:kern w:val="0"/>
                <w:sz w:val="24"/>
                <w:szCs w:val="20"/>
                <w:highlight w:val="none"/>
                <w:u w:val="single" w:color="auto"/>
                <w:lang w:val="en-US" w:eastAsia="zh-CN"/>
              </w:rPr>
              <w:t>养护维修过程中会产生少量废润滑油及含油抹布，根据类比现有工程废润滑油产生量约为</w:t>
            </w:r>
            <w:r>
              <w:rPr>
                <w:rFonts w:hint="eastAsia" w:cs="Times New Roman"/>
                <w:snapToGrid w:val="0"/>
                <w:color w:val="auto"/>
                <w:kern w:val="0"/>
                <w:sz w:val="24"/>
                <w:szCs w:val="20"/>
                <w:highlight w:val="none"/>
                <w:u w:val="single" w:color="auto"/>
                <w:lang w:val="en-US" w:eastAsia="zh-CN"/>
              </w:rPr>
              <w:t>0.5</w:t>
            </w:r>
            <w:r>
              <w:rPr>
                <w:rFonts w:hint="eastAsia" w:ascii="Times New Roman" w:hAnsi="Times New Roman" w:eastAsia="宋体" w:cs="Times New Roman"/>
                <w:snapToGrid w:val="0"/>
                <w:color w:val="auto"/>
                <w:kern w:val="0"/>
                <w:sz w:val="24"/>
                <w:szCs w:val="20"/>
                <w:highlight w:val="none"/>
                <w:u w:val="single" w:color="auto"/>
                <w:lang w:val="en-US" w:eastAsia="zh-CN"/>
              </w:rPr>
              <w:t>t/a，含油抹布产生量约0.</w:t>
            </w:r>
            <w:r>
              <w:rPr>
                <w:rFonts w:hint="eastAsia" w:cs="Times New Roman"/>
                <w:snapToGrid w:val="0"/>
                <w:color w:val="auto"/>
                <w:kern w:val="0"/>
                <w:sz w:val="24"/>
                <w:szCs w:val="20"/>
                <w:highlight w:val="none"/>
                <w:u w:val="single" w:color="auto"/>
                <w:lang w:val="en-US" w:eastAsia="zh-CN"/>
              </w:rPr>
              <w:t>2</w:t>
            </w:r>
            <w:r>
              <w:rPr>
                <w:rFonts w:hint="eastAsia" w:ascii="Times New Roman" w:hAnsi="Times New Roman" w:eastAsia="宋体" w:cs="Times New Roman"/>
                <w:snapToGrid w:val="0"/>
                <w:color w:val="auto"/>
                <w:kern w:val="0"/>
                <w:sz w:val="24"/>
                <w:szCs w:val="20"/>
                <w:highlight w:val="none"/>
                <w:u w:val="single" w:color="auto"/>
                <w:lang w:val="en-US" w:eastAsia="zh-CN"/>
              </w:rPr>
              <w:t>t/a。</w:t>
            </w:r>
          </w:p>
          <w:p w14:paraId="075BDF31">
            <w:pPr>
              <w:keepNext w:val="0"/>
              <w:keepLines w:val="0"/>
              <w:pageBreakBefore w:val="0"/>
              <w:widowControl/>
              <w:numPr>
                <w:ilvl w:val="0"/>
                <w:numId w:val="0"/>
              </w:numPr>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snapToGrid w:val="0"/>
                <w:color w:val="auto"/>
                <w:kern w:val="0"/>
                <w:sz w:val="24"/>
                <w:szCs w:val="20"/>
                <w:highlight w:val="none"/>
                <w:u w:val="single" w:color="auto"/>
                <w:lang w:val="en-US" w:eastAsia="zh-CN"/>
              </w:rPr>
            </w:pPr>
            <w:r>
              <w:rPr>
                <w:rFonts w:hint="eastAsia" w:ascii="Times New Roman" w:hAnsi="Times New Roman" w:eastAsia="宋体" w:cs="Times New Roman"/>
                <w:snapToGrid w:val="0"/>
                <w:color w:val="auto"/>
                <w:kern w:val="0"/>
                <w:sz w:val="24"/>
                <w:szCs w:val="20"/>
                <w:highlight w:val="none"/>
                <w:u w:val="single" w:color="auto"/>
                <w:lang w:val="en-US" w:eastAsia="zh-CN"/>
              </w:rPr>
              <w:t>根据对照《国家危险废物名录》（202</w:t>
            </w:r>
            <w:r>
              <w:rPr>
                <w:rFonts w:hint="eastAsia" w:cs="Times New Roman"/>
                <w:snapToGrid w:val="0"/>
                <w:color w:val="auto"/>
                <w:kern w:val="0"/>
                <w:sz w:val="24"/>
                <w:szCs w:val="20"/>
                <w:highlight w:val="none"/>
                <w:u w:val="single" w:color="auto"/>
                <w:lang w:val="en-US" w:eastAsia="zh-CN"/>
              </w:rPr>
              <w:t>5</w:t>
            </w:r>
            <w:r>
              <w:rPr>
                <w:rFonts w:hint="eastAsia" w:ascii="Times New Roman" w:hAnsi="Times New Roman" w:eastAsia="宋体" w:cs="Times New Roman"/>
                <w:snapToGrid w:val="0"/>
                <w:color w:val="auto"/>
                <w:kern w:val="0"/>
                <w:sz w:val="24"/>
                <w:szCs w:val="20"/>
                <w:highlight w:val="none"/>
                <w:u w:val="single" w:color="auto"/>
                <w:lang w:val="en-US" w:eastAsia="zh-CN"/>
              </w:rPr>
              <w:t>年版），废润滑油属于其中的HW08 废矿物油与含矿物油废物中的“900-217-08</w:t>
            </w:r>
            <w:r>
              <w:rPr>
                <w:rFonts w:hint="eastAsia" w:cs="Times New Roman"/>
                <w:snapToGrid w:val="0"/>
                <w:color w:val="auto"/>
                <w:kern w:val="0"/>
                <w:sz w:val="24"/>
                <w:szCs w:val="20"/>
                <w:highlight w:val="none"/>
                <w:u w:val="single" w:color="auto"/>
                <w:lang w:val="en-US" w:eastAsia="zh-CN"/>
              </w:rPr>
              <w:t>使用</w:t>
            </w:r>
            <w:r>
              <w:rPr>
                <w:rFonts w:hint="eastAsia" w:ascii="Times New Roman" w:hAnsi="Times New Roman" w:eastAsia="宋体" w:cs="Times New Roman"/>
                <w:snapToGrid w:val="0"/>
                <w:color w:val="auto"/>
                <w:kern w:val="0"/>
                <w:sz w:val="24"/>
                <w:szCs w:val="20"/>
                <w:highlight w:val="none"/>
                <w:u w:val="single" w:color="auto"/>
                <w:lang w:val="en-US" w:eastAsia="zh-CN"/>
              </w:rPr>
              <w:t>工业齿轮油进行机械设备润滑过程中产生的废润滑油”；废含油抹布属于</w:t>
            </w:r>
            <w:r>
              <w:rPr>
                <w:rFonts w:hint="eastAsia" w:cs="Times New Roman"/>
                <w:snapToGrid w:val="0"/>
                <w:color w:val="auto"/>
                <w:kern w:val="0"/>
                <w:sz w:val="24"/>
                <w:szCs w:val="20"/>
                <w:highlight w:val="none"/>
                <w:u w:val="single" w:color="auto"/>
                <w:lang w:val="en-US" w:eastAsia="zh-CN"/>
              </w:rPr>
              <w:t>其中的</w:t>
            </w:r>
            <w:r>
              <w:rPr>
                <w:rFonts w:hint="eastAsia" w:ascii="Times New Roman" w:hAnsi="Times New Roman" w:eastAsia="宋体" w:cs="Times New Roman"/>
                <w:snapToGrid w:val="0"/>
                <w:color w:val="auto"/>
                <w:kern w:val="0"/>
                <w:sz w:val="24"/>
                <w:szCs w:val="20"/>
                <w:highlight w:val="none"/>
                <w:u w:val="single" w:color="auto"/>
                <w:lang w:val="en-US" w:eastAsia="zh-CN"/>
              </w:rPr>
              <w:t>HW49 其他废物，废物代码为“900-041-49”，均属于危险废物。项目产生的废润滑油及含油抹布，分别暂存在危废暂存库，定期交由有资质单位进行处置。</w:t>
            </w:r>
          </w:p>
          <w:p w14:paraId="5890B6E5">
            <w:pPr>
              <w:keepNext w:val="0"/>
              <w:keepLines w:val="0"/>
              <w:suppressLineNumbers w:val="0"/>
              <w:bidi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aps w:val="0"/>
                <w:color w:val="auto"/>
                <w:sz w:val="21"/>
                <w:szCs w:val="21"/>
                <w:u w:val="single" w:color="auto"/>
                <w:lang w:val="en-US" w:eastAsia="zh-CN"/>
              </w:rPr>
            </w:pPr>
          </w:p>
          <w:p w14:paraId="4F243F11">
            <w:pPr>
              <w:keepNext w:val="0"/>
              <w:keepLines w:val="0"/>
              <w:suppressLineNumbers w:val="0"/>
              <w:bidi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aps w:val="0"/>
                <w:color w:val="auto"/>
                <w:sz w:val="21"/>
                <w:szCs w:val="21"/>
                <w:u w:val="single" w:color="auto"/>
                <w:lang w:val="en-US" w:eastAsia="zh-CN"/>
              </w:rPr>
            </w:pPr>
          </w:p>
          <w:p w14:paraId="07BA0F54">
            <w:pPr>
              <w:keepNext w:val="0"/>
              <w:keepLines w:val="0"/>
              <w:suppressLineNumbers w:val="0"/>
              <w:bidi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aps w:val="0"/>
                <w:color w:val="auto"/>
                <w:sz w:val="21"/>
                <w:szCs w:val="21"/>
                <w:u w:val="single" w:color="auto"/>
                <w:lang w:val="en-US" w:eastAsia="zh-CN"/>
              </w:rPr>
            </w:pPr>
          </w:p>
          <w:p w14:paraId="1EA07AB6">
            <w:pPr>
              <w:keepNext w:val="0"/>
              <w:keepLines w:val="0"/>
              <w:suppressLineNumbers w:val="0"/>
              <w:bidi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aps w:val="0"/>
                <w:color w:val="auto"/>
                <w:sz w:val="21"/>
                <w:szCs w:val="21"/>
                <w:u w:val="single" w:color="auto"/>
                <w:lang w:val="en-US" w:eastAsia="zh-CN"/>
              </w:rPr>
            </w:pPr>
          </w:p>
          <w:p w14:paraId="73B4DAF9">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lang w:val="en-US" w:eastAsia="zh-CN"/>
              </w:rPr>
              <w:t xml:space="preserve">表4-7 </w:t>
            </w:r>
            <w:r>
              <w:rPr>
                <w:rFonts w:hint="default" w:ascii="Times New Roman" w:hAnsi="Times New Roman" w:eastAsia="宋体" w:cs="Times New Roman"/>
                <w:b/>
                <w:bCs/>
                <w:caps w:val="0"/>
                <w:color w:val="auto"/>
                <w:sz w:val="21"/>
                <w:szCs w:val="21"/>
                <w:u w:val="single" w:color="auto"/>
              </w:rPr>
              <w:t>项目危险废物汇总表</w:t>
            </w:r>
          </w:p>
          <w:tbl>
            <w:tblPr>
              <w:tblStyle w:val="46"/>
              <w:tblW w:w="5000" w:type="pct"/>
              <w:tblInd w:w="-1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93"/>
              <w:gridCol w:w="554"/>
              <w:gridCol w:w="693"/>
              <w:gridCol w:w="1108"/>
              <w:gridCol w:w="692"/>
              <w:gridCol w:w="788"/>
              <w:gridCol w:w="455"/>
              <w:gridCol w:w="586"/>
              <w:gridCol w:w="645"/>
              <w:gridCol w:w="586"/>
              <w:gridCol w:w="557"/>
              <w:gridCol w:w="1190"/>
            </w:tblGrid>
            <w:tr w14:paraId="0F4718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93" w:type="dxa"/>
                  <w:tcBorders>
                    <w:tl2br w:val="nil"/>
                    <w:tr2bl w:val="nil"/>
                  </w:tcBorders>
                  <w:noWrap w:val="0"/>
                  <w:tcMar>
                    <w:left w:w="0" w:type="dxa"/>
                    <w:right w:w="0" w:type="dxa"/>
                  </w:tcMar>
                  <w:vAlign w:val="center"/>
                </w:tcPr>
                <w:p w14:paraId="6A4B7EC0">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序号</w:t>
                  </w:r>
                </w:p>
              </w:tc>
              <w:tc>
                <w:tcPr>
                  <w:tcW w:w="554" w:type="dxa"/>
                  <w:tcBorders>
                    <w:tl2br w:val="nil"/>
                    <w:tr2bl w:val="nil"/>
                  </w:tcBorders>
                  <w:noWrap w:val="0"/>
                  <w:tcMar>
                    <w:left w:w="0" w:type="dxa"/>
                    <w:right w:w="0" w:type="dxa"/>
                  </w:tcMar>
                  <w:vAlign w:val="center"/>
                </w:tcPr>
                <w:p w14:paraId="572D0CF4">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危险废物名称</w:t>
                  </w:r>
                </w:p>
              </w:tc>
              <w:tc>
                <w:tcPr>
                  <w:tcW w:w="693" w:type="dxa"/>
                  <w:tcBorders>
                    <w:tl2br w:val="nil"/>
                    <w:tr2bl w:val="nil"/>
                  </w:tcBorders>
                  <w:noWrap w:val="0"/>
                  <w:tcMar>
                    <w:left w:w="0" w:type="dxa"/>
                    <w:right w:w="0" w:type="dxa"/>
                  </w:tcMar>
                  <w:vAlign w:val="center"/>
                </w:tcPr>
                <w:p w14:paraId="7E8CDBE0">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危险废物类别</w:t>
                  </w:r>
                </w:p>
              </w:tc>
              <w:tc>
                <w:tcPr>
                  <w:tcW w:w="1108" w:type="dxa"/>
                  <w:tcBorders>
                    <w:tl2br w:val="nil"/>
                    <w:tr2bl w:val="nil"/>
                  </w:tcBorders>
                  <w:noWrap w:val="0"/>
                  <w:tcMar>
                    <w:left w:w="0" w:type="dxa"/>
                    <w:right w:w="0" w:type="dxa"/>
                  </w:tcMar>
                  <w:vAlign w:val="center"/>
                </w:tcPr>
                <w:p w14:paraId="2DBBA83B">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危险废物代码</w:t>
                  </w:r>
                </w:p>
              </w:tc>
              <w:tc>
                <w:tcPr>
                  <w:tcW w:w="692" w:type="dxa"/>
                  <w:tcBorders>
                    <w:tl2br w:val="nil"/>
                    <w:tr2bl w:val="nil"/>
                  </w:tcBorders>
                  <w:noWrap w:val="0"/>
                  <w:tcMar>
                    <w:left w:w="0" w:type="dxa"/>
                    <w:right w:w="0" w:type="dxa"/>
                  </w:tcMar>
                  <w:vAlign w:val="center"/>
                </w:tcPr>
                <w:p w14:paraId="78E22C2E">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产生量(</w:t>
                  </w:r>
                  <w:r>
                    <w:rPr>
                      <w:rFonts w:hint="default" w:ascii="Times New Roman" w:hAnsi="Times New Roman" w:eastAsia="宋体" w:cs="Times New Roman"/>
                      <w:b/>
                      <w:bCs/>
                      <w:caps w:val="0"/>
                      <w:color w:val="auto"/>
                      <w:sz w:val="21"/>
                      <w:szCs w:val="21"/>
                      <w:u w:val="single" w:color="auto"/>
                    </w:rPr>
                    <w:t>t/a)</w:t>
                  </w:r>
                </w:p>
              </w:tc>
              <w:tc>
                <w:tcPr>
                  <w:tcW w:w="788" w:type="dxa"/>
                  <w:tcBorders>
                    <w:tl2br w:val="nil"/>
                    <w:tr2bl w:val="nil"/>
                  </w:tcBorders>
                  <w:noWrap w:val="0"/>
                  <w:tcMar>
                    <w:left w:w="0" w:type="dxa"/>
                    <w:right w:w="0" w:type="dxa"/>
                  </w:tcMar>
                  <w:vAlign w:val="center"/>
                </w:tcPr>
                <w:p w14:paraId="0207B816">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产生工序及装置</w:t>
                  </w:r>
                </w:p>
              </w:tc>
              <w:tc>
                <w:tcPr>
                  <w:tcW w:w="455" w:type="dxa"/>
                  <w:tcBorders>
                    <w:tl2br w:val="nil"/>
                    <w:tr2bl w:val="nil"/>
                  </w:tcBorders>
                  <w:noWrap w:val="0"/>
                  <w:tcMar>
                    <w:left w:w="0" w:type="dxa"/>
                    <w:right w:w="0" w:type="dxa"/>
                  </w:tcMar>
                  <w:vAlign w:val="center"/>
                </w:tcPr>
                <w:p w14:paraId="2758B46B">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形态</w:t>
                  </w:r>
                </w:p>
              </w:tc>
              <w:tc>
                <w:tcPr>
                  <w:tcW w:w="586" w:type="dxa"/>
                  <w:tcBorders>
                    <w:tl2br w:val="nil"/>
                    <w:tr2bl w:val="nil"/>
                  </w:tcBorders>
                  <w:noWrap w:val="0"/>
                  <w:tcMar>
                    <w:left w:w="0" w:type="dxa"/>
                    <w:right w:w="0" w:type="dxa"/>
                  </w:tcMar>
                  <w:vAlign w:val="center"/>
                </w:tcPr>
                <w:p w14:paraId="1DDAE329">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主要成分</w:t>
                  </w:r>
                </w:p>
              </w:tc>
              <w:tc>
                <w:tcPr>
                  <w:tcW w:w="645" w:type="dxa"/>
                  <w:tcBorders>
                    <w:tl2br w:val="nil"/>
                    <w:tr2bl w:val="nil"/>
                  </w:tcBorders>
                  <w:noWrap w:val="0"/>
                  <w:tcMar>
                    <w:left w:w="0" w:type="dxa"/>
                    <w:right w:w="0" w:type="dxa"/>
                  </w:tcMar>
                  <w:vAlign w:val="center"/>
                </w:tcPr>
                <w:p w14:paraId="255F0E92">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有害物质</w:t>
                  </w:r>
                </w:p>
              </w:tc>
              <w:tc>
                <w:tcPr>
                  <w:tcW w:w="586" w:type="dxa"/>
                  <w:tcBorders>
                    <w:tl2br w:val="nil"/>
                    <w:tr2bl w:val="nil"/>
                  </w:tcBorders>
                  <w:noWrap w:val="0"/>
                  <w:tcMar>
                    <w:left w:w="0" w:type="dxa"/>
                    <w:right w:w="0" w:type="dxa"/>
                  </w:tcMar>
                  <w:vAlign w:val="center"/>
                </w:tcPr>
                <w:p w14:paraId="1760A432">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产废周期</w:t>
                  </w:r>
                </w:p>
              </w:tc>
              <w:tc>
                <w:tcPr>
                  <w:tcW w:w="557" w:type="dxa"/>
                  <w:tcBorders>
                    <w:tl2br w:val="nil"/>
                    <w:tr2bl w:val="nil"/>
                  </w:tcBorders>
                  <w:noWrap w:val="0"/>
                  <w:tcMar>
                    <w:left w:w="0" w:type="dxa"/>
                    <w:right w:w="0" w:type="dxa"/>
                  </w:tcMar>
                  <w:vAlign w:val="center"/>
                </w:tcPr>
                <w:p w14:paraId="227FE846">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危险特性</w:t>
                  </w:r>
                </w:p>
              </w:tc>
              <w:tc>
                <w:tcPr>
                  <w:tcW w:w="1190" w:type="dxa"/>
                  <w:tcBorders>
                    <w:tl2br w:val="nil"/>
                    <w:tr2bl w:val="nil"/>
                  </w:tcBorders>
                  <w:noWrap w:val="0"/>
                  <w:tcMar>
                    <w:left w:w="0" w:type="dxa"/>
                    <w:right w:w="0" w:type="dxa"/>
                  </w:tcMar>
                  <w:vAlign w:val="center"/>
                </w:tcPr>
                <w:p w14:paraId="2EB37F95">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b/>
                      <w:bCs/>
                      <w:caps w:val="0"/>
                      <w:color w:val="auto"/>
                      <w:sz w:val="21"/>
                      <w:szCs w:val="21"/>
                      <w:u w:val="single" w:color="auto"/>
                    </w:rPr>
                  </w:pPr>
                  <w:r>
                    <w:rPr>
                      <w:rFonts w:hint="eastAsia" w:ascii="Times New Roman" w:hAnsi="Times New Roman" w:eastAsia="宋体" w:cs="Times New Roman"/>
                      <w:b/>
                      <w:bCs/>
                      <w:caps w:val="0"/>
                      <w:color w:val="auto"/>
                      <w:sz w:val="21"/>
                      <w:szCs w:val="21"/>
                      <w:u w:val="single" w:color="auto"/>
                    </w:rPr>
                    <w:t>污染防治措施</w:t>
                  </w:r>
                </w:p>
              </w:tc>
            </w:tr>
            <w:tr w14:paraId="6C79F8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93" w:type="dxa"/>
                  <w:tcBorders>
                    <w:tl2br w:val="nil"/>
                    <w:tr2bl w:val="nil"/>
                  </w:tcBorders>
                  <w:noWrap w:val="0"/>
                  <w:tcMar>
                    <w:left w:w="0" w:type="dxa"/>
                    <w:right w:w="0" w:type="dxa"/>
                  </w:tcMar>
                  <w:vAlign w:val="center"/>
                </w:tcPr>
                <w:p w14:paraId="58E89C54">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z w:val="21"/>
                      <w:szCs w:val="21"/>
                      <w:u w:val="single" w:color="auto"/>
                    </w:rPr>
                  </w:pPr>
                  <w:r>
                    <w:rPr>
                      <w:rFonts w:hint="eastAsia" w:ascii="Times New Roman" w:hAnsi="Times New Roman" w:eastAsia="宋体" w:cs="Times New Roman"/>
                      <w:caps w:val="0"/>
                      <w:color w:val="auto"/>
                      <w:sz w:val="21"/>
                      <w:szCs w:val="21"/>
                      <w:u w:val="single" w:color="auto"/>
                    </w:rPr>
                    <w:t>1</w:t>
                  </w:r>
                </w:p>
              </w:tc>
              <w:tc>
                <w:tcPr>
                  <w:tcW w:w="554" w:type="dxa"/>
                  <w:tcBorders>
                    <w:tl2br w:val="nil"/>
                    <w:tr2bl w:val="nil"/>
                  </w:tcBorders>
                  <w:shd w:val="clear" w:color="auto" w:fill="auto"/>
                  <w:noWrap w:val="0"/>
                  <w:tcMar>
                    <w:left w:w="0" w:type="dxa"/>
                    <w:right w:w="0" w:type="dxa"/>
                  </w:tcMar>
                  <w:vAlign w:val="center"/>
                </w:tcPr>
                <w:p w14:paraId="7A3E6319">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2"/>
                      <w:sz w:val="21"/>
                      <w:szCs w:val="21"/>
                      <w:u w:val="single" w:color="auto"/>
                      <w:lang w:val="en-US" w:eastAsia="en-US" w:bidi="ar-SA"/>
                    </w:rPr>
                  </w:pPr>
                  <w:r>
                    <w:rPr>
                      <w:rFonts w:hint="eastAsia" w:ascii="Times New Roman" w:hAnsi="Times New Roman" w:eastAsia="宋体" w:cs="Times New Roman"/>
                      <w:bCs/>
                      <w:caps w:val="0"/>
                      <w:color w:val="auto"/>
                      <w:kern w:val="2"/>
                      <w:sz w:val="21"/>
                      <w:szCs w:val="21"/>
                      <w:u w:val="single" w:color="auto"/>
                      <w:lang w:val="en-US" w:eastAsia="en-US" w:bidi="ar-SA"/>
                    </w:rPr>
                    <w:t>废润滑油</w:t>
                  </w:r>
                </w:p>
              </w:tc>
              <w:tc>
                <w:tcPr>
                  <w:tcW w:w="693" w:type="dxa"/>
                  <w:tcBorders>
                    <w:tl2br w:val="nil"/>
                    <w:tr2bl w:val="nil"/>
                  </w:tcBorders>
                  <w:shd w:val="clear" w:color="auto" w:fill="auto"/>
                  <w:noWrap w:val="0"/>
                  <w:tcMar>
                    <w:left w:w="0" w:type="dxa"/>
                    <w:right w:w="0" w:type="dxa"/>
                  </w:tcMar>
                  <w:vAlign w:val="center"/>
                </w:tcPr>
                <w:p w14:paraId="65791AA8">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color="auto"/>
                      <w:lang w:val="en-US" w:eastAsia="zh-CN" w:bidi="ar-SA"/>
                    </w:rPr>
                  </w:pPr>
                  <w:r>
                    <w:rPr>
                      <w:rFonts w:hint="eastAsia" w:ascii="Times New Roman" w:hAnsi="Times New Roman" w:eastAsia="宋体" w:cs="Times New Roman"/>
                      <w:bCs/>
                      <w:caps w:val="0"/>
                      <w:color w:val="auto"/>
                      <w:kern w:val="2"/>
                      <w:sz w:val="21"/>
                      <w:szCs w:val="21"/>
                      <w:u w:val="single" w:color="auto"/>
                      <w:lang w:val="en-US" w:eastAsia="en-US" w:bidi="ar-SA"/>
                    </w:rPr>
                    <w:t>HW08</w:t>
                  </w:r>
                </w:p>
              </w:tc>
              <w:tc>
                <w:tcPr>
                  <w:tcW w:w="1108" w:type="dxa"/>
                  <w:tcBorders>
                    <w:tl2br w:val="nil"/>
                    <w:tr2bl w:val="nil"/>
                  </w:tcBorders>
                  <w:shd w:val="clear" w:color="auto" w:fill="auto"/>
                  <w:noWrap w:val="0"/>
                  <w:tcMar>
                    <w:left w:w="0" w:type="dxa"/>
                    <w:right w:w="0" w:type="dxa"/>
                  </w:tcMar>
                  <w:vAlign w:val="center"/>
                </w:tcPr>
                <w:p w14:paraId="0013428D">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0"/>
                      <w:sz w:val="21"/>
                      <w:szCs w:val="21"/>
                      <w:u w:val="single" w:color="auto"/>
                      <w:lang w:val="en-US" w:eastAsia="en-US" w:bidi="ar-SA"/>
                    </w:rPr>
                  </w:pPr>
                  <w:r>
                    <w:rPr>
                      <w:rFonts w:hint="default" w:ascii="Times New Roman" w:hAnsi="Times New Roman" w:eastAsia="宋体" w:cs="Times New Roman"/>
                      <w:bCs/>
                      <w:caps w:val="0"/>
                      <w:color w:val="auto"/>
                      <w:kern w:val="2"/>
                      <w:sz w:val="21"/>
                      <w:szCs w:val="21"/>
                      <w:u w:val="single" w:color="auto"/>
                      <w:lang w:val="en-US" w:eastAsia="en-US" w:bidi="ar-SA"/>
                    </w:rPr>
                    <w:t>900-217-08</w:t>
                  </w:r>
                </w:p>
              </w:tc>
              <w:tc>
                <w:tcPr>
                  <w:tcW w:w="692" w:type="dxa"/>
                  <w:tcBorders>
                    <w:tl2br w:val="nil"/>
                    <w:tr2bl w:val="nil"/>
                  </w:tcBorders>
                  <w:shd w:val="clear" w:color="auto" w:fill="auto"/>
                  <w:noWrap w:val="0"/>
                  <w:tcMar>
                    <w:left w:w="0" w:type="dxa"/>
                    <w:right w:w="0" w:type="dxa"/>
                  </w:tcMar>
                  <w:vAlign w:val="center"/>
                </w:tcPr>
                <w:p w14:paraId="648ABB48">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2"/>
                      <w:sz w:val="21"/>
                      <w:szCs w:val="21"/>
                      <w:u w:val="single" w:color="auto"/>
                      <w:lang w:val="en-US" w:eastAsia="zh-CN" w:bidi="ar-SA"/>
                    </w:rPr>
                  </w:pPr>
                  <w:r>
                    <w:rPr>
                      <w:rFonts w:hint="eastAsia" w:ascii="Times New Roman" w:hAnsi="Times New Roman" w:cs="Times New Roman"/>
                      <w:bCs/>
                      <w:caps w:val="0"/>
                      <w:color w:val="auto"/>
                      <w:kern w:val="2"/>
                      <w:sz w:val="21"/>
                      <w:szCs w:val="21"/>
                      <w:u w:val="single" w:color="auto"/>
                      <w:lang w:val="en-US" w:eastAsia="zh-CN" w:bidi="ar-SA"/>
                    </w:rPr>
                    <w:t>0.5</w:t>
                  </w:r>
                </w:p>
              </w:tc>
              <w:tc>
                <w:tcPr>
                  <w:tcW w:w="788" w:type="dxa"/>
                  <w:tcBorders>
                    <w:tl2br w:val="nil"/>
                    <w:tr2bl w:val="nil"/>
                  </w:tcBorders>
                  <w:shd w:val="clear" w:color="auto" w:fill="auto"/>
                  <w:noWrap w:val="0"/>
                  <w:tcMar>
                    <w:left w:w="0" w:type="dxa"/>
                    <w:right w:w="0" w:type="dxa"/>
                  </w:tcMar>
                  <w:vAlign w:val="center"/>
                </w:tcPr>
                <w:p w14:paraId="1CA54C6A">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2"/>
                      <w:sz w:val="21"/>
                      <w:szCs w:val="21"/>
                      <w:u w:val="single" w:color="auto"/>
                      <w:lang w:val="en-US" w:eastAsia="zh-CN" w:bidi="ar-SA"/>
                    </w:rPr>
                  </w:pPr>
                  <w:r>
                    <w:rPr>
                      <w:rFonts w:hint="eastAsia" w:ascii="Times New Roman" w:hAnsi="Times New Roman" w:eastAsia="宋体" w:cs="Times New Roman"/>
                      <w:bCs/>
                      <w:caps w:val="0"/>
                      <w:color w:val="auto"/>
                      <w:kern w:val="2"/>
                      <w:sz w:val="21"/>
                      <w:szCs w:val="21"/>
                      <w:u w:val="single" w:color="auto"/>
                      <w:lang w:val="en-US" w:eastAsia="en-US" w:bidi="ar-SA"/>
                    </w:rPr>
                    <w:t>设备养护</w:t>
                  </w:r>
                  <w:r>
                    <w:rPr>
                      <w:rFonts w:hint="eastAsia" w:ascii="Times New Roman" w:hAnsi="Times New Roman" w:eastAsia="宋体" w:cs="Times New Roman"/>
                      <w:bCs/>
                      <w:caps w:val="0"/>
                      <w:color w:val="auto"/>
                      <w:kern w:val="2"/>
                      <w:sz w:val="21"/>
                      <w:szCs w:val="21"/>
                      <w:u w:val="single" w:color="auto"/>
                      <w:lang w:val="en-US" w:eastAsia="zh-CN" w:bidi="ar-SA"/>
                    </w:rPr>
                    <w:t>维修</w:t>
                  </w:r>
                </w:p>
              </w:tc>
              <w:tc>
                <w:tcPr>
                  <w:tcW w:w="455" w:type="dxa"/>
                  <w:tcBorders>
                    <w:tl2br w:val="nil"/>
                    <w:tr2bl w:val="nil"/>
                  </w:tcBorders>
                  <w:shd w:val="clear" w:color="auto" w:fill="auto"/>
                  <w:noWrap w:val="0"/>
                  <w:tcMar>
                    <w:left w:w="0" w:type="dxa"/>
                    <w:right w:w="0" w:type="dxa"/>
                  </w:tcMar>
                  <w:vAlign w:val="center"/>
                </w:tcPr>
                <w:p w14:paraId="75C7A0E9">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2"/>
                      <w:sz w:val="21"/>
                      <w:szCs w:val="21"/>
                      <w:u w:val="single" w:color="auto"/>
                      <w:lang w:val="en-US" w:eastAsia="en-US" w:bidi="ar-SA"/>
                    </w:rPr>
                  </w:pPr>
                  <w:r>
                    <w:rPr>
                      <w:rFonts w:hint="eastAsia" w:ascii="Times New Roman" w:hAnsi="Times New Roman" w:eastAsia="宋体" w:cs="Times New Roman"/>
                      <w:bCs/>
                      <w:caps w:val="0"/>
                      <w:color w:val="auto"/>
                      <w:kern w:val="2"/>
                      <w:sz w:val="21"/>
                      <w:szCs w:val="21"/>
                      <w:u w:val="single" w:color="auto"/>
                      <w:lang w:val="en-US" w:eastAsia="en-US" w:bidi="ar-SA"/>
                    </w:rPr>
                    <w:t>液</w:t>
                  </w:r>
                </w:p>
              </w:tc>
              <w:tc>
                <w:tcPr>
                  <w:tcW w:w="586" w:type="dxa"/>
                  <w:tcBorders>
                    <w:tl2br w:val="nil"/>
                    <w:tr2bl w:val="nil"/>
                  </w:tcBorders>
                  <w:shd w:val="clear" w:color="auto" w:fill="auto"/>
                  <w:noWrap w:val="0"/>
                  <w:tcMar>
                    <w:left w:w="0" w:type="dxa"/>
                    <w:right w:w="0" w:type="dxa"/>
                  </w:tcMar>
                  <w:vAlign w:val="center"/>
                </w:tcPr>
                <w:p w14:paraId="700A69BC">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rPr>
                    <w:t>石油类</w:t>
                  </w:r>
                </w:p>
              </w:tc>
              <w:tc>
                <w:tcPr>
                  <w:tcW w:w="645" w:type="dxa"/>
                  <w:tcBorders>
                    <w:tl2br w:val="nil"/>
                    <w:tr2bl w:val="nil"/>
                  </w:tcBorders>
                  <w:shd w:val="clear" w:color="auto" w:fill="auto"/>
                  <w:noWrap w:val="0"/>
                  <w:tcMar>
                    <w:left w:w="0" w:type="dxa"/>
                    <w:right w:w="0" w:type="dxa"/>
                  </w:tcMar>
                  <w:vAlign w:val="center"/>
                </w:tcPr>
                <w:p w14:paraId="18E7F121">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rPr>
                    <w:t>石油类</w:t>
                  </w:r>
                </w:p>
              </w:tc>
              <w:tc>
                <w:tcPr>
                  <w:tcW w:w="586" w:type="dxa"/>
                  <w:tcBorders>
                    <w:tl2br w:val="nil"/>
                    <w:tr2bl w:val="nil"/>
                  </w:tcBorders>
                  <w:shd w:val="clear" w:color="auto" w:fill="auto"/>
                  <w:noWrap w:val="0"/>
                  <w:tcMar>
                    <w:left w:w="0" w:type="dxa"/>
                    <w:right w:w="0" w:type="dxa"/>
                  </w:tcMar>
                  <w:vAlign w:val="center"/>
                </w:tcPr>
                <w:p w14:paraId="46C0B939">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lang w:val="en-US" w:eastAsia="zh-CN"/>
                    </w:rPr>
                    <w:t>1</w:t>
                  </w:r>
                  <w:r>
                    <w:rPr>
                      <w:rFonts w:hint="eastAsia" w:ascii="Times New Roman" w:hAnsi="Times New Roman" w:eastAsia="宋体" w:cs="Times New Roman"/>
                      <w:caps w:val="0"/>
                      <w:color w:val="auto"/>
                      <w:sz w:val="21"/>
                      <w:szCs w:val="21"/>
                      <w:u w:val="single" w:color="auto"/>
                    </w:rPr>
                    <w:t>个月</w:t>
                  </w:r>
                </w:p>
              </w:tc>
              <w:tc>
                <w:tcPr>
                  <w:tcW w:w="557" w:type="dxa"/>
                  <w:tcBorders>
                    <w:tl2br w:val="nil"/>
                    <w:tr2bl w:val="nil"/>
                  </w:tcBorders>
                  <w:shd w:val="clear" w:color="auto" w:fill="auto"/>
                  <w:noWrap w:val="0"/>
                  <w:tcMar>
                    <w:left w:w="0" w:type="dxa"/>
                    <w:right w:w="0" w:type="dxa"/>
                  </w:tcMar>
                  <w:vAlign w:val="center"/>
                </w:tcPr>
                <w:p w14:paraId="6C7DF1A1">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rPr>
                    <w:t>T，I</w:t>
                  </w:r>
                </w:p>
              </w:tc>
              <w:tc>
                <w:tcPr>
                  <w:tcW w:w="1190" w:type="dxa"/>
                  <w:vMerge w:val="restart"/>
                  <w:tcBorders>
                    <w:tl2br w:val="nil"/>
                    <w:tr2bl w:val="nil"/>
                  </w:tcBorders>
                  <w:noWrap w:val="0"/>
                  <w:tcMar>
                    <w:left w:w="0" w:type="dxa"/>
                    <w:right w:w="0" w:type="dxa"/>
                  </w:tcMar>
                  <w:vAlign w:val="center"/>
                </w:tcPr>
                <w:p w14:paraId="20BE53A0">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z w:val="21"/>
                      <w:szCs w:val="21"/>
                      <w:u w:val="single" w:color="auto"/>
                    </w:rPr>
                  </w:pPr>
                  <w:r>
                    <w:rPr>
                      <w:rFonts w:hint="eastAsia" w:ascii="Times New Roman" w:hAnsi="Times New Roman" w:eastAsia="宋体" w:cs="Times New Roman"/>
                      <w:caps w:val="0"/>
                      <w:color w:val="auto"/>
                      <w:sz w:val="21"/>
                      <w:szCs w:val="21"/>
                      <w:u w:val="single" w:color="auto"/>
                    </w:rPr>
                    <w:t>暂存危废暂存</w:t>
                  </w:r>
                  <w:r>
                    <w:rPr>
                      <w:rFonts w:hint="eastAsia" w:ascii="Times New Roman" w:hAnsi="Times New Roman" w:eastAsia="宋体" w:cs="Times New Roman"/>
                      <w:caps w:val="0"/>
                      <w:color w:val="auto"/>
                      <w:sz w:val="21"/>
                      <w:szCs w:val="21"/>
                      <w:u w:val="single" w:color="auto"/>
                      <w:lang w:eastAsia="zh-CN"/>
                    </w:rPr>
                    <w:t>库</w:t>
                  </w:r>
                  <w:r>
                    <w:rPr>
                      <w:rFonts w:hint="eastAsia" w:ascii="Times New Roman" w:hAnsi="Times New Roman" w:eastAsia="宋体" w:cs="Times New Roman"/>
                      <w:caps w:val="0"/>
                      <w:color w:val="auto"/>
                      <w:sz w:val="21"/>
                      <w:szCs w:val="21"/>
                      <w:u w:val="single" w:color="auto"/>
                    </w:rPr>
                    <w:t>，定期委托清运。</w:t>
                  </w:r>
                </w:p>
              </w:tc>
            </w:tr>
            <w:tr w14:paraId="2FAB63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93" w:type="dxa"/>
                  <w:tcBorders>
                    <w:tl2br w:val="nil"/>
                    <w:tr2bl w:val="nil"/>
                  </w:tcBorders>
                  <w:noWrap w:val="0"/>
                  <w:tcMar>
                    <w:left w:w="0" w:type="dxa"/>
                    <w:right w:w="0" w:type="dxa"/>
                  </w:tcMar>
                  <w:vAlign w:val="center"/>
                </w:tcPr>
                <w:p w14:paraId="4201722D">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z w:val="21"/>
                      <w:szCs w:val="21"/>
                      <w:u w:val="single" w:color="auto"/>
                      <w:lang w:val="en-US" w:eastAsia="zh-CN"/>
                    </w:rPr>
                  </w:pPr>
                  <w:r>
                    <w:rPr>
                      <w:rFonts w:hint="eastAsia" w:ascii="Times New Roman" w:hAnsi="Times New Roman" w:eastAsia="宋体" w:cs="Times New Roman"/>
                      <w:caps w:val="0"/>
                      <w:color w:val="auto"/>
                      <w:sz w:val="21"/>
                      <w:szCs w:val="21"/>
                      <w:u w:val="single" w:color="auto"/>
                      <w:lang w:val="en-US" w:eastAsia="zh-CN"/>
                    </w:rPr>
                    <w:t>2</w:t>
                  </w:r>
                </w:p>
              </w:tc>
              <w:tc>
                <w:tcPr>
                  <w:tcW w:w="554" w:type="dxa"/>
                  <w:tcBorders>
                    <w:tl2br w:val="nil"/>
                    <w:tr2bl w:val="nil"/>
                  </w:tcBorders>
                  <w:shd w:val="clear" w:color="auto" w:fill="auto"/>
                  <w:noWrap w:val="0"/>
                  <w:tcMar>
                    <w:left w:w="0" w:type="dxa"/>
                    <w:right w:w="0" w:type="dxa"/>
                  </w:tcMar>
                  <w:vAlign w:val="center"/>
                </w:tcPr>
                <w:p w14:paraId="514419A0">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2"/>
                      <w:sz w:val="21"/>
                      <w:szCs w:val="21"/>
                      <w:u w:val="single" w:color="auto"/>
                      <w:lang w:val="en-US" w:eastAsia="en-US" w:bidi="ar-SA"/>
                    </w:rPr>
                  </w:pPr>
                  <w:r>
                    <w:rPr>
                      <w:rFonts w:hint="eastAsia" w:ascii="Times New Roman" w:hAnsi="Times New Roman" w:eastAsia="宋体" w:cs="Times New Roman"/>
                      <w:bCs/>
                      <w:caps w:val="0"/>
                      <w:color w:val="auto"/>
                      <w:kern w:val="2"/>
                      <w:sz w:val="21"/>
                      <w:szCs w:val="21"/>
                      <w:u w:val="single" w:color="auto"/>
                      <w:lang w:val="en-US" w:eastAsia="en-US" w:bidi="ar-SA"/>
                    </w:rPr>
                    <w:t>含油抹布</w:t>
                  </w:r>
                </w:p>
              </w:tc>
              <w:tc>
                <w:tcPr>
                  <w:tcW w:w="693" w:type="dxa"/>
                  <w:tcBorders>
                    <w:tl2br w:val="nil"/>
                    <w:tr2bl w:val="nil"/>
                  </w:tcBorders>
                  <w:shd w:val="clear" w:color="auto" w:fill="auto"/>
                  <w:noWrap w:val="0"/>
                  <w:tcMar>
                    <w:left w:w="0" w:type="dxa"/>
                    <w:right w:w="0" w:type="dxa"/>
                  </w:tcMar>
                  <w:vAlign w:val="center"/>
                </w:tcPr>
                <w:p w14:paraId="78A98177">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color="auto"/>
                      <w:lang w:val="en-US" w:eastAsia="en-US" w:bidi="ar-SA"/>
                    </w:rPr>
                  </w:pPr>
                  <w:r>
                    <w:rPr>
                      <w:rFonts w:hint="eastAsia" w:ascii="Times New Roman" w:hAnsi="Times New Roman" w:eastAsia="宋体" w:cs="Times New Roman"/>
                      <w:bCs/>
                      <w:caps w:val="0"/>
                      <w:color w:val="auto"/>
                      <w:kern w:val="2"/>
                      <w:sz w:val="21"/>
                      <w:szCs w:val="21"/>
                      <w:u w:val="single" w:color="auto"/>
                      <w:lang w:val="en-US" w:eastAsia="en-US" w:bidi="ar-SA"/>
                    </w:rPr>
                    <w:t>HW49</w:t>
                  </w:r>
                </w:p>
              </w:tc>
              <w:tc>
                <w:tcPr>
                  <w:tcW w:w="1108" w:type="dxa"/>
                  <w:tcBorders>
                    <w:tl2br w:val="nil"/>
                    <w:tr2bl w:val="nil"/>
                  </w:tcBorders>
                  <w:shd w:val="clear" w:color="auto" w:fill="auto"/>
                  <w:noWrap w:val="0"/>
                  <w:tcMar>
                    <w:left w:w="0" w:type="dxa"/>
                    <w:right w:w="0" w:type="dxa"/>
                  </w:tcMar>
                  <w:vAlign w:val="center"/>
                </w:tcPr>
                <w:p w14:paraId="4BA0D479">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default" w:ascii="Times New Roman" w:hAnsi="Times New Roman" w:eastAsia="宋体" w:cs="Times New Roman"/>
                      <w:bCs/>
                      <w:caps w:val="0"/>
                      <w:color w:val="auto"/>
                      <w:kern w:val="0"/>
                      <w:sz w:val="21"/>
                      <w:szCs w:val="21"/>
                      <w:u w:val="single" w:color="auto"/>
                      <w:lang w:val="en-US" w:eastAsia="en-US" w:bidi="ar-SA"/>
                    </w:rPr>
                  </w:pPr>
                  <w:r>
                    <w:rPr>
                      <w:rFonts w:hint="default" w:ascii="Times New Roman" w:hAnsi="Times New Roman" w:eastAsia="宋体" w:cs="Times New Roman"/>
                      <w:bCs/>
                      <w:caps w:val="0"/>
                      <w:color w:val="auto"/>
                      <w:kern w:val="2"/>
                      <w:sz w:val="21"/>
                      <w:szCs w:val="21"/>
                      <w:u w:val="single" w:color="auto"/>
                      <w:lang w:val="en-US" w:eastAsia="en-US" w:bidi="ar-SA"/>
                    </w:rPr>
                    <w:t>900-041-49</w:t>
                  </w:r>
                </w:p>
              </w:tc>
              <w:tc>
                <w:tcPr>
                  <w:tcW w:w="692" w:type="dxa"/>
                  <w:tcBorders>
                    <w:tl2br w:val="nil"/>
                    <w:tr2bl w:val="nil"/>
                  </w:tcBorders>
                  <w:shd w:val="clear" w:color="auto" w:fill="auto"/>
                  <w:noWrap w:val="0"/>
                  <w:tcMar>
                    <w:left w:w="0" w:type="dxa"/>
                    <w:right w:w="0" w:type="dxa"/>
                  </w:tcMar>
                  <w:vAlign w:val="center"/>
                </w:tcPr>
                <w:p w14:paraId="79FFD25F">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2"/>
                      <w:sz w:val="21"/>
                      <w:szCs w:val="21"/>
                      <w:u w:val="single" w:color="auto"/>
                      <w:lang w:val="en-US" w:eastAsia="zh-CN" w:bidi="ar-SA"/>
                    </w:rPr>
                  </w:pPr>
                  <w:r>
                    <w:rPr>
                      <w:rFonts w:hint="eastAsia" w:ascii="Times New Roman" w:hAnsi="Times New Roman" w:eastAsia="宋体" w:cs="Times New Roman"/>
                      <w:bCs/>
                      <w:caps w:val="0"/>
                      <w:color w:val="auto"/>
                      <w:kern w:val="2"/>
                      <w:sz w:val="21"/>
                      <w:szCs w:val="21"/>
                      <w:u w:val="single" w:color="auto"/>
                      <w:lang w:val="en-US" w:eastAsia="en-US" w:bidi="ar-SA"/>
                    </w:rPr>
                    <w:t>0.</w:t>
                  </w:r>
                  <w:r>
                    <w:rPr>
                      <w:rFonts w:hint="eastAsia" w:ascii="Times New Roman" w:hAnsi="Times New Roman" w:cs="Times New Roman"/>
                      <w:bCs/>
                      <w:caps w:val="0"/>
                      <w:color w:val="auto"/>
                      <w:kern w:val="2"/>
                      <w:sz w:val="21"/>
                      <w:szCs w:val="21"/>
                      <w:u w:val="single" w:color="auto"/>
                      <w:lang w:val="en-US" w:eastAsia="zh-CN" w:bidi="ar-SA"/>
                    </w:rPr>
                    <w:t>2</w:t>
                  </w:r>
                </w:p>
              </w:tc>
              <w:tc>
                <w:tcPr>
                  <w:tcW w:w="788" w:type="dxa"/>
                  <w:tcBorders>
                    <w:tl2br w:val="nil"/>
                    <w:tr2bl w:val="nil"/>
                  </w:tcBorders>
                  <w:shd w:val="clear" w:color="auto" w:fill="auto"/>
                  <w:noWrap w:val="0"/>
                  <w:tcMar>
                    <w:left w:w="0" w:type="dxa"/>
                    <w:right w:w="0" w:type="dxa"/>
                  </w:tcMar>
                  <w:vAlign w:val="center"/>
                </w:tcPr>
                <w:p w14:paraId="1EEFF223">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2"/>
                      <w:sz w:val="21"/>
                      <w:szCs w:val="21"/>
                      <w:u w:val="single" w:color="auto"/>
                      <w:lang w:val="en-US" w:eastAsia="zh-CN" w:bidi="ar-SA"/>
                    </w:rPr>
                  </w:pPr>
                  <w:r>
                    <w:rPr>
                      <w:rFonts w:hint="eastAsia" w:ascii="Times New Roman" w:hAnsi="Times New Roman" w:eastAsia="宋体" w:cs="Times New Roman"/>
                      <w:bCs/>
                      <w:caps w:val="0"/>
                      <w:color w:val="auto"/>
                      <w:kern w:val="2"/>
                      <w:sz w:val="21"/>
                      <w:szCs w:val="21"/>
                      <w:u w:val="single" w:color="auto"/>
                      <w:lang w:val="en-US" w:eastAsia="en-US" w:bidi="ar-SA"/>
                    </w:rPr>
                    <w:t>设备养护</w:t>
                  </w:r>
                  <w:r>
                    <w:rPr>
                      <w:rFonts w:hint="eastAsia" w:ascii="Times New Roman" w:hAnsi="Times New Roman" w:eastAsia="宋体" w:cs="Times New Roman"/>
                      <w:bCs/>
                      <w:caps w:val="0"/>
                      <w:color w:val="auto"/>
                      <w:kern w:val="2"/>
                      <w:sz w:val="21"/>
                      <w:szCs w:val="21"/>
                      <w:u w:val="single" w:color="auto"/>
                      <w:lang w:val="en-US" w:eastAsia="zh-CN" w:bidi="ar-SA"/>
                    </w:rPr>
                    <w:t>维修</w:t>
                  </w:r>
                </w:p>
              </w:tc>
              <w:tc>
                <w:tcPr>
                  <w:tcW w:w="455" w:type="dxa"/>
                  <w:tcBorders>
                    <w:tl2br w:val="nil"/>
                    <w:tr2bl w:val="nil"/>
                  </w:tcBorders>
                  <w:shd w:val="clear" w:color="auto" w:fill="auto"/>
                  <w:noWrap w:val="0"/>
                  <w:tcMar>
                    <w:left w:w="0" w:type="dxa"/>
                    <w:right w:w="0" w:type="dxa"/>
                  </w:tcMar>
                  <w:vAlign w:val="center"/>
                </w:tcPr>
                <w:p w14:paraId="15EDD2F7">
                  <w:pPr>
                    <w:keepNext w:val="0"/>
                    <w:keepLines w:val="0"/>
                    <w:widowControl w:val="0"/>
                    <w:suppressLineNumbers w:val="0"/>
                    <w:spacing w:before="0" w:beforeAutospacing="0" w:after="0" w:afterAutospacing="0" w:line="240" w:lineRule="auto"/>
                    <w:ind w:left="0" w:leftChars="0" w:right="0" w:rightChars="0" w:firstLine="0" w:firstLineChars="0"/>
                    <w:contextualSpacing/>
                    <w:jc w:val="center"/>
                    <w:textAlignment w:val="center"/>
                    <w:rPr>
                      <w:rFonts w:hint="eastAsia" w:ascii="Times New Roman" w:hAnsi="Times New Roman" w:eastAsia="宋体" w:cs="Times New Roman"/>
                      <w:bCs/>
                      <w:caps w:val="0"/>
                      <w:color w:val="auto"/>
                      <w:kern w:val="2"/>
                      <w:sz w:val="21"/>
                      <w:szCs w:val="21"/>
                      <w:u w:val="single" w:color="auto"/>
                      <w:lang w:val="en-US" w:eastAsia="en-US" w:bidi="ar-SA"/>
                    </w:rPr>
                  </w:pPr>
                  <w:r>
                    <w:rPr>
                      <w:rFonts w:hint="eastAsia" w:ascii="Times New Roman" w:hAnsi="Times New Roman" w:eastAsia="宋体" w:cs="Times New Roman"/>
                      <w:bCs/>
                      <w:caps w:val="0"/>
                      <w:color w:val="auto"/>
                      <w:kern w:val="2"/>
                      <w:sz w:val="21"/>
                      <w:szCs w:val="21"/>
                      <w:u w:val="single" w:color="auto"/>
                      <w:lang w:val="en-US" w:eastAsia="en-US" w:bidi="ar-SA"/>
                    </w:rPr>
                    <w:t>固</w:t>
                  </w:r>
                </w:p>
              </w:tc>
              <w:tc>
                <w:tcPr>
                  <w:tcW w:w="586" w:type="dxa"/>
                  <w:tcBorders>
                    <w:tl2br w:val="nil"/>
                    <w:tr2bl w:val="nil"/>
                  </w:tcBorders>
                  <w:shd w:val="clear" w:color="auto" w:fill="auto"/>
                  <w:noWrap w:val="0"/>
                  <w:tcMar>
                    <w:left w:w="0" w:type="dxa"/>
                    <w:right w:w="0" w:type="dxa"/>
                  </w:tcMar>
                  <w:vAlign w:val="center"/>
                </w:tcPr>
                <w:p w14:paraId="52095C86">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rPr>
                    <w:t>石油类</w:t>
                  </w:r>
                </w:p>
              </w:tc>
              <w:tc>
                <w:tcPr>
                  <w:tcW w:w="645" w:type="dxa"/>
                  <w:tcBorders>
                    <w:tl2br w:val="nil"/>
                    <w:tr2bl w:val="nil"/>
                  </w:tcBorders>
                  <w:shd w:val="clear" w:color="auto" w:fill="auto"/>
                  <w:noWrap w:val="0"/>
                  <w:tcMar>
                    <w:left w:w="0" w:type="dxa"/>
                    <w:right w:w="0" w:type="dxa"/>
                  </w:tcMar>
                  <w:vAlign w:val="center"/>
                </w:tcPr>
                <w:p w14:paraId="51AD77A9">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rPr>
                    <w:t>石油类</w:t>
                  </w:r>
                </w:p>
              </w:tc>
              <w:tc>
                <w:tcPr>
                  <w:tcW w:w="586" w:type="dxa"/>
                  <w:tcBorders>
                    <w:tl2br w:val="nil"/>
                    <w:tr2bl w:val="nil"/>
                  </w:tcBorders>
                  <w:shd w:val="clear" w:color="auto" w:fill="auto"/>
                  <w:noWrap w:val="0"/>
                  <w:tcMar>
                    <w:left w:w="0" w:type="dxa"/>
                    <w:right w:w="0" w:type="dxa"/>
                  </w:tcMar>
                  <w:vAlign w:val="center"/>
                </w:tcPr>
                <w:p w14:paraId="429CD8DE">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lang w:val="en-US" w:eastAsia="zh-CN"/>
                    </w:rPr>
                    <w:t>1</w:t>
                  </w:r>
                  <w:r>
                    <w:rPr>
                      <w:rFonts w:hint="eastAsia" w:ascii="Times New Roman" w:hAnsi="Times New Roman" w:eastAsia="宋体" w:cs="Times New Roman"/>
                      <w:caps w:val="0"/>
                      <w:color w:val="auto"/>
                      <w:sz w:val="21"/>
                      <w:szCs w:val="21"/>
                      <w:u w:val="single" w:color="auto"/>
                    </w:rPr>
                    <w:t>个月</w:t>
                  </w:r>
                </w:p>
              </w:tc>
              <w:tc>
                <w:tcPr>
                  <w:tcW w:w="557" w:type="dxa"/>
                  <w:tcBorders>
                    <w:tl2br w:val="nil"/>
                    <w:tr2bl w:val="nil"/>
                  </w:tcBorders>
                  <w:shd w:val="clear" w:color="auto" w:fill="auto"/>
                  <w:noWrap w:val="0"/>
                  <w:tcMar>
                    <w:left w:w="0" w:type="dxa"/>
                    <w:right w:w="0" w:type="dxa"/>
                  </w:tcMar>
                  <w:vAlign w:val="center"/>
                </w:tcPr>
                <w:p w14:paraId="717D6DC6">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kern w:val="2"/>
                      <w:sz w:val="21"/>
                      <w:szCs w:val="21"/>
                      <w:u w:val="single" w:color="auto"/>
                      <w:lang w:val="en-US" w:eastAsia="zh-CN" w:bidi="ar-SA"/>
                    </w:rPr>
                  </w:pPr>
                  <w:r>
                    <w:rPr>
                      <w:rFonts w:hint="eastAsia" w:ascii="Times New Roman" w:hAnsi="Times New Roman" w:eastAsia="宋体" w:cs="Times New Roman"/>
                      <w:caps w:val="0"/>
                      <w:color w:val="auto"/>
                      <w:sz w:val="21"/>
                      <w:szCs w:val="21"/>
                      <w:u w:val="single" w:color="auto"/>
                    </w:rPr>
                    <w:t>T，I</w:t>
                  </w:r>
                </w:p>
              </w:tc>
              <w:tc>
                <w:tcPr>
                  <w:tcW w:w="1190" w:type="dxa"/>
                  <w:vMerge w:val="continue"/>
                  <w:tcBorders>
                    <w:tl2br w:val="nil"/>
                    <w:tr2bl w:val="nil"/>
                  </w:tcBorders>
                  <w:noWrap w:val="0"/>
                  <w:tcMar>
                    <w:left w:w="0" w:type="dxa"/>
                    <w:right w:w="0" w:type="dxa"/>
                  </w:tcMar>
                  <w:vAlign w:val="center"/>
                </w:tcPr>
                <w:p w14:paraId="618BA097">
                  <w:pPr>
                    <w:keepNext w:val="0"/>
                    <w:keepLines w:val="0"/>
                    <w:suppressLineNumbers w:val="0"/>
                    <w:spacing w:before="0" w:beforeAutospacing="0" w:after="0" w:afterAutospacing="0" w:line="240" w:lineRule="exact"/>
                    <w:ind w:left="0" w:right="0" w:firstLine="0" w:firstLineChars="0"/>
                    <w:jc w:val="center"/>
                    <w:rPr>
                      <w:rFonts w:hint="eastAsia" w:ascii="Times New Roman" w:hAnsi="Times New Roman" w:eastAsia="宋体" w:cs="Times New Roman"/>
                      <w:caps w:val="0"/>
                      <w:color w:val="auto"/>
                      <w:sz w:val="21"/>
                      <w:szCs w:val="21"/>
                      <w:u w:val="single" w:color="auto"/>
                    </w:rPr>
                  </w:pPr>
                </w:p>
              </w:tc>
            </w:tr>
          </w:tbl>
          <w:p w14:paraId="120FBF16">
            <w:pPr>
              <w:keepNext w:val="0"/>
              <w:keepLines w:val="0"/>
              <w:pageBreakBefore w:val="0"/>
              <w:widowControl/>
              <w:numPr>
                <w:ilvl w:val="0"/>
                <w:numId w:val="0"/>
              </w:numPr>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eastAsia="宋体" w:cs="Times New Roman"/>
                <w:snapToGrid w:val="0"/>
                <w:color w:val="auto"/>
                <w:kern w:val="0"/>
                <w:sz w:val="24"/>
                <w:szCs w:val="20"/>
                <w:highlight w:val="none"/>
                <w:u w:val="none" w:color="auto"/>
                <w:lang w:val="en-US" w:eastAsia="zh-CN"/>
              </w:rPr>
            </w:pPr>
            <w:r>
              <w:rPr>
                <w:rFonts w:hint="eastAsia" w:ascii="Times New Roman" w:hAnsi="Times New Roman" w:eastAsia="宋体" w:cs="Times New Roman"/>
                <w:snapToGrid w:val="0"/>
                <w:color w:val="auto"/>
                <w:kern w:val="0"/>
                <w:sz w:val="24"/>
                <w:szCs w:val="20"/>
                <w:highlight w:val="none"/>
                <w:u w:val="none" w:color="auto"/>
                <w:lang w:val="en-US" w:eastAsia="zh-CN"/>
              </w:rPr>
              <w:t>根据现场调查，现有危险废物暂存</w:t>
            </w:r>
            <w:r>
              <w:rPr>
                <w:rFonts w:hint="eastAsia" w:cs="Times New Roman"/>
                <w:snapToGrid w:val="0"/>
                <w:color w:val="auto"/>
                <w:kern w:val="0"/>
                <w:sz w:val="24"/>
                <w:szCs w:val="20"/>
                <w:highlight w:val="none"/>
                <w:u w:val="none" w:color="auto"/>
                <w:lang w:val="en-US" w:eastAsia="zh-CN"/>
              </w:rPr>
              <w:t>库</w:t>
            </w:r>
            <w:r>
              <w:rPr>
                <w:rFonts w:hint="eastAsia" w:ascii="Times New Roman" w:hAnsi="Times New Roman" w:eastAsia="宋体" w:cs="Times New Roman"/>
                <w:snapToGrid w:val="0"/>
                <w:color w:val="auto"/>
                <w:kern w:val="0"/>
                <w:sz w:val="24"/>
                <w:szCs w:val="20"/>
                <w:highlight w:val="none"/>
                <w:u w:val="none" w:color="auto"/>
                <w:lang w:val="en-US" w:eastAsia="zh-CN"/>
              </w:rPr>
              <w:t>已按《危险废物贮存污染控制标准》（GB18597-2023）和《危险废物识别标志设置技术规范》（HJ1276-2022）等相关要求进行建设。</w:t>
            </w:r>
          </w:p>
          <w:p w14:paraId="47A2687D">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highlight w:val="none"/>
                <w:u w:val="none" w:color="auto"/>
                <w:lang w:val="en-US" w:eastAsia="zh-CN"/>
              </w:rPr>
            </w:pPr>
            <w:r>
              <w:rPr>
                <w:rFonts w:hint="eastAsia" w:ascii="Times New Roman" w:hAnsi="Times New Roman" w:eastAsia="宋体" w:cs="Times New Roman"/>
                <w:b/>
                <w:bCs/>
                <w:color w:val="auto"/>
                <w:kern w:val="2"/>
                <w:sz w:val="24"/>
                <w:szCs w:val="24"/>
                <w:u w:val="none" w:color="auto"/>
                <w:lang w:val="en-US" w:eastAsia="zh-CN" w:bidi="ar-SA"/>
              </w:rPr>
              <w:t>五</w:t>
            </w:r>
            <w:r>
              <w:rPr>
                <w:rFonts w:hint="default" w:ascii="Times New Roman" w:hAnsi="Times New Roman" w:eastAsia="宋体" w:cs="Times New Roman"/>
                <w:b/>
                <w:bCs/>
                <w:color w:val="auto"/>
                <w:kern w:val="2"/>
                <w:sz w:val="24"/>
                <w:szCs w:val="24"/>
                <w:u w:val="none" w:color="auto"/>
                <w:lang w:val="en-US" w:eastAsia="zh-CN" w:bidi="ar-SA"/>
              </w:rPr>
              <w:t>、</w:t>
            </w:r>
            <w:r>
              <w:rPr>
                <w:rFonts w:hint="default" w:ascii="Times New Roman" w:hAnsi="Times New Roman" w:eastAsia="宋体" w:cs="Times New Roman"/>
                <w:b/>
                <w:bCs/>
                <w:color w:val="auto"/>
                <w:sz w:val="24"/>
                <w:highlight w:val="none"/>
                <w:u w:val="none" w:color="auto"/>
                <w:lang w:val="en-US" w:eastAsia="zh-CN"/>
              </w:rPr>
              <w:t>生态环境影响分析</w:t>
            </w:r>
          </w:p>
          <w:p w14:paraId="130311AB">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u w:val="none" w:color="auto"/>
                <w:lang w:val="en-US" w:eastAsia="zh-CN"/>
              </w:rPr>
            </w:pPr>
            <w:r>
              <w:rPr>
                <w:rFonts w:hint="default" w:ascii="Times New Roman" w:hAnsi="Times New Roman" w:eastAsia="宋体" w:cs="Times New Roman"/>
                <w:b w:val="0"/>
                <w:bCs w:val="0"/>
                <w:color w:val="auto"/>
                <w:sz w:val="24"/>
                <w:highlight w:val="none"/>
                <w:u w:val="none" w:color="auto"/>
                <w:lang w:val="en-US" w:eastAsia="zh-CN"/>
              </w:rPr>
              <w:t>本项目位于钦州港大榄坪南作业区后方陆域，范围内无生态环境敏感区域，因此不涉及运营期生态环境影响和保护措施。</w:t>
            </w:r>
          </w:p>
          <w:p w14:paraId="6374A493">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kern w:val="2"/>
                <w:sz w:val="24"/>
                <w:szCs w:val="24"/>
                <w:u w:val="single" w:color="auto"/>
                <w:lang w:val="en-US" w:eastAsia="zh-CN" w:bidi="ar-SA"/>
              </w:rPr>
            </w:pPr>
            <w:r>
              <w:rPr>
                <w:rFonts w:hint="eastAsia" w:cs="Times New Roman"/>
                <w:b/>
                <w:bCs/>
                <w:color w:val="auto"/>
                <w:kern w:val="2"/>
                <w:sz w:val="24"/>
                <w:szCs w:val="24"/>
                <w:u w:val="single" w:color="auto"/>
                <w:lang w:val="en-US" w:eastAsia="zh-CN" w:bidi="ar-SA"/>
              </w:rPr>
              <w:t>六、项目依托环保设施情况</w:t>
            </w:r>
          </w:p>
          <w:p w14:paraId="1E618223">
            <w:pPr>
              <w:keepNext w:val="0"/>
              <w:keepLines w:val="0"/>
              <w:pageBreakBefore w:val="0"/>
              <w:widowControl/>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6" w:firstLineChars="200"/>
              <w:jc w:val="both"/>
              <w:textAlignment w:val="auto"/>
              <w:outlineLvl w:val="9"/>
              <w:rPr>
                <w:rFonts w:hint="default" w:cs="Times New Roman"/>
                <w:color w:val="auto"/>
                <w:spacing w:val="-1"/>
                <w:kern w:val="2"/>
                <w:sz w:val="24"/>
                <w:szCs w:val="24"/>
                <w:highlight w:val="none"/>
                <w:u w:val="single" w:color="auto"/>
                <w:lang w:val="en-US" w:eastAsia="zh-CN" w:bidi="ar-SA"/>
              </w:rPr>
            </w:pPr>
            <w:r>
              <w:rPr>
                <w:rFonts w:hint="eastAsia" w:cs="Times New Roman"/>
                <w:color w:val="auto"/>
                <w:spacing w:val="-1"/>
                <w:kern w:val="2"/>
                <w:sz w:val="24"/>
                <w:szCs w:val="24"/>
                <w:highlight w:val="none"/>
                <w:u w:val="single" w:color="auto"/>
                <w:lang w:val="en-US" w:eastAsia="zh-CN" w:bidi="ar-SA"/>
              </w:rPr>
              <w:t>项目危险货物集装箱不在港区进行拆箱维修，</w:t>
            </w:r>
            <w:r>
              <w:rPr>
                <w:rFonts w:hint="eastAsia" w:ascii="Times New Roman" w:hAnsi="Times New Roman" w:eastAsia="宋体" w:cs="Times New Roman"/>
                <w:color w:val="auto"/>
                <w:spacing w:val="-1"/>
                <w:kern w:val="2"/>
                <w:sz w:val="24"/>
                <w:szCs w:val="24"/>
                <w:highlight w:val="none"/>
                <w:u w:val="single" w:color="auto"/>
                <w:lang w:val="en-US" w:eastAsia="zh-CN" w:bidi="ar-SA"/>
              </w:rPr>
              <w:t>项目混堆场</w:t>
            </w:r>
            <w:r>
              <w:rPr>
                <w:rFonts w:hint="eastAsia" w:cs="Times New Roman"/>
                <w:color w:val="auto"/>
                <w:spacing w:val="-1"/>
                <w:kern w:val="2"/>
                <w:sz w:val="24"/>
                <w:szCs w:val="24"/>
                <w:highlight w:val="none"/>
                <w:u w:val="single" w:color="auto"/>
                <w:lang w:val="en-US" w:eastAsia="zh-CN" w:bidi="ar-SA"/>
              </w:rPr>
              <w:t>运营期</w:t>
            </w:r>
            <w:r>
              <w:rPr>
                <w:rFonts w:hint="eastAsia" w:ascii="Times New Roman" w:hAnsi="Times New Roman" w:eastAsia="宋体" w:cs="Times New Roman"/>
                <w:color w:val="auto"/>
                <w:spacing w:val="-1"/>
                <w:kern w:val="2"/>
                <w:sz w:val="24"/>
                <w:szCs w:val="24"/>
                <w:highlight w:val="none"/>
                <w:u w:val="single" w:color="auto"/>
                <w:lang w:val="en-US" w:eastAsia="zh-CN" w:bidi="ar-SA"/>
              </w:rPr>
              <w:t>产生的废水主要为工作人员生活污水及机修含油废水，产生的固体废弃物主要为工作人员的生活垃圾和机械日常养护产生的废润滑油及含油抹布</w:t>
            </w:r>
            <w:r>
              <w:rPr>
                <w:rFonts w:hint="eastAsia" w:cs="Times New Roman"/>
                <w:color w:val="auto"/>
                <w:spacing w:val="-1"/>
                <w:kern w:val="2"/>
                <w:sz w:val="24"/>
                <w:szCs w:val="24"/>
                <w:highlight w:val="none"/>
                <w:u w:val="single" w:color="auto"/>
                <w:lang w:val="en-US" w:eastAsia="zh-CN" w:bidi="ar-SA"/>
              </w:rPr>
              <w:t>。项目依托环保设施主要为危废暂存库以及含油污水处理站。</w:t>
            </w:r>
          </w:p>
          <w:p w14:paraId="78CA1F16">
            <w:pPr>
              <w:keepNext w:val="0"/>
              <w:keepLines w:val="0"/>
              <w:pageBreakBefore w:val="0"/>
              <w:widowControl/>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6" w:firstLineChars="200"/>
              <w:jc w:val="both"/>
              <w:textAlignment w:val="auto"/>
              <w:outlineLvl w:val="9"/>
              <w:rPr>
                <w:rFonts w:hint="eastAsia" w:cs="Times New Roman"/>
                <w:color w:val="auto"/>
                <w:spacing w:val="-1"/>
                <w:kern w:val="2"/>
                <w:sz w:val="24"/>
                <w:szCs w:val="24"/>
                <w:highlight w:val="none"/>
                <w:u w:val="single" w:color="auto"/>
                <w:lang w:val="en-US" w:eastAsia="zh-CN" w:bidi="ar-SA"/>
              </w:rPr>
            </w:pPr>
            <w:r>
              <w:rPr>
                <w:rFonts w:hint="eastAsia" w:cs="Times New Roman"/>
                <w:color w:val="auto"/>
                <w:spacing w:val="-1"/>
                <w:kern w:val="2"/>
                <w:sz w:val="24"/>
                <w:szCs w:val="24"/>
                <w:highlight w:val="none"/>
                <w:u w:val="single" w:color="auto"/>
                <w:lang w:val="en-US" w:eastAsia="zh-CN" w:bidi="ar-SA"/>
              </w:rPr>
              <w:t>根据调查，项目现状含油废水收集后送至2#泊位和5#泊位的含油污水处理站进行处理，污水处理站处理工艺为隔油池+混凝沉淀池+组合气浮装置，处理后回用于机械冲洗用水、厂区绿化和道路清扫，不外排。根据《钦州港大榄坪南作业区1#-6#泊位新增危险货物集装箱项目（重大变动）竣工环境保护验收调查报告》，至2#泊位和5#泊位的含油污水处理站已建设完成并验收，根据表2-10及表2-11的验收监测结果表明，2#泊位含油污水处理站和5#泊位含油污水处理站运行良好，出水水质能满足《城市污水再生利用-城市杂用水水质》（GB/T18920-2020）“城市绿化、道路清扫、消防、建筑施工”用水标准和《城市污水再生利用工业用水水质标准》（GB/T19923-2024）“洗涤用水”用水标准，运行状况良好；现状生活污水经化粪池预处理后排入市政污水管网，最终排入大榄坪污水处理厂。</w:t>
            </w:r>
          </w:p>
          <w:p w14:paraId="318F5135">
            <w:pPr>
              <w:keepNext w:val="0"/>
              <w:keepLines w:val="0"/>
              <w:pageBreakBefore w:val="0"/>
              <w:widowControl/>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6" w:firstLineChars="200"/>
              <w:jc w:val="both"/>
              <w:textAlignment w:val="auto"/>
              <w:outlineLvl w:val="9"/>
              <w:rPr>
                <w:rFonts w:hint="eastAsia" w:cs="Times New Roman"/>
                <w:color w:val="auto"/>
                <w:spacing w:val="-1"/>
                <w:kern w:val="2"/>
                <w:sz w:val="24"/>
                <w:szCs w:val="24"/>
                <w:highlight w:val="none"/>
                <w:u w:val="single" w:color="auto"/>
                <w:lang w:val="en-US" w:eastAsia="zh-CN" w:bidi="ar-SA"/>
              </w:rPr>
            </w:pPr>
            <w:r>
              <w:rPr>
                <w:rFonts w:hint="eastAsia" w:cs="Times New Roman"/>
                <w:color w:val="auto"/>
                <w:spacing w:val="-1"/>
                <w:kern w:val="2"/>
                <w:sz w:val="24"/>
                <w:szCs w:val="24"/>
                <w:highlight w:val="none"/>
                <w:u w:val="single" w:color="auto"/>
                <w:lang w:val="en-US" w:eastAsia="zh-CN" w:bidi="ar-SA"/>
              </w:rPr>
              <w:t>根据现场调查，堆场现状废润滑油及含油抹布使用专用容器收集后暂存在现有危险废物暂存间，最终交由有资质的单位处置。根据《钦州港大榄坪南作业区2#泊位危废库项目竣工环境保护验收调查报告》，现有危险废物暂存库已完成验收，已按照《危险废物贮存污染控制标准》（GB18597-2023）和《危险废物识别标志设置技术规范》（HJ1276-2022）等相关要求进行建设。</w:t>
            </w:r>
          </w:p>
          <w:p w14:paraId="3C841228">
            <w:pPr>
              <w:keepNext w:val="0"/>
              <w:keepLines w:val="0"/>
              <w:pageBreakBefore w:val="0"/>
              <w:widowControl/>
              <w:suppressLineNumbers w:val="0"/>
              <w:tabs>
                <w:tab w:val="left" w:pos="927"/>
              </w:tabs>
              <w:kinsoku/>
              <w:wordWrap/>
              <w:overflowPunct/>
              <w:topLinePunct w:val="0"/>
              <w:autoSpaceDE/>
              <w:autoSpaceDN/>
              <w:bidi w:val="0"/>
              <w:adjustRightInd w:val="0"/>
              <w:snapToGrid w:val="0"/>
              <w:spacing w:before="0" w:beforeAutospacing="0" w:after="0" w:afterAutospacing="0" w:line="360" w:lineRule="auto"/>
              <w:ind w:left="0" w:right="0" w:firstLine="476" w:firstLineChars="200"/>
              <w:jc w:val="both"/>
              <w:textAlignment w:val="auto"/>
              <w:outlineLvl w:val="9"/>
              <w:rPr>
                <w:rFonts w:hint="default" w:ascii="Times New Roman" w:hAnsi="Times New Roman" w:eastAsia="宋体" w:cs="Times New Roman"/>
                <w:color w:val="auto"/>
                <w:spacing w:val="-1"/>
                <w:kern w:val="2"/>
                <w:sz w:val="24"/>
                <w:szCs w:val="24"/>
                <w:highlight w:val="none"/>
                <w:u w:val="none" w:color="auto"/>
                <w:lang w:val="en-US" w:eastAsia="zh-CN" w:bidi="ar-SA"/>
              </w:rPr>
            </w:pPr>
            <w:r>
              <w:rPr>
                <w:rFonts w:hint="eastAsia" w:cs="Times New Roman"/>
                <w:color w:val="auto"/>
                <w:spacing w:val="-1"/>
                <w:kern w:val="2"/>
                <w:sz w:val="24"/>
                <w:szCs w:val="24"/>
                <w:highlight w:val="none"/>
                <w:u w:val="single" w:color="auto"/>
                <w:lang w:val="en-US" w:eastAsia="zh-CN" w:bidi="ar-SA"/>
              </w:rPr>
              <w:t>综上，项目依托含油污水处理站处理含油污水和依托危废暂存库暂存危险废物可行。</w:t>
            </w:r>
          </w:p>
          <w:p w14:paraId="13CA25D2">
            <w:pPr>
              <w:keepNext w:val="0"/>
              <w:keepLines w:val="0"/>
              <w:numPr>
                <w:ilvl w:val="0"/>
                <w:numId w:val="0"/>
              </w:numPr>
              <w:suppressLineNumbers w:val="0"/>
              <w:adjustRightInd w:val="0"/>
              <w:snapToGrid w:val="0"/>
              <w:spacing w:before="0" w:beforeAutospacing="0" w:after="0" w:afterAutospacing="0" w:line="360" w:lineRule="auto"/>
              <w:ind w:left="0" w:leftChars="0" w:right="0" w:rightChars="0" w:firstLine="482" w:firstLineChars="200"/>
              <w:rPr>
                <w:rFonts w:hint="eastAsia" w:ascii="Times New Roman" w:hAnsi="Times New Roman" w:eastAsia="宋体" w:cs="Times New Roman"/>
                <w:b/>
                <w:bCs/>
                <w:color w:val="auto"/>
                <w:sz w:val="24"/>
                <w:highlight w:val="none"/>
                <w:u w:val="none" w:color="auto"/>
                <w:lang w:val="en-US" w:eastAsia="zh-CN"/>
              </w:rPr>
            </w:pPr>
            <w:r>
              <w:rPr>
                <w:rFonts w:hint="eastAsia" w:cs="Times New Roman"/>
                <w:b/>
                <w:bCs/>
                <w:color w:val="auto"/>
                <w:kern w:val="2"/>
                <w:sz w:val="24"/>
                <w:szCs w:val="24"/>
                <w:u w:val="none" w:color="auto"/>
                <w:lang w:val="en-US" w:eastAsia="zh-CN" w:bidi="ar-SA"/>
              </w:rPr>
              <w:t>七</w:t>
            </w:r>
            <w:r>
              <w:rPr>
                <w:rFonts w:hint="eastAsia" w:ascii="Times New Roman" w:hAnsi="Times New Roman" w:eastAsia="宋体" w:cs="Times New Roman"/>
                <w:b/>
                <w:bCs/>
                <w:color w:val="auto"/>
                <w:kern w:val="2"/>
                <w:sz w:val="24"/>
                <w:szCs w:val="24"/>
                <w:u w:val="none" w:color="auto"/>
                <w:lang w:val="en-US" w:eastAsia="zh-CN" w:bidi="ar-SA"/>
              </w:rPr>
              <w:t>、</w:t>
            </w:r>
            <w:r>
              <w:rPr>
                <w:rFonts w:hint="eastAsia" w:ascii="Times New Roman" w:hAnsi="Times New Roman" w:eastAsia="宋体" w:cs="Times New Roman"/>
                <w:b/>
                <w:bCs/>
                <w:color w:val="auto"/>
                <w:sz w:val="24"/>
                <w:highlight w:val="none"/>
                <w:u w:val="none" w:color="auto"/>
                <w:lang w:val="en-US" w:eastAsia="zh-CN"/>
              </w:rPr>
              <w:t>与项目相关的主要污染物“三本账”</w:t>
            </w:r>
          </w:p>
          <w:p w14:paraId="6699F333">
            <w:pPr>
              <w:keepNext w:val="0"/>
              <w:keepLines w:val="0"/>
              <w:numPr>
                <w:ilvl w:val="0"/>
                <w:numId w:val="0"/>
              </w:numPr>
              <w:suppressLineNumbers w:val="0"/>
              <w:adjustRightInd w:val="0"/>
              <w:snapToGrid w:val="0"/>
              <w:spacing w:before="0" w:beforeAutospacing="0" w:after="0" w:afterAutospacing="0" w:line="360" w:lineRule="auto"/>
              <w:ind w:left="420" w:leftChars="200" w:right="0" w:rightChars="0"/>
              <w:jc w:val="center"/>
              <w:rPr>
                <w:rFonts w:hint="eastAsia" w:ascii="Times New Roman" w:hAnsi="Times New Roman" w:eastAsia="宋体" w:cs="Times New Roman"/>
                <w:b/>
                <w:bCs/>
                <w:color w:val="auto"/>
                <w:sz w:val="21"/>
                <w:szCs w:val="21"/>
                <w:highlight w:val="none"/>
                <w:u w:val="none" w:color="auto"/>
                <w:lang w:val="en-US" w:eastAsia="zh-CN"/>
              </w:rPr>
            </w:pPr>
            <w:r>
              <w:rPr>
                <w:rFonts w:hint="eastAsia" w:ascii="Times New Roman" w:hAnsi="Times New Roman" w:eastAsia="宋体" w:cs="Times New Roman"/>
                <w:b/>
                <w:bCs/>
                <w:color w:val="auto"/>
                <w:sz w:val="21"/>
                <w:szCs w:val="21"/>
                <w:highlight w:val="none"/>
                <w:u w:val="none" w:color="auto"/>
                <w:lang w:val="en-US" w:eastAsia="zh-CN"/>
              </w:rPr>
              <w:t>表4-</w:t>
            </w:r>
            <w:r>
              <w:rPr>
                <w:rFonts w:hint="eastAsia" w:cs="Times New Roman"/>
                <w:b/>
                <w:bCs/>
                <w:color w:val="auto"/>
                <w:sz w:val="21"/>
                <w:szCs w:val="21"/>
                <w:highlight w:val="none"/>
                <w:u w:val="none" w:color="auto"/>
                <w:lang w:val="en-US" w:eastAsia="zh-CN"/>
              </w:rPr>
              <w:t>8</w:t>
            </w:r>
            <w:r>
              <w:rPr>
                <w:rFonts w:hint="eastAsia" w:ascii="Times New Roman" w:hAnsi="Times New Roman" w:eastAsia="宋体" w:cs="Times New Roman"/>
                <w:b/>
                <w:bCs/>
                <w:color w:val="auto"/>
                <w:sz w:val="21"/>
                <w:szCs w:val="21"/>
                <w:highlight w:val="none"/>
                <w:u w:val="none" w:color="auto"/>
                <w:lang w:val="en-US" w:eastAsia="zh-CN"/>
              </w:rPr>
              <w:t xml:space="preserve"> 项目改建变更后污染物“三本账”</w:t>
            </w:r>
          </w:p>
          <w:tbl>
            <w:tblPr>
              <w:tblStyle w:val="4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657"/>
              <w:gridCol w:w="887"/>
              <w:gridCol w:w="1072"/>
              <w:gridCol w:w="1161"/>
              <w:gridCol w:w="1184"/>
              <w:gridCol w:w="1365"/>
              <w:gridCol w:w="1297"/>
            </w:tblGrid>
            <w:tr w14:paraId="7085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Align w:val="center"/>
                </w:tcPr>
                <w:p w14:paraId="45C7D2FA">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类别</w:t>
                  </w:r>
                </w:p>
              </w:tc>
              <w:tc>
                <w:tcPr>
                  <w:tcW w:w="1544" w:type="dxa"/>
                  <w:gridSpan w:val="2"/>
                  <w:vAlign w:val="center"/>
                </w:tcPr>
                <w:p w14:paraId="19DC520F">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污染物</w:t>
                  </w:r>
                  <w:r>
                    <w:rPr>
                      <w:rFonts w:hint="eastAsia" w:ascii="Times New Roman" w:hAnsi="Times New Roman" w:eastAsia="宋体" w:cs="Times New Roman"/>
                      <w:b/>
                      <w:bCs/>
                      <w:color w:val="auto"/>
                      <w:sz w:val="21"/>
                      <w:szCs w:val="21"/>
                      <w:highlight w:val="none"/>
                      <w:u w:val="none" w:color="auto"/>
                    </w:rPr>
                    <w:t>名称</w:t>
                  </w:r>
                </w:p>
              </w:tc>
              <w:tc>
                <w:tcPr>
                  <w:tcW w:w="1072" w:type="dxa"/>
                  <w:vAlign w:val="center"/>
                </w:tcPr>
                <w:p w14:paraId="79C59487">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现有工程排放量</w:t>
                  </w:r>
                  <w:r>
                    <w:rPr>
                      <w:rFonts w:hint="eastAsia" w:ascii="Times New Roman" w:hAnsi="Times New Roman" w:eastAsia="宋体" w:cs="Times New Roman"/>
                      <w:b/>
                      <w:bCs/>
                      <w:color w:val="auto"/>
                      <w:sz w:val="21"/>
                      <w:szCs w:val="21"/>
                      <w:highlight w:val="none"/>
                      <w:u w:val="none" w:color="auto"/>
                    </w:rPr>
                    <w:t>（t/a）</w:t>
                  </w:r>
                </w:p>
              </w:tc>
              <w:tc>
                <w:tcPr>
                  <w:tcW w:w="1161" w:type="dxa"/>
                  <w:vAlign w:val="center"/>
                </w:tcPr>
                <w:p w14:paraId="7F638413">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eastAsia" w:ascii="Times New Roman" w:hAnsi="Times New Roman" w:eastAsia="宋体" w:cs="Times New Roman"/>
                      <w:b/>
                      <w:bCs/>
                      <w:color w:val="auto"/>
                      <w:sz w:val="21"/>
                      <w:szCs w:val="21"/>
                      <w:highlight w:val="none"/>
                      <w:u w:val="none" w:color="auto"/>
                    </w:rPr>
                    <w:t>本项目</w:t>
                  </w:r>
                  <w:r>
                    <w:rPr>
                      <w:rFonts w:hint="eastAsia" w:ascii="Times New Roman" w:hAnsi="Times New Roman" w:eastAsia="宋体" w:cs="Times New Roman"/>
                      <w:b/>
                      <w:bCs/>
                      <w:color w:val="auto"/>
                      <w:sz w:val="21"/>
                      <w:szCs w:val="21"/>
                      <w:highlight w:val="none"/>
                      <w:u w:val="none" w:color="auto"/>
                      <w:lang w:val="en-US" w:eastAsia="zh-CN"/>
                    </w:rPr>
                    <w:t>新增</w:t>
                  </w:r>
                  <w:r>
                    <w:rPr>
                      <w:rFonts w:hint="default" w:ascii="Times New Roman" w:hAnsi="Times New Roman" w:eastAsia="宋体" w:cs="Times New Roman"/>
                      <w:b/>
                      <w:bCs/>
                      <w:color w:val="auto"/>
                      <w:sz w:val="21"/>
                      <w:szCs w:val="21"/>
                      <w:highlight w:val="none"/>
                      <w:u w:val="none" w:color="auto"/>
                    </w:rPr>
                    <w:t>排放量</w:t>
                  </w:r>
                  <w:r>
                    <w:rPr>
                      <w:rFonts w:hint="eastAsia" w:ascii="Times New Roman" w:hAnsi="Times New Roman" w:eastAsia="宋体" w:cs="Times New Roman"/>
                      <w:b/>
                      <w:bCs/>
                      <w:color w:val="auto"/>
                      <w:sz w:val="21"/>
                      <w:szCs w:val="21"/>
                      <w:highlight w:val="none"/>
                      <w:u w:val="none" w:color="auto"/>
                    </w:rPr>
                    <w:t>（t/a）</w:t>
                  </w:r>
                </w:p>
              </w:tc>
              <w:tc>
                <w:tcPr>
                  <w:tcW w:w="1184" w:type="dxa"/>
                  <w:vAlign w:val="center"/>
                </w:tcPr>
                <w:p w14:paraId="4E30D212">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“以新带老”削减量</w:t>
                  </w:r>
                  <w:r>
                    <w:rPr>
                      <w:rFonts w:hint="eastAsia" w:ascii="Times New Roman" w:hAnsi="Times New Roman" w:eastAsia="宋体" w:cs="Times New Roman"/>
                      <w:b/>
                      <w:bCs/>
                      <w:color w:val="auto"/>
                      <w:sz w:val="21"/>
                      <w:szCs w:val="21"/>
                      <w:highlight w:val="none"/>
                      <w:u w:val="none" w:color="auto"/>
                    </w:rPr>
                    <w:t>（t/a）</w:t>
                  </w:r>
                </w:p>
              </w:tc>
              <w:tc>
                <w:tcPr>
                  <w:tcW w:w="1365" w:type="dxa"/>
                  <w:vAlign w:val="center"/>
                </w:tcPr>
                <w:p w14:paraId="0081CCE3">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eastAsia" w:ascii="Times New Roman" w:hAnsi="Times New Roman" w:eastAsia="宋体" w:cs="Times New Roman"/>
                      <w:b/>
                      <w:bCs/>
                      <w:color w:val="auto"/>
                      <w:sz w:val="21"/>
                      <w:szCs w:val="21"/>
                      <w:highlight w:val="none"/>
                      <w:u w:val="none" w:color="auto"/>
                    </w:rPr>
                    <w:t>本项目建成后全厂</w:t>
                  </w:r>
                  <w:r>
                    <w:rPr>
                      <w:rFonts w:hint="default" w:ascii="Times New Roman" w:hAnsi="Times New Roman" w:eastAsia="宋体" w:cs="Times New Roman"/>
                      <w:b/>
                      <w:bCs/>
                      <w:color w:val="auto"/>
                      <w:sz w:val="21"/>
                      <w:szCs w:val="21"/>
                      <w:highlight w:val="none"/>
                      <w:u w:val="none" w:color="auto"/>
                    </w:rPr>
                    <w:t>排放量</w:t>
                  </w:r>
                  <w:r>
                    <w:rPr>
                      <w:rFonts w:hint="eastAsia" w:ascii="Times New Roman" w:hAnsi="Times New Roman" w:eastAsia="宋体" w:cs="Times New Roman"/>
                      <w:b/>
                      <w:bCs/>
                      <w:color w:val="auto"/>
                      <w:sz w:val="21"/>
                      <w:szCs w:val="21"/>
                      <w:highlight w:val="none"/>
                      <w:u w:val="none" w:color="auto"/>
                    </w:rPr>
                    <w:t>（t/a）</w:t>
                  </w:r>
                </w:p>
              </w:tc>
              <w:tc>
                <w:tcPr>
                  <w:tcW w:w="1297" w:type="dxa"/>
                  <w:vAlign w:val="center"/>
                </w:tcPr>
                <w:p w14:paraId="155474D8">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增减排放量</w:t>
                  </w:r>
                  <w:r>
                    <w:rPr>
                      <w:rFonts w:hint="eastAsia" w:ascii="Times New Roman" w:hAnsi="Times New Roman" w:eastAsia="宋体" w:cs="Times New Roman"/>
                      <w:b/>
                      <w:bCs/>
                      <w:color w:val="auto"/>
                      <w:sz w:val="21"/>
                      <w:szCs w:val="21"/>
                      <w:highlight w:val="none"/>
                      <w:u w:val="none" w:color="auto"/>
                    </w:rPr>
                    <w:t>（t/a）</w:t>
                  </w:r>
                </w:p>
              </w:tc>
            </w:tr>
            <w:tr w14:paraId="123E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restart"/>
                  <w:vAlign w:val="center"/>
                </w:tcPr>
                <w:p w14:paraId="64A8277F">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p w14:paraId="39297C91">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p w14:paraId="71DD6201">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p w14:paraId="1342E64C">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p w14:paraId="4AE16155">
                  <w:pPr>
                    <w:pStyle w:val="160"/>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color w:val="auto"/>
                      <w:sz w:val="21"/>
                      <w:szCs w:val="21"/>
                      <w:highlight w:val="none"/>
                      <w:u w:val="none" w:color="auto"/>
                    </w:rPr>
                  </w:pPr>
                </w:p>
                <w:p w14:paraId="470818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shd w:val="clear" w:color="auto" w:fill="auto"/>
                  <w:vAlign w:val="center"/>
                </w:tcPr>
                <w:p w14:paraId="4BEFEF0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粉尘</w:t>
                  </w:r>
                </w:p>
              </w:tc>
              <w:tc>
                <w:tcPr>
                  <w:tcW w:w="887" w:type="dxa"/>
                  <w:shd w:val="clear" w:color="auto" w:fill="auto"/>
                  <w:vAlign w:val="center"/>
                </w:tcPr>
                <w:p w14:paraId="1509CB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TSP</w:t>
                  </w:r>
                </w:p>
              </w:tc>
              <w:tc>
                <w:tcPr>
                  <w:tcW w:w="1072" w:type="dxa"/>
                  <w:shd w:val="clear" w:color="auto" w:fill="auto"/>
                  <w:vAlign w:val="center"/>
                </w:tcPr>
                <w:p w14:paraId="272562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0.023</w:t>
                  </w:r>
                </w:p>
              </w:tc>
              <w:tc>
                <w:tcPr>
                  <w:tcW w:w="1161" w:type="dxa"/>
                  <w:shd w:val="clear" w:color="auto" w:fill="auto"/>
                  <w:vAlign w:val="center"/>
                </w:tcPr>
                <w:p w14:paraId="324E85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1D1534A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11CDD72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0.023</w:t>
                  </w:r>
                </w:p>
              </w:tc>
              <w:tc>
                <w:tcPr>
                  <w:tcW w:w="1297" w:type="dxa"/>
                  <w:shd w:val="clear" w:color="auto" w:fill="auto"/>
                  <w:vAlign w:val="center"/>
                </w:tcPr>
                <w:p w14:paraId="36AB5B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5511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0C55EBF9">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restart"/>
                  <w:vAlign w:val="center"/>
                </w:tcPr>
                <w:p w14:paraId="5E2A17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r>
                    <w:rPr>
                      <w:rFonts w:hint="eastAsia" w:ascii="Times New Roman" w:hAnsi="Times New Roman" w:eastAsia="宋体" w:cs="Times New Roman"/>
                      <w:bCs/>
                      <w:color w:val="auto"/>
                      <w:sz w:val="21"/>
                      <w:szCs w:val="21"/>
                      <w:highlight w:val="none"/>
                      <w:u w:val="none" w:color="auto"/>
                    </w:rPr>
                    <w:t>机械燃油</w:t>
                  </w:r>
                  <w:r>
                    <w:rPr>
                      <w:rFonts w:hint="eastAsia" w:ascii="Times New Roman" w:hAnsi="Times New Roman" w:eastAsia="宋体" w:cs="Times New Roman"/>
                      <w:bCs/>
                      <w:color w:val="auto"/>
                      <w:sz w:val="21"/>
                      <w:szCs w:val="21"/>
                      <w:highlight w:val="none"/>
                      <w:u w:val="none" w:color="auto"/>
                      <w:lang w:eastAsia="en-US"/>
                    </w:rPr>
                    <w:t>废气</w:t>
                  </w:r>
                </w:p>
              </w:tc>
              <w:tc>
                <w:tcPr>
                  <w:tcW w:w="887" w:type="dxa"/>
                  <w:shd w:val="clear" w:color="auto" w:fill="auto"/>
                  <w:vAlign w:val="center"/>
                </w:tcPr>
                <w:p w14:paraId="42E15F3A">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PM</w:t>
                  </w:r>
                  <w:r>
                    <w:rPr>
                      <w:rFonts w:hint="default" w:ascii="Times New Roman" w:hAnsi="Times New Roman" w:eastAsia="宋体" w:cs="Times New Roman"/>
                      <w:caps w:val="0"/>
                      <w:color w:val="auto"/>
                      <w:kern w:val="2"/>
                      <w:szCs w:val="21"/>
                      <w:highlight w:val="none"/>
                      <w:u w:val="none" w:color="auto"/>
                      <w:vertAlign w:val="subscript"/>
                    </w:rPr>
                    <w:t>2.5</w:t>
                  </w:r>
                </w:p>
              </w:tc>
              <w:tc>
                <w:tcPr>
                  <w:tcW w:w="1072" w:type="dxa"/>
                  <w:shd w:val="clear" w:color="auto" w:fill="auto"/>
                  <w:vAlign w:val="center"/>
                </w:tcPr>
                <w:p w14:paraId="1E309AF8">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161" w:type="dxa"/>
                  <w:vAlign w:val="center"/>
                </w:tcPr>
                <w:p w14:paraId="08AF0C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1CC061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11F7D752">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297" w:type="dxa"/>
                  <w:shd w:val="clear" w:color="auto" w:fill="auto"/>
                  <w:vAlign w:val="center"/>
                </w:tcPr>
                <w:p w14:paraId="61160C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0547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0E488664">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4707CC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7" w:type="dxa"/>
                  <w:shd w:val="clear" w:color="auto" w:fill="auto"/>
                  <w:vAlign w:val="center"/>
                </w:tcPr>
                <w:p w14:paraId="164CB4C7">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PM</w:t>
                  </w:r>
                  <w:r>
                    <w:rPr>
                      <w:rFonts w:hint="eastAsia" w:ascii="Times New Roman" w:hAnsi="Times New Roman" w:eastAsia="宋体" w:cs="Times New Roman"/>
                      <w:caps w:val="0"/>
                      <w:color w:val="auto"/>
                      <w:kern w:val="2"/>
                      <w:szCs w:val="21"/>
                      <w:highlight w:val="none"/>
                      <w:u w:val="none" w:color="auto"/>
                      <w:vertAlign w:val="subscript"/>
                      <w:lang w:val="en-US" w:eastAsia="zh-CN"/>
                    </w:rPr>
                    <w:t>10</w:t>
                  </w:r>
                </w:p>
              </w:tc>
              <w:tc>
                <w:tcPr>
                  <w:tcW w:w="1072" w:type="dxa"/>
                  <w:shd w:val="clear" w:color="auto" w:fill="auto"/>
                  <w:vAlign w:val="center"/>
                </w:tcPr>
                <w:p w14:paraId="7A09C4B6">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161" w:type="dxa"/>
                  <w:vAlign w:val="center"/>
                </w:tcPr>
                <w:p w14:paraId="1842DD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0C4621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7718D13B">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297" w:type="dxa"/>
                  <w:shd w:val="clear" w:color="auto" w:fill="auto"/>
                  <w:vAlign w:val="center"/>
                </w:tcPr>
                <w:p w14:paraId="6129F72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7F00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767A564B">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2EEAD1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7" w:type="dxa"/>
                  <w:shd w:val="clear" w:color="auto" w:fill="auto"/>
                  <w:vAlign w:val="center"/>
                </w:tcPr>
                <w:p w14:paraId="2A8623AD">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SO</w:t>
                  </w:r>
                  <w:r>
                    <w:rPr>
                      <w:rFonts w:hint="default" w:ascii="Times New Roman" w:hAnsi="Times New Roman" w:eastAsia="宋体" w:cs="Times New Roman"/>
                      <w:caps w:val="0"/>
                      <w:color w:val="auto"/>
                      <w:kern w:val="2"/>
                      <w:szCs w:val="21"/>
                      <w:highlight w:val="none"/>
                      <w:u w:val="none" w:color="auto"/>
                      <w:vertAlign w:val="subscript"/>
                    </w:rPr>
                    <w:t>2</w:t>
                  </w:r>
                </w:p>
              </w:tc>
              <w:tc>
                <w:tcPr>
                  <w:tcW w:w="1072" w:type="dxa"/>
                  <w:shd w:val="clear" w:color="auto" w:fill="auto"/>
                  <w:vAlign w:val="center"/>
                </w:tcPr>
                <w:p w14:paraId="096514FA">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0.838</w:t>
                  </w:r>
                </w:p>
              </w:tc>
              <w:tc>
                <w:tcPr>
                  <w:tcW w:w="1161" w:type="dxa"/>
                  <w:vAlign w:val="center"/>
                </w:tcPr>
                <w:p w14:paraId="5EE5E9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555652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1263C75C">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0.838</w:t>
                  </w:r>
                </w:p>
              </w:tc>
              <w:tc>
                <w:tcPr>
                  <w:tcW w:w="1297" w:type="dxa"/>
                  <w:shd w:val="clear" w:color="auto" w:fill="auto"/>
                  <w:vAlign w:val="center"/>
                </w:tcPr>
                <w:p w14:paraId="4E91A4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38CB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1692F793">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175F2A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7" w:type="dxa"/>
                  <w:shd w:val="clear" w:color="auto" w:fill="auto"/>
                  <w:vAlign w:val="center"/>
                </w:tcPr>
                <w:p w14:paraId="517C363E">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NO</w:t>
                  </w:r>
                  <w:r>
                    <w:rPr>
                      <w:rFonts w:hint="default" w:ascii="Times New Roman" w:hAnsi="Times New Roman" w:eastAsia="宋体" w:cs="Times New Roman"/>
                      <w:caps w:val="0"/>
                      <w:color w:val="auto"/>
                      <w:kern w:val="2"/>
                      <w:szCs w:val="21"/>
                      <w:highlight w:val="none"/>
                      <w:u w:val="none" w:color="auto"/>
                      <w:vertAlign w:val="subscript"/>
                    </w:rPr>
                    <w:t>x</w:t>
                  </w:r>
                </w:p>
              </w:tc>
              <w:tc>
                <w:tcPr>
                  <w:tcW w:w="1072" w:type="dxa"/>
                  <w:shd w:val="clear" w:color="auto" w:fill="auto"/>
                  <w:vAlign w:val="center"/>
                </w:tcPr>
                <w:p w14:paraId="7A5C8D72">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11.214</w:t>
                  </w:r>
                </w:p>
              </w:tc>
              <w:tc>
                <w:tcPr>
                  <w:tcW w:w="1161" w:type="dxa"/>
                  <w:vAlign w:val="center"/>
                </w:tcPr>
                <w:p w14:paraId="6C4C1B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289FF6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5A8750D0">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11.214</w:t>
                  </w:r>
                </w:p>
              </w:tc>
              <w:tc>
                <w:tcPr>
                  <w:tcW w:w="1297" w:type="dxa"/>
                  <w:shd w:val="clear" w:color="auto" w:fill="auto"/>
                  <w:vAlign w:val="center"/>
                </w:tcPr>
                <w:p w14:paraId="13251A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14BC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4740A4B3">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58826B7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7" w:type="dxa"/>
                  <w:shd w:val="clear" w:color="auto" w:fill="auto"/>
                  <w:vAlign w:val="center"/>
                </w:tcPr>
                <w:p w14:paraId="7B98E3AC">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HC</w:t>
                  </w:r>
                </w:p>
              </w:tc>
              <w:tc>
                <w:tcPr>
                  <w:tcW w:w="1072" w:type="dxa"/>
                  <w:shd w:val="clear" w:color="auto" w:fill="auto"/>
                  <w:vAlign w:val="center"/>
                </w:tcPr>
                <w:p w14:paraId="398DDFF0">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1.16</w:t>
                  </w:r>
                </w:p>
              </w:tc>
              <w:tc>
                <w:tcPr>
                  <w:tcW w:w="1161" w:type="dxa"/>
                  <w:vAlign w:val="center"/>
                </w:tcPr>
                <w:p w14:paraId="4D11E3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26A165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7518D22B">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1.16</w:t>
                  </w:r>
                </w:p>
              </w:tc>
              <w:tc>
                <w:tcPr>
                  <w:tcW w:w="1297" w:type="dxa"/>
                  <w:shd w:val="clear" w:color="auto" w:fill="auto"/>
                  <w:vAlign w:val="center"/>
                </w:tcPr>
                <w:p w14:paraId="304558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06B2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56505523">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051F5E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u w:val="none" w:color="auto"/>
                    </w:rPr>
                  </w:pPr>
                </w:p>
              </w:tc>
              <w:tc>
                <w:tcPr>
                  <w:tcW w:w="887" w:type="dxa"/>
                  <w:shd w:val="clear" w:color="auto" w:fill="auto"/>
                  <w:vAlign w:val="center"/>
                </w:tcPr>
                <w:p w14:paraId="57D9CE92">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CO</w:t>
                  </w:r>
                </w:p>
              </w:tc>
              <w:tc>
                <w:tcPr>
                  <w:tcW w:w="1072" w:type="dxa"/>
                  <w:shd w:val="clear" w:color="auto" w:fill="auto"/>
                  <w:vAlign w:val="center"/>
                </w:tcPr>
                <w:p w14:paraId="0151DA53">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3.666</w:t>
                  </w:r>
                </w:p>
              </w:tc>
              <w:tc>
                <w:tcPr>
                  <w:tcW w:w="1161" w:type="dxa"/>
                  <w:vAlign w:val="center"/>
                </w:tcPr>
                <w:p w14:paraId="45EDDFD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34A876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299F1247">
                  <w:pPr>
                    <w:pStyle w:val="149"/>
                    <w:keepNext w:val="0"/>
                    <w:keepLines w:val="0"/>
                    <w:suppressLineNumbers w:val="0"/>
                    <w:wordWrap/>
                    <w:snapToGrid w:val="0"/>
                    <w:spacing w:before="0" w:beforeAutospacing="0" w:after="0" w:afterAutospacing="0" w:line="240" w:lineRule="exact"/>
                    <w:ind w:left="0" w:right="0" w:firstLine="0" w:firstLineChars="0"/>
                    <w:rPr>
                      <w:rFonts w:hint="eastAsia"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3.666</w:t>
                  </w:r>
                </w:p>
              </w:tc>
              <w:tc>
                <w:tcPr>
                  <w:tcW w:w="1297" w:type="dxa"/>
                  <w:shd w:val="clear" w:color="auto" w:fill="auto"/>
                  <w:vAlign w:val="center"/>
                </w:tcPr>
                <w:p w14:paraId="337092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6F8C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1C8C4646">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restart"/>
                  <w:vAlign w:val="center"/>
                </w:tcPr>
                <w:p w14:paraId="5BABA3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刷漆、晾干废气</w:t>
                  </w:r>
                </w:p>
              </w:tc>
              <w:tc>
                <w:tcPr>
                  <w:tcW w:w="887" w:type="dxa"/>
                  <w:shd w:val="clear" w:color="auto" w:fill="auto"/>
                  <w:vAlign w:val="center"/>
                </w:tcPr>
                <w:p w14:paraId="09325AC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非甲烷总烃</w:t>
                  </w:r>
                </w:p>
              </w:tc>
              <w:tc>
                <w:tcPr>
                  <w:tcW w:w="1072" w:type="dxa"/>
                  <w:vAlign w:val="center"/>
                </w:tcPr>
                <w:p w14:paraId="3C9F10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0.253</w:t>
                  </w:r>
                </w:p>
              </w:tc>
              <w:tc>
                <w:tcPr>
                  <w:tcW w:w="1161" w:type="dxa"/>
                  <w:vAlign w:val="center"/>
                </w:tcPr>
                <w:p w14:paraId="73F087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54032E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58BA5E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0.253</w:t>
                  </w:r>
                </w:p>
              </w:tc>
              <w:tc>
                <w:tcPr>
                  <w:tcW w:w="1297" w:type="dxa"/>
                  <w:shd w:val="clear" w:color="auto" w:fill="auto"/>
                  <w:vAlign w:val="center"/>
                </w:tcPr>
                <w:p w14:paraId="2CBD5A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7925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2F7D10D2">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52BFEFC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7" w:type="dxa"/>
                  <w:shd w:val="clear" w:color="auto" w:fill="auto"/>
                  <w:vAlign w:val="center"/>
                </w:tcPr>
                <w:p w14:paraId="5AFEA73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二甲苯</w:t>
                  </w:r>
                </w:p>
              </w:tc>
              <w:tc>
                <w:tcPr>
                  <w:tcW w:w="1072" w:type="dxa"/>
                  <w:vAlign w:val="center"/>
                </w:tcPr>
                <w:p w14:paraId="1B6039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0.084</w:t>
                  </w:r>
                </w:p>
              </w:tc>
              <w:tc>
                <w:tcPr>
                  <w:tcW w:w="1161" w:type="dxa"/>
                  <w:vAlign w:val="center"/>
                </w:tcPr>
                <w:p w14:paraId="76F47B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3BE2E7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3A61CBB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0.084</w:t>
                  </w:r>
                </w:p>
              </w:tc>
              <w:tc>
                <w:tcPr>
                  <w:tcW w:w="1297" w:type="dxa"/>
                  <w:shd w:val="clear" w:color="auto" w:fill="auto"/>
                  <w:vAlign w:val="center"/>
                </w:tcPr>
                <w:p w14:paraId="0E35E7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33B2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6FF935ED">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4A5E6DF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7" w:type="dxa"/>
                  <w:shd w:val="clear" w:color="auto" w:fill="auto"/>
                  <w:vAlign w:val="center"/>
                </w:tcPr>
                <w:p w14:paraId="7FCEEED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甲苯</w:t>
                  </w:r>
                </w:p>
              </w:tc>
              <w:tc>
                <w:tcPr>
                  <w:tcW w:w="1072" w:type="dxa"/>
                  <w:vAlign w:val="center"/>
                </w:tcPr>
                <w:p w14:paraId="2E8F2C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0.034</w:t>
                  </w:r>
                </w:p>
              </w:tc>
              <w:tc>
                <w:tcPr>
                  <w:tcW w:w="1161" w:type="dxa"/>
                  <w:vAlign w:val="center"/>
                </w:tcPr>
                <w:p w14:paraId="159086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4DEE65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5C59E08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0.034</w:t>
                  </w:r>
                </w:p>
              </w:tc>
              <w:tc>
                <w:tcPr>
                  <w:tcW w:w="1297" w:type="dxa"/>
                  <w:shd w:val="clear" w:color="auto" w:fill="auto"/>
                  <w:vAlign w:val="center"/>
                </w:tcPr>
                <w:p w14:paraId="06D256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42D6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restart"/>
                  <w:vAlign w:val="center"/>
                </w:tcPr>
                <w:p w14:paraId="101BD5A0">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657" w:type="dxa"/>
                  <w:vAlign w:val="center"/>
                </w:tcPr>
                <w:p w14:paraId="635D9980">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生产废水</w:t>
                  </w:r>
                </w:p>
              </w:tc>
              <w:tc>
                <w:tcPr>
                  <w:tcW w:w="887" w:type="dxa"/>
                  <w:vAlign w:val="center"/>
                </w:tcPr>
                <w:p w14:paraId="7E838E2A">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含油废水</w:t>
                  </w:r>
                </w:p>
              </w:tc>
              <w:tc>
                <w:tcPr>
                  <w:tcW w:w="1072" w:type="dxa"/>
                  <w:vAlign w:val="center"/>
                </w:tcPr>
                <w:p w14:paraId="740D4302">
                  <w:pPr>
                    <w:pStyle w:val="16"/>
                    <w:tabs>
                      <w:tab w:val="left" w:pos="357"/>
                    </w:tabs>
                    <w:spacing w:line="240" w:lineRule="auto"/>
                    <w:ind w:firstLine="0"/>
                    <w:jc w:val="center"/>
                    <w:rPr>
                      <w:rFonts w:ascii="Times New Roman" w:hAnsi="Times New Roman" w:eastAsia="宋体" w:cs="Times New Roman"/>
                      <w:bCs/>
                      <w:color w:val="auto"/>
                      <w:sz w:val="21"/>
                      <w:szCs w:val="21"/>
                      <w:highlight w:val="none"/>
                      <w:u w:val="none" w:color="auto"/>
                    </w:rPr>
                  </w:pPr>
                  <w:r>
                    <w:rPr>
                      <w:rFonts w:ascii="Times New Roman" w:hAnsi="Times New Roman" w:eastAsia="宋体" w:cs="Times New Roman"/>
                      <w:bCs/>
                      <w:color w:val="auto"/>
                      <w:sz w:val="21"/>
                      <w:szCs w:val="21"/>
                      <w:highlight w:val="none"/>
                      <w:u w:val="none" w:color="auto"/>
                    </w:rPr>
                    <w:t>1</w:t>
                  </w:r>
                  <w:r>
                    <w:rPr>
                      <w:rFonts w:hint="eastAsia" w:ascii="Times New Roman" w:hAnsi="Times New Roman" w:eastAsia="宋体" w:cs="Times New Roman"/>
                      <w:bCs/>
                      <w:color w:val="auto"/>
                      <w:sz w:val="21"/>
                      <w:szCs w:val="21"/>
                      <w:highlight w:val="none"/>
                      <w:u w:val="none" w:color="auto"/>
                      <w:lang w:val="en-US" w:eastAsia="zh-CN"/>
                    </w:rPr>
                    <w:t>898</w:t>
                  </w:r>
                </w:p>
              </w:tc>
              <w:tc>
                <w:tcPr>
                  <w:tcW w:w="1161" w:type="dxa"/>
                  <w:vAlign w:val="center"/>
                </w:tcPr>
                <w:p w14:paraId="5507BC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5C6511D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12A552D0">
                  <w:pPr>
                    <w:pStyle w:val="16"/>
                    <w:tabs>
                      <w:tab w:val="left" w:pos="357"/>
                    </w:tabs>
                    <w:spacing w:line="240" w:lineRule="auto"/>
                    <w:ind w:left="0" w:leftChars="0" w:right="0" w:rightChars="0"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
                    </w:rPr>
                  </w:pPr>
                  <w:r>
                    <w:rPr>
                      <w:rFonts w:ascii="Times New Roman" w:hAnsi="Times New Roman" w:eastAsia="宋体" w:cs="Times New Roman"/>
                      <w:bCs/>
                      <w:color w:val="auto"/>
                      <w:sz w:val="21"/>
                      <w:szCs w:val="21"/>
                      <w:highlight w:val="none"/>
                      <w:u w:val="none" w:color="auto"/>
                    </w:rPr>
                    <w:t>1</w:t>
                  </w:r>
                  <w:r>
                    <w:rPr>
                      <w:rFonts w:hint="eastAsia" w:ascii="Times New Roman" w:hAnsi="Times New Roman" w:eastAsia="宋体" w:cs="Times New Roman"/>
                      <w:bCs/>
                      <w:color w:val="auto"/>
                      <w:sz w:val="21"/>
                      <w:szCs w:val="21"/>
                      <w:highlight w:val="none"/>
                      <w:u w:val="none" w:color="auto"/>
                      <w:lang w:val="en-US" w:eastAsia="zh-CN"/>
                    </w:rPr>
                    <w:t>898</w:t>
                  </w:r>
                </w:p>
              </w:tc>
              <w:tc>
                <w:tcPr>
                  <w:tcW w:w="1297" w:type="dxa"/>
                  <w:shd w:val="clear" w:color="auto" w:fill="auto"/>
                  <w:vAlign w:val="center"/>
                </w:tcPr>
                <w:p w14:paraId="615EE8E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2DBA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0234D91F">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restart"/>
                  <w:vAlign w:val="center"/>
                </w:tcPr>
                <w:p w14:paraId="029B7135">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生活污水</w:t>
                  </w:r>
                </w:p>
              </w:tc>
              <w:tc>
                <w:tcPr>
                  <w:tcW w:w="887" w:type="dxa"/>
                  <w:shd w:val="clear" w:color="auto" w:fill="auto"/>
                  <w:vAlign w:val="center"/>
                </w:tcPr>
                <w:p w14:paraId="18D18B44">
                  <w:pPr>
                    <w:keepNext w:val="0"/>
                    <w:keepLines w:val="0"/>
                    <w:suppressLineNumbers w:val="0"/>
                    <w:autoSpaceDE w:val="0"/>
                    <w:autoSpaceDN w:val="0"/>
                    <w:snapToGrid w:val="0"/>
                    <w:spacing w:before="0" w:beforeAutospacing="0" w:after="0" w:afterAutospacing="0" w:line="240" w:lineRule="atLeast"/>
                    <w:ind w:left="0" w:right="0" w:firstLine="0" w:firstLineChars="0"/>
                    <w:jc w:val="center"/>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default" w:ascii="Times New Roman" w:hAnsi="Times New Roman" w:eastAsia="宋体" w:cs="Times New Roman"/>
                      <w:caps w:val="0"/>
                      <w:color w:val="auto"/>
                      <w:sz w:val="21"/>
                      <w:szCs w:val="21"/>
                      <w:highlight w:val="none"/>
                      <w:u w:val="none" w:color="auto"/>
                    </w:rPr>
                    <w:t>废水量</w:t>
                  </w:r>
                </w:p>
              </w:tc>
              <w:tc>
                <w:tcPr>
                  <w:tcW w:w="1072" w:type="dxa"/>
                  <w:shd w:val="clear" w:color="auto" w:fill="auto"/>
                  <w:vAlign w:val="center"/>
                </w:tcPr>
                <w:p w14:paraId="4680E2B6">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4445.4</w:t>
                  </w:r>
                </w:p>
              </w:tc>
              <w:tc>
                <w:tcPr>
                  <w:tcW w:w="1161" w:type="dxa"/>
                  <w:vAlign w:val="center"/>
                </w:tcPr>
                <w:p w14:paraId="3849D5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72F727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7CEAFA36">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4445.4</w:t>
                  </w:r>
                </w:p>
              </w:tc>
              <w:tc>
                <w:tcPr>
                  <w:tcW w:w="1297" w:type="dxa"/>
                  <w:shd w:val="clear" w:color="auto" w:fill="auto"/>
                  <w:vAlign w:val="center"/>
                </w:tcPr>
                <w:p w14:paraId="20F7EA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2ADB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47101080">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00B5548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7" w:type="dxa"/>
                  <w:shd w:val="clear" w:color="auto" w:fill="auto"/>
                  <w:vAlign w:val="center"/>
                </w:tcPr>
                <w:p w14:paraId="6FA81EB1">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COD</w:t>
                  </w:r>
                </w:p>
              </w:tc>
              <w:tc>
                <w:tcPr>
                  <w:tcW w:w="1072" w:type="dxa"/>
                  <w:shd w:val="clear" w:color="auto" w:fill="auto"/>
                  <w:vAlign w:val="center"/>
                </w:tcPr>
                <w:p w14:paraId="7B4674B8">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0.888</w:t>
                  </w:r>
                </w:p>
              </w:tc>
              <w:tc>
                <w:tcPr>
                  <w:tcW w:w="1161" w:type="dxa"/>
                  <w:vAlign w:val="center"/>
                </w:tcPr>
                <w:p w14:paraId="76E45E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59A72A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56E065F1">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0.888</w:t>
                  </w:r>
                </w:p>
              </w:tc>
              <w:tc>
                <w:tcPr>
                  <w:tcW w:w="1297" w:type="dxa"/>
                  <w:shd w:val="clear" w:color="auto" w:fill="auto"/>
                  <w:vAlign w:val="center"/>
                </w:tcPr>
                <w:p w14:paraId="322342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77BC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4E65ED34">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Merge w:val="continue"/>
                  <w:vAlign w:val="center"/>
                </w:tcPr>
                <w:p w14:paraId="1E4F04C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p>
              </w:tc>
              <w:tc>
                <w:tcPr>
                  <w:tcW w:w="887" w:type="dxa"/>
                  <w:shd w:val="clear" w:color="auto" w:fill="auto"/>
                  <w:vAlign w:val="center"/>
                </w:tcPr>
                <w:p w14:paraId="2010BB87">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NH</w:t>
                  </w:r>
                  <w:r>
                    <w:rPr>
                      <w:rFonts w:hint="eastAsia" w:ascii="Times New Roman" w:hAnsi="Times New Roman" w:eastAsia="宋体" w:cs="Times New Roman"/>
                      <w:caps w:val="0"/>
                      <w:color w:val="auto"/>
                      <w:kern w:val="2"/>
                      <w:szCs w:val="21"/>
                      <w:highlight w:val="none"/>
                      <w:u w:val="none" w:color="auto"/>
                      <w:vertAlign w:val="subscript"/>
                      <w:lang w:val="en-US" w:eastAsia="zh-CN"/>
                    </w:rPr>
                    <w:t>3</w:t>
                  </w:r>
                  <w:r>
                    <w:rPr>
                      <w:rFonts w:hint="eastAsia" w:ascii="Times New Roman" w:hAnsi="Times New Roman" w:eastAsia="宋体" w:cs="Times New Roman"/>
                      <w:caps w:val="0"/>
                      <w:color w:val="auto"/>
                      <w:kern w:val="2"/>
                      <w:szCs w:val="21"/>
                      <w:highlight w:val="none"/>
                      <w:u w:val="none" w:color="auto"/>
                      <w:lang w:val="en-US" w:eastAsia="zh-CN"/>
                    </w:rPr>
                    <w:t>-N</w:t>
                  </w:r>
                </w:p>
              </w:tc>
              <w:tc>
                <w:tcPr>
                  <w:tcW w:w="1072" w:type="dxa"/>
                  <w:shd w:val="clear" w:color="auto" w:fill="auto"/>
                  <w:vAlign w:val="center"/>
                </w:tcPr>
                <w:p w14:paraId="30308749">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0.130</w:t>
                  </w:r>
                </w:p>
              </w:tc>
              <w:tc>
                <w:tcPr>
                  <w:tcW w:w="1161" w:type="dxa"/>
                  <w:vAlign w:val="center"/>
                </w:tcPr>
                <w:p w14:paraId="6ACA51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150349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79BFB77F">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aps w:val="0"/>
                      <w:color w:val="auto"/>
                      <w:spacing w:val="-10"/>
                      <w:kern w:val="2"/>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0.130</w:t>
                  </w:r>
                </w:p>
              </w:tc>
              <w:tc>
                <w:tcPr>
                  <w:tcW w:w="1297" w:type="dxa"/>
                  <w:shd w:val="clear" w:color="auto" w:fill="auto"/>
                  <w:vAlign w:val="center"/>
                </w:tcPr>
                <w:p w14:paraId="67CE96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3371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restart"/>
                  <w:vAlign w:val="center"/>
                </w:tcPr>
                <w:p w14:paraId="0533B76F">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固体废物</w:t>
                  </w:r>
                </w:p>
              </w:tc>
              <w:tc>
                <w:tcPr>
                  <w:tcW w:w="657" w:type="dxa"/>
                  <w:vAlign w:val="center"/>
                </w:tcPr>
                <w:p w14:paraId="784DF7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码头员工</w:t>
                  </w:r>
                </w:p>
              </w:tc>
              <w:tc>
                <w:tcPr>
                  <w:tcW w:w="887" w:type="dxa"/>
                  <w:vAlign w:val="center"/>
                </w:tcPr>
                <w:p w14:paraId="5DE317A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生活垃圾</w:t>
                  </w:r>
                </w:p>
              </w:tc>
              <w:tc>
                <w:tcPr>
                  <w:tcW w:w="1072" w:type="dxa"/>
                  <w:vAlign w:val="center"/>
                </w:tcPr>
                <w:p w14:paraId="5BB88C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25.34</w:t>
                  </w:r>
                </w:p>
              </w:tc>
              <w:tc>
                <w:tcPr>
                  <w:tcW w:w="1161" w:type="dxa"/>
                  <w:vAlign w:val="center"/>
                </w:tcPr>
                <w:p w14:paraId="0B8BA656">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73CD0247">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58EB68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25.34</w:t>
                  </w:r>
                </w:p>
              </w:tc>
              <w:tc>
                <w:tcPr>
                  <w:tcW w:w="1297" w:type="dxa"/>
                  <w:shd w:val="clear" w:color="auto" w:fill="auto"/>
                  <w:vAlign w:val="center"/>
                </w:tcPr>
                <w:p w14:paraId="0112E0BA">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43E5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67D46E90">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Align w:val="center"/>
                </w:tcPr>
                <w:p w14:paraId="329C153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一般工业固体废物</w:t>
                  </w:r>
                </w:p>
              </w:tc>
              <w:tc>
                <w:tcPr>
                  <w:tcW w:w="887" w:type="dxa"/>
                  <w:vAlign w:val="center"/>
                </w:tcPr>
                <w:p w14:paraId="3CD020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废木屑、废焊丝、废木料、包装材料等</w:t>
                  </w:r>
                </w:p>
              </w:tc>
              <w:tc>
                <w:tcPr>
                  <w:tcW w:w="1072" w:type="dxa"/>
                  <w:vAlign w:val="center"/>
                </w:tcPr>
                <w:p w14:paraId="1E3803DD">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37.6</w:t>
                  </w:r>
                </w:p>
              </w:tc>
              <w:tc>
                <w:tcPr>
                  <w:tcW w:w="1161" w:type="dxa"/>
                  <w:vAlign w:val="center"/>
                </w:tcPr>
                <w:p w14:paraId="2A9F37E0">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66C0345E">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2855D13C">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37.6</w:t>
                  </w:r>
                </w:p>
              </w:tc>
              <w:tc>
                <w:tcPr>
                  <w:tcW w:w="1297" w:type="dxa"/>
                  <w:shd w:val="clear" w:color="auto" w:fill="auto"/>
                  <w:vAlign w:val="center"/>
                </w:tcPr>
                <w:p w14:paraId="331B99F3">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1BF6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0334B0DC">
                  <w:pPr>
                    <w:pStyle w:val="159"/>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p>
              </w:tc>
              <w:tc>
                <w:tcPr>
                  <w:tcW w:w="657" w:type="dxa"/>
                  <w:vAlign w:val="center"/>
                </w:tcPr>
                <w:p w14:paraId="37A18AA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危险废物</w:t>
                  </w:r>
                </w:p>
              </w:tc>
              <w:tc>
                <w:tcPr>
                  <w:tcW w:w="887" w:type="dxa"/>
                  <w:vAlign w:val="center"/>
                </w:tcPr>
                <w:p w14:paraId="539BDB2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rPr>
                    <w:t>废</w:t>
                  </w:r>
                  <w:r>
                    <w:rPr>
                      <w:rFonts w:hint="eastAsia" w:ascii="Times New Roman" w:hAnsi="Times New Roman" w:eastAsia="宋体" w:cs="Times New Roman"/>
                      <w:color w:val="auto"/>
                      <w:sz w:val="21"/>
                      <w:szCs w:val="21"/>
                      <w:highlight w:val="none"/>
                      <w:u w:val="none" w:color="auto"/>
                      <w:lang w:val="en-US" w:eastAsia="zh-CN"/>
                    </w:rPr>
                    <w:t>矿物油</w:t>
                  </w:r>
                  <w:r>
                    <w:rPr>
                      <w:rFonts w:hint="eastAsia" w:ascii="Times New Roman" w:hAnsi="Times New Roman" w:eastAsia="宋体" w:cs="Times New Roman"/>
                      <w:color w:val="auto"/>
                      <w:sz w:val="21"/>
                      <w:szCs w:val="21"/>
                      <w:highlight w:val="none"/>
                      <w:u w:val="none" w:color="auto"/>
                    </w:rPr>
                    <w:t>、</w:t>
                  </w:r>
                  <w:r>
                    <w:rPr>
                      <w:rFonts w:hint="eastAsia" w:ascii="Times New Roman" w:hAnsi="Times New Roman" w:eastAsia="宋体" w:cs="Times New Roman"/>
                      <w:color w:val="auto"/>
                      <w:sz w:val="21"/>
                      <w:szCs w:val="21"/>
                      <w:highlight w:val="none"/>
                      <w:u w:val="none" w:color="auto"/>
                      <w:lang w:val="en-US" w:eastAsia="zh-CN"/>
                    </w:rPr>
                    <w:t>含油抹布</w:t>
                  </w:r>
                  <w:r>
                    <w:rPr>
                      <w:rFonts w:hint="eastAsia" w:ascii="Times New Roman" w:hAnsi="Times New Roman" w:eastAsia="宋体" w:cs="Times New Roman"/>
                      <w:color w:val="auto"/>
                      <w:sz w:val="21"/>
                      <w:szCs w:val="21"/>
                      <w:highlight w:val="none"/>
                      <w:u w:val="none" w:color="auto"/>
                    </w:rPr>
                    <w:t>等</w:t>
                  </w:r>
                </w:p>
              </w:tc>
              <w:tc>
                <w:tcPr>
                  <w:tcW w:w="1072" w:type="dxa"/>
                  <w:vAlign w:val="center"/>
                </w:tcPr>
                <w:p w14:paraId="5E9D2423">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bCs/>
                      <w:caps w:val="0"/>
                      <w:color w:val="auto"/>
                      <w:sz w:val="21"/>
                      <w:szCs w:val="21"/>
                      <w:highlight w:val="none"/>
                      <w:u w:val="none" w:color="auto"/>
                      <w:lang w:val="en-US" w:eastAsia="zh-CN"/>
                    </w:rPr>
                    <w:t>65.845</w:t>
                  </w:r>
                </w:p>
              </w:tc>
              <w:tc>
                <w:tcPr>
                  <w:tcW w:w="1161" w:type="dxa"/>
                  <w:vAlign w:val="center"/>
                </w:tcPr>
                <w:p w14:paraId="14D112F2">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184" w:type="dxa"/>
                  <w:shd w:val="clear" w:color="auto" w:fill="auto"/>
                  <w:vAlign w:val="center"/>
                </w:tcPr>
                <w:p w14:paraId="53C3F711">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365" w:type="dxa"/>
                  <w:shd w:val="clear" w:color="auto" w:fill="auto"/>
                  <w:vAlign w:val="center"/>
                </w:tcPr>
                <w:p w14:paraId="52856B2D">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bCs/>
                      <w:caps w:val="0"/>
                      <w:color w:val="auto"/>
                      <w:sz w:val="21"/>
                      <w:szCs w:val="21"/>
                      <w:highlight w:val="none"/>
                      <w:u w:val="none" w:color="auto"/>
                      <w:lang w:val="en-US" w:eastAsia="zh-CN"/>
                    </w:rPr>
                    <w:t>65.845</w:t>
                  </w:r>
                </w:p>
              </w:tc>
              <w:tc>
                <w:tcPr>
                  <w:tcW w:w="1297" w:type="dxa"/>
                  <w:shd w:val="clear" w:color="auto" w:fill="auto"/>
                  <w:vAlign w:val="center"/>
                </w:tcPr>
                <w:p w14:paraId="74270EDB">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bl>
          <w:p w14:paraId="576C448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u w:val="none" w:color="auto"/>
                <w:lang w:val="en-US" w:eastAsia="zh-CN"/>
              </w:rPr>
            </w:pPr>
            <w:r>
              <w:rPr>
                <w:rFonts w:hint="eastAsia" w:cs="Times New Roman"/>
                <w:b/>
                <w:bCs/>
                <w:color w:val="auto"/>
                <w:sz w:val="24"/>
                <w:highlight w:val="none"/>
                <w:u w:val="none" w:color="auto"/>
                <w:lang w:val="en-US" w:eastAsia="zh-CN"/>
              </w:rPr>
              <w:t>八</w:t>
            </w:r>
            <w:r>
              <w:rPr>
                <w:rFonts w:hint="default" w:ascii="Times New Roman" w:hAnsi="Times New Roman" w:eastAsia="宋体" w:cs="Times New Roman"/>
                <w:b/>
                <w:bCs/>
                <w:color w:val="auto"/>
                <w:sz w:val="24"/>
                <w:highlight w:val="none"/>
                <w:u w:val="none" w:color="auto"/>
              </w:rPr>
              <w:t>、</w:t>
            </w:r>
            <w:r>
              <w:rPr>
                <w:rFonts w:hint="default" w:ascii="Times New Roman" w:hAnsi="Times New Roman" w:eastAsia="宋体" w:cs="Times New Roman"/>
                <w:b/>
                <w:bCs/>
                <w:color w:val="auto"/>
                <w:sz w:val="24"/>
                <w:highlight w:val="none"/>
                <w:u w:val="none" w:color="auto"/>
                <w:lang w:val="en-US" w:eastAsia="zh-CN"/>
              </w:rPr>
              <w:t>环境风险影响分析</w:t>
            </w:r>
          </w:p>
          <w:p w14:paraId="4130720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环境风险评价的目的是分析和预测建设项目存在的潜在危险、有害因素，建设项目建设和</w:t>
            </w:r>
            <w:r>
              <w:rPr>
                <w:rFonts w:hint="eastAsia" w:cs="Times New Roman"/>
                <w:color w:val="auto"/>
                <w:sz w:val="24"/>
                <w:highlight w:val="none"/>
                <w:u w:val="none" w:color="auto"/>
                <w:lang w:eastAsia="zh-CN"/>
              </w:rPr>
              <w:t>运营期</w:t>
            </w:r>
            <w:r>
              <w:rPr>
                <w:rFonts w:hint="default" w:ascii="Times New Roman" w:hAnsi="Times New Roman" w:eastAsia="宋体" w:cs="Times New Roman"/>
                <w:color w:val="auto"/>
                <w:sz w:val="24"/>
                <w:highlight w:val="none"/>
                <w:u w:val="none" w:color="auto"/>
              </w:rPr>
              <w:t>间可能发生的突发性事件或事故（一般不包括人为破坏及自然灾害），引起有毒有害和易燃易爆等物质泄漏，所造成的人身安全与环境影响</w:t>
            </w:r>
            <w:r>
              <w:rPr>
                <w:rFonts w:hint="default" w:ascii="Times New Roman" w:hAnsi="Times New Roman" w:eastAsia="宋体" w:cs="Times New Roman"/>
                <w:color w:val="auto"/>
                <w:sz w:val="24"/>
                <w:highlight w:val="none"/>
                <w:u w:val="none" w:color="auto"/>
                <w:lang w:eastAsia="zh-CN"/>
              </w:rPr>
              <w:t>及其</w:t>
            </w:r>
            <w:r>
              <w:rPr>
                <w:rFonts w:hint="default" w:ascii="Times New Roman" w:hAnsi="Times New Roman" w:eastAsia="宋体" w:cs="Times New Roman"/>
                <w:color w:val="auto"/>
                <w:sz w:val="24"/>
                <w:highlight w:val="none"/>
                <w:u w:val="none" w:color="auto"/>
              </w:rPr>
              <w:t>损害程度，并提出合理可行的防范、应急与减缓措施，使建设项目事故率、损失和环境影响达到可接受水平。环境风险评价应把事故引起厂（场）界外人群的伤害、环境质量的恶化及对环境系统影响的预测和防护作为评价工作重点。</w:t>
            </w:r>
          </w:p>
          <w:p w14:paraId="1F564DF9">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eastAsia="宋体" w:cs="Times New Roman"/>
                <w:b/>
                <w:bCs/>
                <w:color w:val="auto"/>
                <w:sz w:val="24"/>
                <w:highlight w:val="none"/>
                <w:u w:val="none" w:color="auto"/>
              </w:rPr>
            </w:pPr>
            <w:r>
              <w:rPr>
                <w:rFonts w:hint="default" w:ascii="Times New Roman" w:hAnsi="Times New Roman" w:eastAsia="宋体" w:cs="Times New Roman"/>
                <w:b/>
                <w:bCs/>
                <w:color w:val="auto"/>
                <w:sz w:val="24"/>
                <w:highlight w:val="none"/>
                <w:u w:val="none" w:color="auto"/>
                <w:lang w:val="en-US" w:eastAsia="zh-CN"/>
              </w:rPr>
              <w:t>1</w:t>
            </w:r>
            <w:r>
              <w:rPr>
                <w:rFonts w:hint="eastAsia" w:ascii="Times New Roman" w:hAnsi="Times New Roman" w:eastAsia="宋体" w:cs="Times New Roman"/>
                <w:b/>
                <w:bCs/>
                <w:color w:val="auto"/>
                <w:sz w:val="24"/>
                <w:highlight w:val="none"/>
                <w:u w:val="none" w:color="auto"/>
                <w:lang w:val="en-US" w:eastAsia="zh-CN"/>
              </w:rPr>
              <w:t>、</w:t>
            </w:r>
            <w:r>
              <w:rPr>
                <w:rFonts w:hint="default" w:ascii="Times New Roman" w:hAnsi="Times New Roman" w:eastAsia="宋体" w:cs="Times New Roman"/>
                <w:b/>
                <w:bCs/>
                <w:color w:val="auto"/>
                <w:sz w:val="24"/>
                <w:highlight w:val="none"/>
                <w:u w:val="none" w:color="auto"/>
              </w:rPr>
              <w:t>评价依据</w:t>
            </w:r>
          </w:p>
          <w:p w14:paraId="4C2D96D4">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b/>
                <w:bCs/>
                <w:color w:val="auto"/>
                <w:kern w:val="2"/>
                <w:sz w:val="24"/>
                <w:szCs w:val="24"/>
                <w:highlight w:val="none"/>
                <w:u w:val="none" w:color="auto"/>
                <w:lang w:val="en-US" w:eastAsia="zh-CN" w:bidi="ar-SA"/>
              </w:rPr>
            </w:pPr>
            <w:r>
              <w:rPr>
                <w:rFonts w:hint="default" w:ascii="Times New Roman" w:hAnsi="Times New Roman" w:eastAsia="宋体" w:cs="Times New Roman"/>
                <w:color w:val="auto"/>
                <w:kern w:val="0"/>
                <w:sz w:val="24"/>
                <w:highlight w:val="none"/>
                <w:u w:val="none" w:color="auto"/>
                <w:lang w:bidi="ar"/>
              </w:rPr>
              <w:t>根据《建设项目环境风险评价技术导则》（HJ169-2018），建设项目环境风险潜势划分为I、II、III、IV、IV</w:t>
            </w:r>
            <w:r>
              <w:rPr>
                <w:rFonts w:hint="default" w:ascii="Times New Roman" w:hAnsi="Times New Roman" w:eastAsia="宋体" w:cs="Times New Roman"/>
                <w:color w:val="auto"/>
                <w:kern w:val="0"/>
                <w:sz w:val="24"/>
                <w:highlight w:val="none"/>
                <w:u w:val="none" w:color="auto"/>
                <w:vertAlign w:val="superscript"/>
                <w:lang w:bidi="ar"/>
              </w:rPr>
              <w:t>+</w:t>
            </w:r>
            <w:r>
              <w:rPr>
                <w:rFonts w:hint="default" w:ascii="Times New Roman" w:hAnsi="Times New Roman" w:eastAsia="宋体" w:cs="Times New Roman"/>
                <w:color w:val="auto"/>
                <w:kern w:val="0"/>
                <w:sz w:val="24"/>
                <w:highlight w:val="none"/>
                <w:u w:val="none" w:color="auto"/>
                <w:lang w:bidi="ar"/>
              </w:rPr>
              <w:t>级，根据建设项目涉及的物质和工艺系统的危险性以及所在地的环境敏感程度，结合事故下的环境影响途径，按照下表确定环境风险潜势。</w:t>
            </w:r>
          </w:p>
          <w:p w14:paraId="32997059">
            <w:pPr>
              <w:keepNext w:val="0"/>
              <w:keepLines w:val="0"/>
              <w:widowControl w:val="0"/>
              <w:suppressLineNumbers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表4-</w:t>
            </w:r>
            <w:r>
              <w:rPr>
                <w:rFonts w:hint="eastAsia" w:cs="Times New Roman"/>
                <w:b/>
                <w:bCs/>
                <w:color w:val="auto"/>
                <w:kern w:val="2"/>
                <w:sz w:val="21"/>
                <w:szCs w:val="21"/>
                <w:highlight w:val="none"/>
                <w:u w:val="none" w:color="auto"/>
                <w:lang w:val="en-US" w:eastAsia="zh-CN" w:bidi="ar-SA"/>
              </w:rPr>
              <w:t>9</w:t>
            </w:r>
            <w:r>
              <w:rPr>
                <w:rFonts w:hint="default" w:ascii="Times New Roman" w:hAnsi="Times New Roman" w:eastAsia="宋体" w:cs="Times New Roman"/>
                <w:b/>
                <w:bCs/>
                <w:color w:val="auto"/>
                <w:kern w:val="2"/>
                <w:sz w:val="21"/>
                <w:szCs w:val="21"/>
                <w:highlight w:val="none"/>
                <w:u w:val="none" w:color="auto"/>
                <w:lang w:val="en-US" w:eastAsia="zh-CN" w:bidi="ar-SA"/>
              </w:rPr>
              <w:t>建设项目环境风险潜势划分</w:t>
            </w:r>
          </w:p>
          <w:tbl>
            <w:tblPr>
              <w:tblStyle w:val="46"/>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1395"/>
              <w:gridCol w:w="1553"/>
              <w:gridCol w:w="1519"/>
              <w:gridCol w:w="1544"/>
            </w:tblGrid>
            <w:tr w14:paraId="6E35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vMerge w:val="restart"/>
                  <w:tcBorders>
                    <w:bottom w:val="single" w:color="000000" w:sz="8" w:space="0"/>
                    <w:right w:val="single" w:color="000000" w:sz="8" w:space="0"/>
                  </w:tcBorders>
                  <w:noWrap w:val="0"/>
                  <w:vAlign w:val="center"/>
                </w:tcPr>
                <w:p w14:paraId="5BB57318">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环境敏感程度（E）</w:t>
                  </w:r>
                </w:p>
              </w:tc>
              <w:tc>
                <w:tcPr>
                  <w:tcW w:w="6011" w:type="dxa"/>
                  <w:gridSpan w:val="4"/>
                  <w:tcBorders>
                    <w:left w:val="single" w:color="000000" w:sz="8" w:space="0"/>
                    <w:bottom w:val="single" w:color="000000" w:sz="8" w:space="0"/>
                  </w:tcBorders>
                  <w:noWrap w:val="0"/>
                  <w:vAlign w:val="center"/>
                </w:tcPr>
                <w:p w14:paraId="62F597B1">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危险物质及工艺系统危险性（P）</w:t>
                  </w:r>
                </w:p>
              </w:tc>
            </w:tr>
            <w:tr w14:paraId="2F5C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vMerge w:val="continue"/>
                  <w:tcBorders>
                    <w:top w:val="single" w:color="000000" w:sz="8" w:space="0"/>
                    <w:bottom w:val="single" w:color="000000" w:sz="8" w:space="0"/>
                    <w:right w:val="single" w:color="000000" w:sz="8" w:space="0"/>
                  </w:tcBorders>
                  <w:noWrap w:val="0"/>
                  <w:vAlign w:val="center"/>
                </w:tcPr>
                <w:p w14:paraId="5FA8D39F">
                  <w:pPr>
                    <w:keepNext w:val="0"/>
                    <w:keepLines w:val="0"/>
                    <w:widowControl w:val="0"/>
                    <w:suppressLineNumbers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2FEB64B5">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极高危害</w:t>
                  </w:r>
                </w:p>
                <w:p w14:paraId="7C27306D">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（P1）</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4288EA40">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高度危害</w:t>
                  </w:r>
                </w:p>
                <w:p w14:paraId="5F94078D">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（P2）</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2752CB31">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中度危害</w:t>
                  </w:r>
                </w:p>
                <w:p w14:paraId="4D8D2FB7">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（P3）</w:t>
                  </w:r>
                </w:p>
              </w:tc>
              <w:tc>
                <w:tcPr>
                  <w:tcW w:w="1544" w:type="dxa"/>
                  <w:tcBorders>
                    <w:top w:val="single" w:color="000000" w:sz="8" w:space="0"/>
                    <w:left w:val="single" w:color="000000" w:sz="8" w:space="0"/>
                    <w:bottom w:val="single" w:color="000000" w:sz="8" w:space="0"/>
                  </w:tcBorders>
                  <w:noWrap w:val="0"/>
                  <w:vAlign w:val="center"/>
                </w:tcPr>
                <w:p w14:paraId="750E3F22">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轻度危害</w:t>
                  </w:r>
                </w:p>
                <w:p w14:paraId="37ACE0A6">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（P4）</w:t>
                  </w:r>
                </w:p>
              </w:tc>
            </w:tr>
            <w:tr w14:paraId="1CE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5168D95E">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环境高度敏感区（E1）</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12E5D10C">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IV</w:t>
                  </w:r>
                  <w:r>
                    <w:rPr>
                      <w:rFonts w:hint="default" w:ascii="Times New Roman" w:hAnsi="Times New Roman" w:eastAsia="宋体" w:cs="Times New Roman"/>
                      <w:color w:val="auto"/>
                      <w:kern w:val="0"/>
                      <w:sz w:val="21"/>
                      <w:szCs w:val="21"/>
                      <w:highlight w:val="none"/>
                      <w:u w:val="none" w:color="auto"/>
                      <w:vertAlign w:val="superscript"/>
                      <w:lang w:bidi="ar"/>
                    </w:rPr>
                    <w:t>+</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0995010A">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IV</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4B0F1AB8">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III</w:t>
                  </w:r>
                </w:p>
              </w:tc>
              <w:tc>
                <w:tcPr>
                  <w:tcW w:w="1544" w:type="dxa"/>
                  <w:tcBorders>
                    <w:top w:val="single" w:color="000000" w:sz="8" w:space="0"/>
                    <w:left w:val="single" w:color="000000" w:sz="8" w:space="0"/>
                    <w:bottom w:val="single" w:color="000000" w:sz="8" w:space="0"/>
                  </w:tcBorders>
                  <w:noWrap w:val="0"/>
                  <w:vAlign w:val="center"/>
                </w:tcPr>
                <w:p w14:paraId="1156673B">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III</w:t>
                  </w:r>
                </w:p>
              </w:tc>
            </w:tr>
            <w:tr w14:paraId="6923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4AAF6763">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环境中度敏感区（E2）</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63333348">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IV</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2968A657">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III</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21AADC8F">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III</w:t>
                  </w:r>
                </w:p>
              </w:tc>
              <w:tc>
                <w:tcPr>
                  <w:tcW w:w="1544" w:type="dxa"/>
                  <w:tcBorders>
                    <w:top w:val="single" w:color="000000" w:sz="8" w:space="0"/>
                    <w:left w:val="single" w:color="000000" w:sz="8" w:space="0"/>
                    <w:bottom w:val="single" w:color="000000" w:sz="8" w:space="0"/>
                  </w:tcBorders>
                  <w:noWrap w:val="0"/>
                  <w:vAlign w:val="center"/>
                </w:tcPr>
                <w:p w14:paraId="44AFDF7C">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w:t>
                  </w:r>
                </w:p>
              </w:tc>
            </w:tr>
            <w:tr w14:paraId="1F28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3" w:type="dxa"/>
                  <w:tcBorders>
                    <w:top w:val="single" w:color="000000" w:sz="8" w:space="0"/>
                    <w:bottom w:val="single" w:color="000000" w:sz="8" w:space="0"/>
                    <w:right w:val="single" w:color="000000" w:sz="8" w:space="0"/>
                  </w:tcBorders>
                  <w:noWrap w:val="0"/>
                  <w:vAlign w:val="center"/>
                </w:tcPr>
                <w:p w14:paraId="7A7C26EB">
                  <w:pPr>
                    <w:keepNext w:val="0"/>
                    <w:keepLines w:val="0"/>
                    <w:widowControl w:val="0"/>
                    <w:suppressLineNumbers w:val="0"/>
                    <w:wordWrap w:val="0"/>
                    <w:topLinePunct/>
                    <w:spacing w:before="0" w:beforeAutospacing="0" w:after="0" w:afterAutospacing="0"/>
                    <w:ind w:left="0" w:right="0" w:firstLine="0" w:firstLineChars="0"/>
                    <w:contextualSpacing/>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环境低度敏感区（E3）</w:t>
                  </w:r>
                </w:p>
              </w:tc>
              <w:tc>
                <w:tcPr>
                  <w:tcW w:w="1395" w:type="dxa"/>
                  <w:tcBorders>
                    <w:top w:val="single" w:color="000000" w:sz="8" w:space="0"/>
                    <w:left w:val="single" w:color="000000" w:sz="8" w:space="0"/>
                    <w:bottom w:val="single" w:color="000000" w:sz="8" w:space="0"/>
                    <w:right w:val="single" w:color="000000" w:sz="8" w:space="0"/>
                  </w:tcBorders>
                  <w:noWrap w:val="0"/>
                  <w:vAlign w:val="center"/>
                </w:tcPr>
                <w:p w14:paraId="6735F221">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III</w:t>
                  </w:r>
                </w:p>
              </w:tc>
              <w:tc>
                <w:tcPr>
                  <w:tcW w:w="1553" w:type="dxa"/>
                  <w:tcBorders>
                    <w:top w:val="single" w:color="000000" w:sz="8" w:space="0"/>
                    <w:left w:val="single" w:color="000000" w:sz="8" w:space="0"/>
                    <w:bottom w:val="single" w:color="000000" w:sz="8" w:space="0"/>
                    <w:right w:val="single" w:color="000000" w:sz="8" w:space="0"/>
                  </w:tcBorders>
                  <w:noWrap w:val="0"/>
                  <w:vAlign w:val="center"/>
                </w:tcPr>
                <w:p w14:paraId="363A52DD">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III</w:t>
                  </w:r>
                </w:p>
              </w:tc>
              <w:tc>
                <w:tcPr>
                  <w:tcW w:w="1519" w:type="dxa"/>
                  <w:tcBorders>
                    <w:top w:val="single" w:color="000000" w:sz="8" w:space="0"/>
                    <w:left w:val="single" w:color="000000" w:sz="8" w:space="0"/>
                    <w:bottom w:val="single" w:color="000000" w:sz="8" w:space="0"/>
                    <w:right w:val="single" w:color="000000" w:sz="8" w:space="0"/>
                  </w:tcBorders>
                  <w:noWrap w:val="0"/>
                  <w:vAlign w:val="center"/>
                </w:tcPr>
                <w:p w14:paraId="54769A8B">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II</w:t>
                  </w:r>
                </w:p>
              </w:tc>
              <w:tc>
                <w:tcPr>
                  <w:tcW w:w="1544" w:type="dxa"/>
                  <w:tcBorders>
                    <w:top w:val="single" w:color="000000" w:sz="8" w:space="0"/>
                    <w:left w:val="single" w:color="000000" w:sz="8" w:space="0"/>
                    <w:bottom w:val="single" w:color="000000" w:sz="8" w:space="0"/>
                  </w:tcBorders>
                  <w:noWrap w:val="0"/>
                  <w:vAlign w:val="center"/>
                </w:tcPr>
                <w:p w14:paraId="7DAD1F3E">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I</w:t>
                  </w:r>
                </w:p>
              </w:tc>
            </w:tr>
            <w:tr w14:paraId="7717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84" w:type="dxa"/>
                  <w:gridSpan w:val="5"/>
                  <w:tcBorders>
                    <w:top w:val="single" w:color="000000" w:sz="8" w:space="0"/>
                  </w:tcBorders>
                  <w:noWrap w:val="0"/>
                  <w:vAlign w:val="center"/>
                </w:tcPr>
                <w:p w14:paraId="38E8F2BF">
                  <w:pPr>
                    <w:keepNext w:val="0"/>
                    <w:keepLines w:val="0"/>
                    <w:widowControl/>
                    <w:suppressLineNumbers w:val="0"/>
                    <w:wordWrap w:val="0"/>
                    <w:topLinePunct/>
                    <w:spacing w:before="0" w:beforeAutospacing="0" w:after="0" w:afterAutospacing="0"/>
                    <w:ind w:left="0" w:right="0"/>
                    <w:contextualSpacing/>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lang w:bidi="ar"/>
                    </w:rPr>
                    <w:t>注：IV</w:t>
                  </w:r>
                  <w:r>
                    <w:rPr>
                      <w:rFonts w:hint="default" w:ascii="Times New Roman" w:hAnsi="Times New Roman" w:eastAsia="宋体" w:cs="Times New Roman"/>
                      <w:color w:val="auto"/>
                      <w:kern w:val="0"/>
                      <w:sz w:val="21"/>
                      <w:szCs w:val="21"/>
                      <w:highlight w:val="none"/>
                      <w:u w:val="none" w:color="auto"/>
                      <w:vertAlign w:val="superscript"/>
                      <w:lang w:bidi="ar"/>
                    </w:rPr>
                    <w:t>+</w:t>
                  </w:r>
                  <w:r>
                    <w:rPr>
                      <w:rFonts w:hint="default" w:ascii="Times New Roman" w:hAnsi="Times New Roman" w:eastAsia="宋体" w:cs="Times New Roman"/>
                      <w:color w:val="auto"/>
                      <w:kern w:val="0"/>
                      <w:sz w:val="21"/>
                      <w:szCs w:val="21"/>
                      <w:highlight w:val="none"/>
                      <w:u w:val="none" w:color="auto"/>
                      <w:lang w:bidi="ar"/>
                    </w:rPr>
                    <w:t>为极高环境风险</w:t>
                  </w:r>
                </w:p>
              </w:tc>
            </w:tr>
          </w:tbl>
          <w:p w14:paraId="0B3E43AB">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i/>
                <w:iCs/>
                <w:color w:val="auto"/>
                <w:kern w:val="0"/>
                <w:sz w:val="24"/>
                <w:highlight w:val="none"/>
                <w:u w:val="none" w:color="auto"/>
                <w:lang w:bidi="ar"/>
              </w:rPr>
              <w:t>Q</w:t>
            </w:r>
            <w:r>
              <w:rPr>
                <w:rFonts w:hint="default" w:ascii="Times New Roman" w:hAnsi="Times New Roman" w:eastAsia="宋体" w:cs="Times New Roman"/>
                <w:bCs/>
                <w:color w:val="auto"/>
                <w:kern w:val="0"/>
                <w:sz w:val="24"/>
                <w:highlight w:val="none"/>
                <w:u w:val="none" w:color="auto"/>
                <w:lang w:bidi="ar"/>
              </w:rPr>
              <w:t>值的确定如下：</w:t>
            </w:r>
          </w:p>
          <w:p w14:paraId="671E6B5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kern w:val="0"/>
                <w:sz w:val="24"/>
                <w:highlight w:val="none"/>
                <w:u w:val="none" w:color="auto"/>
                <w:lang w:bidi="ar"/>
              </w:rPr>
              <w:t>根据《建设项目环境风险评价技术导则》（HJ/T169-2018）附录C，</w:t>
            </w:r>
            <w:r>
              <w:rPr>
                <w:rFonts w:hint="default" w:ascii="Times New Roman" w:hAnsi="Times New Roman" w:eastAsia="宋体" w:cs="Times New Roman"/>
                <w:i/>
                <w:color w:val="auto"/>
                <w:kern w:val="0"/>
                <w:sz w:val="24"/>
                <w:highlight w:val="none"/>
                <w:u w:val="none" w:color="auto"/>
                <w:lang w:bidi="ar"/>
              </w:rPr>
              <w:t>Q</w:t>
            </w:r>
            <w:r>
              <w:rPr>
                <w:rFonts w:hint="default" w:ascii="Times New Roman" w:hAnsi="Times New Roman" w:eastAsia="宋体" w:cs="Times New Roman"/>
                <w:color w:val="auto"/>
                <w:kern w:val="0"/>
                <w:sz w:val="24"/>
                <w:highlight w:val="none"/>
                <w:u w:val="none" w:color="auto"/>
                <w:lang w:bidi="ar"/>
              </w:rPr>
              <w:t>按下式进行计算：</w:t>
            </w:r>
          </w:p>
          <w:p w14:paraId="739878E0">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0" w:firstLineChars="0"/>
              <w:contextualSpacing/>
              <w:jc w:val="center"/>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lang w:val="en-US" w:eastAsia="zh-CN" w:bidi="ar-SA"/>
              </w:rPr>
              <w:drawing>
                <wp:inline distT="0" distB="0" distL="114300" distR="114300">
                  <wp:extent cx="1647825" cy="476250"/>
                  <wp:effectExtent l="0" t="0" r="9525" b="0"/>
                  <wp:docPr id="5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4"/>
                          <pic:cNvPicPr>
                            <a:picLocks noChangeAspect="1"/>
                          </pic:cNvPicPr>
                        </pic:nvPicPr>
                        <pic:blipFill>
                          <a:blip r:embed="rId24"/>
                          <a:stretch>
                            <a:fillRect/>
                          </a:stretch>
                        </pic:blipFill>
                        <pic:spPr>
                          <a:xfrm>
                            <a:off x="0" y="0"/>
                            <a:ext cx="1647825" cy="476250"/>
                          </a:xfrm>
                          <a:prstGeom prst="rect">
                            <a:avLst/>
                          </a:prstGeom>
                          <a:noFill/>
                          <a:ln>
                            <a:noFill/>
                          </a:ln>
                        </pic:spPr>
                      </pic:pic>
                    </a:graphicData>
                  </a:graphic>
                </wp:inline>
              </w:drawing>
            </w:r>
          </w:p>
          <w:p w14:paraId="50E2E9B8">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kern w:val="0"/>
                <w:sz w:val="24"/>
                <w:highlight w:val="none"/>
                <w:u w:val="none" w:color="auto"/>
                <w:lang w:bidi="ar"/>
              </w:rPr>
              <w:t>式中：</w:t>
            </w:r>
            <w:r>
              <w:rPr>
                <w:rFonts w:hint="default" w:ascii="Times New Roman" w:hAnsi="Times New Roman" w:eastAsia="宋体" w:cs="Times New Roman"/>
                <w:i/>
                <w:iCs w:val="0"/>
                <w:color w:val="auto"/>
                <w:kern w:val="0"/>
                <w:sz w:val="24"/>
                <w:highlight w:val="none"/>
                <w:u w:val="none" w:color="auto"/>
                <w:lang w:bidi="ar"/>
              </w:rPr>
              <w:t>q</w:t>
            </w:r>
            <w:r>
              <w:rPr>
                <w:rFonts w:hint="default" w:ascii="Times New Roman" w:hAnsi="Times New Roman" w:eastAsia="宋体" w:cs="Times New Roman"/>
                <w:i/>
                <w:iCs w:val="0"/>
                <w:color w:val="auto"/>
                <w:kern w:val="0"/>
                <w:sz w:val="24"/>
                <w:highlight w:val="none"/>
                <w:u w:val="none" w:color="auto"/>
                <w:vertAlign w:val="subscript"/>
                <w:lang w:bidi="ar"/>
              </w:rPr>
              <w:t>1</w:t>
            </w:r>
            <w:r>
              <w:rPr>
                <w:rFonts w:hint="default" w:ascii="Times New Roman" w:hAnsi="Times New Roman" w:eastAsia="宋体" w:cs="Times New Roman"/>
                <w:i/>
                <w:iCs w:val="0"/>
                <w:color w:val="auto"/>
                <w:kern w:val="0"/>
                <w:sz w:val="24"/>
                <w:highlight w:val="none"/>
                <w:u w:val="none" w:color="auto"/>
                <w:lang w:bidi="ar"/>
              </w:rPr>
              <w:t>，q</w:t>
            </w:r>
            <w:r>
              <w:rPr>
                <w:rFonts w:hint="default" w:ascii="Times New Roman" w:hAnsi="Times New Roman" w:eastAsia="宋体" w:cs="Times New Roman"/>
                <w:i/>
                <w:iCs w:val="0"/>
                <w:color w:val="auto"/>
                <w:kern w:val="0"/>
                <w:sz w:val="24"/>
                <w:highlight w:val="none"/>
                <w:u w:val="none" w:color="auto"/>
                <w:vertAlign w:val="subscript"/>
                <w:lang w:bidi="ar"/>
              </w:rPr>
              <w:t>2</w:t>
            </w:r>
            <w:r>
              <w:rPr>
                <w:rFonts w:hint="default" w:ascii="Times New Roman" w:hAnsi="Times New Roman" w:eastAsia="宋体" w:cs="Times New Roman"/>
                <w:i/>
                <w:iCs w:val="0"/>
                <w:color w:val="auto"/>
                <w:kern w:val="0"/>
                <w:sz w:val="24"/>
                <w:highlight w:val="none"/>
                <w:u w:val="none" w:color="auto"/>
                <w:lang w:bidi="ar"/>
              </w:rPr>
              <w:t>……q</w:t>
            </w:r>
            <w:r>
              <w:rPr>
                <w:rFonts w:hint="default" w:ascii="Times New Roman" w:hAnsi="Times New Roman" w:eastAsia="宋体" w:cs="Times New Roman"/>
                <w:i/>
                <w:iCs w:val="0"/>
                <w:color w:val="auto"/>
                <w:kern w:val="0"/>
                <w:sz w:val="24"/>
                <w:highlight w:val="none"/>
                <w:u w:val="none" w:color="auto"/>
                <w:vertAlign w:val="subscript"/>
                <w:lang w:bidi="ar"/>
              </w:rPr>
              <w:t>n</w:t>
            </w:r>
            <w:r>
              <w:rPr>
                <w:rFonts w:hint="default" w:ascii="Times New Roman" w:hAnsi="Times New Roman" w:eastAsia="宋体" w:cs="Times New Roman"/>
                <w:color w:val="auto"/>
                <w:kern w:val="0"/>
                <w:sz w:val="24"/>
                <w:highlight w:val="none"/>
                <w:u w:val="none" w:color="auto"/>
                <w:lang w:bidi="ar"/>
              </w:rPr>
              <w:t>—每种危险物质的最大存在量，t；</w:t>
            </w:r>
          </w:p>
          <w:p w14:paraId="00BD1B0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1200" w:firstLineChars="500"/>
              <w:contextualSpacing/>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i/>
                <w:color w:val="auto"/>
                <w:kern w:val="0"/>
                <w:sz w:val="24"/>
                <w:highlight w:val="none"/>
                <w:u w:val="none" w:color="auto"/>
                <w:lang w:bidi="ar"/>
              </w:rPr>
              <w:t>Q</w:t>
            </w:r>
            <w:r>
              <w:rPr>
                <w:rFonts w:hint="default" w:ascii="Times New Roman" w:hAnsi="Times New Roman" w:eastAsia="宋体" w:cs="Times New Roman"/>
                <w:i/>
                <w:color w:val="auto"/>
                <w:kern w:val="0"/>
                <w:sz w:val="24"/>
                <w:highlight w:val="none"/>
                <w:u w:val="none" w:color="auto"/>
                <w:vertAlign w:val="subscript"/>
                <w:lang w:bidi="ar"/>
              </w:rPr>
              <w:t>1</w:t>
            </w:r>
            <w:r>
              <w:rPr>
                <w:rFonts w:hint="default" w:ascii="Times New Roman" w:hAnsi="Times New Roman" w:eastAsia="宋体" w:cs="Times New Roman"/>
                <w:color w:val="auto"/>
                <w:kern w:val="0"/>
                <w:sz w:val="24"/>
                <w:highlight w:val="none"/>
                <w:u w:val="none" w:color="auto"/>
                <w:lang w:bidi="ar"/>
              </w:rPr>
              <w:t>，</w:t>
            </w:r>
            <w:r>
              <w:rPr>
                <w:rFonts w:hint="default" w:ascii="Times New Roman" w:hAnsi="Times New Roman" w:eastAsia="宋体" w:cs="Times New Roman"/>
                <w:i/>
                <w:color w:val="auto"/>
                <w:kern w:val="0"/>
                <w:sz w:val="24"/>
                <w:highlight w:val="none"/>
                <w:u w:val="none" w:color="auto"/>
                <w:lang w:bidi="ar"/>
              </w:rPr>
              <w:t>Q</w:t>
            </w:r>
            <w:r>
              <w:rPr>
                <w:rFonts w:hint="default" w:ascii="Times New Roman" w:hAnsi="Times New Roman" w:eastAsia="宋体" w:cs="Times New Roman"/>
                <w:i/>
                <w:color w:val="auto"/>
                <w:kern w:val="0"/>
                <w:sz w:val="24"/>
                <w:highlight w:val="none"/>
                <w:u w:val="none" w:color="auto"/>
                <w:vertAlign w:val="subscript"/>
                <w:lang w:bidi="ar"/>
              </w:rPr>
              <w:t>2</w:t>
            </w:r>
            <w:r>
              <w:rPr>
                <w:rFonts w:hint="default" w:ascii="Times New Roman" w:hAnsi="Times New Roman" w:eastAsia="宋体" w:cs="Times New Roman"/>
                <w:color w:val="auto"/>
                <w:kern w:val="0"/>
                <w:sz w:val="24"/>
                <w:highlight w:val="none"/>
                <w:u w:val="none" w:color="auto"/>
                <w:lang w:bidi="ar"/>
              </w:rPr>
              <w:t>…</w:t>
            </w:r>
            <w:r>
              <w:rPr>
                <w:rFonts w:hint="default" w:ascii="Times New Roman" w:hAnsi="Times New Roman" w:eastAsia="宋体" w:cs="Times New Roman"/>
                <w:i/>
                <w:color w:val="auto"/>
                <w:kern w:val="0"/>
                <w:sz w:val="24"/>
                <w:highlight w:val="none"/>
                <w:u w:val="none" w:color="auto"/>
                <w:lang w:bidi="ar"/>
              </w:rPr>
              <w:t>Q</w:t>
            </w:r>
            <w:r>
              <w:rPr>
                <w:rFonts w:hint="default" w:ascii="Times New Roman" w:hAnsi="Times New Roman" w:eastAsia="宋体" w:cs="Times New Roman"/>
                <w:i/>
                <w:color w:val="auto"/>
                <w:kern w:val="0"/>
                <w:sz w:val="24"/>
                <w:highlight w:val="none"/>
                <w:u w:val="none" w:color="auto"/>
                <w:vertAlign w:val="subscript"/>
                <w:lang w:bidi="ar"/>
              </w:rPr>
              <w:t>n</w:t>
            </w:r>
            <w:r>
              <w:rPr>
                <w:rFonts w:hint="default" w:ascii="Times New Roman" w:hAnsi="Times New Roman" w:eastAsia="宋体" w:cs="Times New Roman"/>
                <w:color w:val="auto"/>
                <w:kern w:val="0"/>
                <w:sz w:val="24"/>
                <w:highlight w:val="none"/>
                <w:u w:val="none" w:color="auto"/>
                <w:lang w:bidi="ar"/>
              </w:rPr>
              <w:t>—每种危险物质的临界量，t。</w:t>
            </w:r>
          </w:p>
          <w:p w14:paraId="4CA2DB8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kern w:val="0"/>
                <w:sz w:val="24"/>
                <w:highlight w:val="none"/>
                <w:u w:val="none" w:color="auto"/>
                <w:lang w:bidi="ar"/>
              </w:rPr>
              <w:t>当</w:t>
            </w:r>
            <w:r>
              <w:rPr>
                <w:rFonts w:hint="default" w:ascii="Times New Roman" w:hAnsi="Times New Roman" w:eastAsia="宋体" w:cs="Times New Roman"/>
                <w:i/>
                <w:color w:val="auto"/>
                <w:kern w:val="0"/>
                <w:sz w:val="24"/>
                <w:highlight w:val="none"/>
                <w:u w:val="none" w:color="auto"/>
                <w:lang w:bidi="ar"/>
              </w:rPr>
              <w:t>Q</w:t>
            </w:r>
            <w:r>
              <w:rPr>
                <w:rFonts w:hint="default" w:ascii="Times New Roman" w:hAnsi="Times New Roman" w:eastAsia="宋体" w:cs="Times New Roman"/>
                <w:color w:val="auto"/>
                <w:kern w:val="0"/>
                <w:sz w:val="24"/>
                <w:highlight w:val="none"/>
                <w:u w:val="none" w:color="auto"/>
                <w:lang w:bidi="ar"/>
              </w:rPr>
              <w:t>＜1时，该项目环境风险潜势为I。</w:t>
            </w:r>
          </w:p>
          <w:p w14:paraId="09BF67AC">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0"/>
                <w:sz w:val="24"/>
                <w:szCs w:val="21"/>
                <w:highlight w:val="none"/>
                <w:u w:val="none" w:color="auto"/>
                <w:lang w:val="en-US" w:eastAsia="zh-CN" w:bidi="ar"/>
              </w:rPr>
              <w:t>当</w:t>
            </w:r>
            <w:r>
              <w:rPr>
                <w:rFonts w:hint="default" w:ascii="Times New Roman" w:hAnsi="Times New Roman" w:eastAsia="宋体" w:cs="Times New Roman"/>
                <w:i/>
                <w:color w:val="auto"/>
                <w:kern w:val="0"/>
                <w:sz w:val="24"/>
                <w:szCs w:val="21"/>
                <w:highlight w:val="none"/>
                <w:u w:val="none" w:color="auto"/>
                <w:lang w:val="en-US" w:eastAsia="zh-CN" w:bidi="ar"/>
              </w:rPr>
              <w:t>Q</w:t>
            </w:r>
            <w:r>
              <w:rPr>
                <w:rFonts w:hint="default" w:ascii="Times New Roman" w:hAnsi="Times New Roman" w:eastAsia="宋体" w:cs="Times New Roman"/>
                <w:color w:val="auto"/>
                <w:kern w:val="0"/>
                <w:sz w:val="24"/>
                <w:szCs w:val="21"/>
                <w:highlight w:val="none"/>
                <w:u w:val="none" w:color="auto"/>
                <w:lang w:val="en-US" w:eastAsia="zh-CN" w:bidi="ar"/>
              </w:rPr>
              <w:t>≥1时，将</w:t>
            </w:r>
            <w:r>
              <w:rPr>
                <w:rFonts w:hint="default" w:ascii="Times New Roman" w:hAnsi="Times New Roman" w:eastAsia="宋体" w:cs="Times New Roman"/>
                <w:i/>
                <w:color w:val="auto"/>
                <w:kern w:val="0"/>
                <w:sz w:val="24"/>
                <w:szCs w:val="21"/>
                <w:highlight w:val="none"/>
                <w:u w:val="none" w:color="auto"/>
                <w:lang w:val="en-US" w:eastAsia="zh-CN" w:bidi="ar"/>
              </w:rPr>
              <w:t>Q</w:t>
            </w:r>
            <w:r>
              <w:rPr>
                <w:rFonts w:hint="default" w:ascii="Times New Roman" w:hAnsi="Times New Roman" w:eastAsia="宋体" w:cs="Times New Roman"/>
                <w:color w:val="auto"/>
                <w:kern w:val="0"/>
                <w:sz w:val="24"/>
                <w:szCs w:val="21"/>
                <w:highlight w:val="none"/>
                <w:u w:val="none" w:color="auto"/>
                <w:lang w:val="en-US" w:eastAsia="zh-CN" w:bidi="ar"/>
              </w:rPr>
              <w:t>值划分为：（1）1≤</w:t>
            </w:r>
            <w:r>
              <w:rPr>
                <w:rFonts w:hint="default" w:ascii="Times New Roman" w:hAnsi="Times New Roman" w:eastAsia="宋体" w:cs="Times New Roman"/>
                <w:i/>
                <w:color w:val="auto"/>
                <w:kern w:val="0"/>
                <w:sz w:val="24"/>
                <w:szCs w:val="21"/>
                <w:highlight w:val="none"/>
                <w:u w:val="none" w:color="auto"/>
                <w:lang w:val="en-US" w:eastAsia="zh-CN" w:bidi="ar"/>
              </w:rPr>
              <w:t>Q</w:t>
            </w:r>
            <w:r>
              <w:rPr>
                <w:rFonts w:hint="default" w:ascii="Times New Roman" w:hAnsi="Times New Roman" w:eastAsia="宋体" w:cs="Times New Roman"/>
                <w:color w:val="auto"/>
                <w:kern w:val="0"/>
                <w:sz w:val="24"/>
                <w:szCs w:val="21"/>
                <w:highlight w:val="none"/>
                <w:u w:val="none" w:color="auto"/>
                <w:lang w:val="en-US" w:eastAsia="zh-CN" w:bidi="ar"/>
              </w:rPr>
              <w:t>＜10；（2）10≤</w:t>
            </w:r>
            <w:r>
              <w:rPr>
                <w:rFonts w:hint="default" w:ascii="Times New Roman" w:hAnsi="Times New Roman" w:eastAsia="宋体" w:cs="Times New Roman"/>
                <w:i/>
                <w:color w:val="auto"/>
                <w:kern w:val="0"/>
                <w:sz w:val="24"/>
                <w:szCs w:val="21"/>
                <w:highlight w:val="none"/>
                <w:u w:val="none" w:color="auto"/>
                <w:lang w:val="en-US" w:eastAsia="zh-CN" w:bidi="ar"/>
              </w:rPr>
              <w:t>Q</w:t>
            </w:r>
            <w:r>
              <w:rPr>
                <w:rFonts w:hint="default" w:ascii="Times New Roman" w:hAnsi="Times New Roman" w:eastAsia="宋体" w:cs="Times New Roman"/>
                <w:color w:val="auto"/>
                <w:kern w:val="0"/>
                <w:sz w:val="24"/>
                <w:szCs w:val="21"/>
                <w:highlight w:val="none"/>
                <w:u w:val="none" w:color="auto"/>
                <w:lang w:val="en-US" w:eastAsia="zh-CN" w:bidi="ar"/>
              </w:rPr>
              <w:t>＜100；（3）</w:t>
            </w:r>
            <w:r>
              <w:rPr>
                <w:rFonts w:hint="default" w:ascii="Times New Roman" w:hAnsi="Times New Roman" w:eastAsia="宋体" w:cs="Times New Roman"/>
                <w:i/>
                <w:color w:val="auto"/>
                <w:kern w:val="0"/>
                <w:sz w:val="24"/>
                <w:szCs w:val="21"/>
                <w:highlight w:val="none"/>
                <w:u w:val="none" w:color="auto"/>
                <w:lang w:val="en-US" w:eastAsia="zh-CN" w:bidi="ar"/>
              </w:rPr>
              <w:t>Q</w:t>
            </w:r>
            <w:r>
              <w:rPr>
                <w:rFonts w:hint="default" w:ascii="Times New Roman" w:hAnsi="Times New Roman" w:eastAsia="宋体" w:cs="Times New Roman"/>
                <w:color w:val="auto"/>
                <w:kern w:val="0"/>
                <w:sz w:val="24"/>
                <w:szCs w:val="21"/>
                <w:highlight w:val="none"/>
                <w:u w:val="none" w:color="auto"/>
                <w:lang w:val="en-US" w:eastAsia="zh-CN" w:bidi="ar"/>
              </w:rPr>
              <w:t>≥100。</w:t>
            </w:r>
          </w:p>
          <w:p w14:paraId="2E84E208">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项目</w:t>
            </w:r>
            <w:r>
              <w:rPr>
                <w:rFonts w:hint="eastAsia" w:ascii="Times New Roman" w:hAnsi="Times New Roman" w:eastAsia="宋体" w:cs="Times New Roman"/>
                <w:color w:val="auto"/>
                <w:kern w:val="2"/>
                <w:sz w:val="24"/>
                <w:szCs w:val="24"/>
                <w:highlight w:val="none"/>
                <w:u w:val="none" w:color="auto"/>
                <w:lang w:val="en-US" w:eastAsia="zh-CN" w:bidi="ar"/>
              </w:rPr>
              <w:t>为</w:t>
            </w:r>
            <w:r>
              <w:rPr>
                <w:rFonts w:hint="default" w:ascii="Times New Roman" w:hAnsi="Times New Roman" w:eastAsia="宋体" w:cs="Times New Roman"/>
                <w:color w:val="auto"/>
                <w:kern w:val="2"/>
                <w:sz w:val="24"/>
                <w:szCs w:val="24"/>
                <w:highlight w:val="none"/>
                <w:u w:val="none" w:color="auto"/>
                <w:lang w:val="en-US" w:eastAsia="zh-CN" w:bidi="ar"/>
              </w:rPr>
              <w:t>8类、9类固态危险货物中无副危险性、包装类非I、II类且不属于危险化学品的集装箱与普通货物集装箱混堆，混堆货种根据《危险化学品重大危险源辨识》（GB18218）均不属于危险化学品重大危险源。根据《建设项目环境风险评价技术导则》（HJ169-2018）附录B重点关注的风险物质及临界量，本项目不涉及技术导则中规定的风险物质</w:t>
            </w:r>
            <w:r>
              <w:rPr>
                <w:rFonts w:hint="eastAsia" w:ascii="Times New Roman" w:hAnsi="Times New Roman" w:eastAsia="宋体" w:cs="Times New Roman"/>
                <w:color w:val="auto"/>
                <w:kern w:val="2"/>
                <w:sz w:val="24"/>
                <w:szCs w:val="24"/>
                <w:highlight w:val="none"/>
                <w:u w:val="none" w:color="auto"/>
                <w:lang w:val="en-US" w:eastAsia="zh-CN" w:bidi="ar"/>
              </w:rPr>
              <w:t>，则项目环境风险潜势可判定为</w:t>
            </w:r>
            <w:r>
              <w:rPr>
                <w:rFonts w:hint="eastAsia" w:ascii="Times New Roman" w:hAnsi="Times New Roman" w:eastAsia="宋体" w:cs="Times New Roman"/>
                <w:color w:val="auto"/>
                <w:kern w:val="2"/>
                <w:sz w:val="24"/>
                <w:szCs w:val="24"/>
                <w:highlight w:val="none"/>
                <w:u w:val="none" w:color="auto"/>
                <w:lang w:val="en-US" w:eastAsia="zh-CN" w:bidi="ar"/>
              </w:rPr>
              <w:fldChar w:fldCharType="begin"/>
            </w:r>
            <w:r>
              <w:rPr>
                <w:rFonts w:hint="eastAsia" w:ascii="Times New Roman" w:hAnsi="Times New Roman" w:eastAsia="宋体" w:cs="Times New Roman"/>
                <w:color w:val="auto"/>
                <w:kern w:val="2"/>
                <w:sz w:val="24"/>
                <w:szCs w:val="24"/>
                <w:highlight w:val="none"/>
                <w:u w:val="none" w:color="auto"/>
                <w:lang w:val="en-US" w:eastAsia="zh-CN" w:bidi="ar"/>
              </w:rPr>
              <w:instrText xml:space="preserve"> = 1 \* ROMAN </w:instrText>
            </w:r>
            <w:r>
              <w:rPr>
                <w:rFonts w:hint="eastAsia" w:ascii="Times New Roman" w:hAnsi="Times New Roman" w:eastAsia="宋体" w:cs="Times New Roman"/>
                <w:color w:val="auto"/>
                <w:kern w:val="2"/>
                <w:sz w:val="24"/>
                <w:szCs w:val="24"/>
                <w:highlight w:val="none"/>
                <w:u w:val="none" w:color="auto"/>
                <w:lang w:val="en-US" w:eastAsia="zh-CN" w:bidi="ar"/>
              </w:rPr>
              <w:fldChar w:fldCharType="separate"/>
            </w:r>
            <w:r>
              <w:rPr>
                <w:rFonts w:hint="eastAsia" w:ascii="Times New Roman" w:hAnsi="Times New Roman" w:eastAsia="宋体" w:cs="Times New Roman"/>
                <w:color w:val="auto"/>
                <w:kern w:val="2"/>
                <w:sz w:val="24"/>
                <w:szCs w:val="24"/>
                <w:highlight w:val="none"/>
                <w:u w:val="none" w:color="auto"/>
                <w:lang w:val="en-US" w:eastAsia="zh-CN" w:bidi="ar"/>
              </w:rPr>
              <w:t>I</w:t>
            </w:r>
            <w:r>
              <w:rPr>
                <w:rFonts w:hint="eastAsia" w:ascii="Times New Roman" w:hAnsi="Times New Roman" w:eastAsia="宋体" w:cs="Times New Roman"/>
                <w:color w:val="auto"/>
                <w:kern w:val="2"/>
                <w:sz w:val="24"/>
                <w:szCs w:val="24"/>
                <w:highlight w:val="none"/>
                <w:u w:val="none" w:color="auto"/>
                <w:lang w:val="en-US" w:eastAsia="zh-CN" w:bidi="ar"/>
              </w:rPr>
              <w:fldChar w:fldCharType="end"/>
            </w:r>
            <w:r>
              <w:rPr>
                <w:rFonts w:hint="eastAsia" w:ascii="Times New Roman" w:hAnsi="Times New Roman" w:eastAsia="宋体" w:cs="Times New Roman"/>
                <w:color w:val="auto"/>
                <w:kern w:val="0"/>
                <w:sz w:val="24"/>
                <w:highlight w:val="none"/>
                <w:u w:val="none" w:color="auto"/>
                <w:lang w:eastAsia="zh-CN" w:bidi="ar"/>
              </w:rPr>
              <w:t>。根据评价工作级别判定表的划分，本次项目环境风险评价等级确定为简单分析。</w:t>
            </w:r>
          </w:p>
          <w:p w14:paraId="195AB42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eastAsia="宋体" w:cs="Times New Roman"/>
                <w:b/>
                <w:bCs w:val="0"/>
                <w:color w:val="auto"/>
                <w:sz w:val="24"/>
                <w:highlight w:val="none"/>
                <w:u w:val="none" w:color="auto"/>
              </w:rPr>
            </w:pPr>
            <w:r>
              <w:rPr>
                <w:rFonts w:hint="eastAsia" w:ascii="Times New Roman" w:hAnsi="Times New Roman" w:eastAsia="宋体" w:cs="Times New Roman"/>
                <w:b/>
                <w:bCs w:val="0"/>
                <w:color w:val="auto"/>
                <w:kern w:val="0"/>
                <w:sz w:val="24"/>
                <w:highlight w:val="none"/>
                <w:u w:val="none" w:color="auto"/>
                <w:lang w:val="en-US" w:eastAsia="zh-CN" w:bidi="ar"/>
              </w:rPr>
              <w:t>2、</w:t>
            </w:r>
            <w:r>
              <w:rPr>
                <w:rFonts w:hint="default" w:ascii="Times New Roman" w:hAnsi="Times New Roman" w:eastAsia="宋体" w:cs="Times New Roman"/>
                <w:b/>
                <w:bCs w:val="0"/>
                <w:color w:val="auto"/>
                <w:kern w:val="0"/>
                <w:sz w:val="24"/>
                <w:highlight w:val="none"/>
                <w:u w:val="none" w:color="auto"/>
                <w:lang w:bidi="ar"/>
              </w:rPr>
              <w:t>环境风险识别</w:t>
            </w:r>
          </w:p>
          <w:p w14:paraId="2FECE6C6">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u w:val="none" w:color="auto"/>
                <w:lang w:val="en-US" w:eastAsia="zh-CN" w:bidi="ar"/>
              </w:rPr>
            </w:pPr>
            <w:r>
              <w:rPr>
                <w:rFonts w:hint="eastAsia" w:ascii="Times New Roman" w:hAnsi="Times New Roman" w:eastAsia="宋体" w:cs="Times New Roman"/>
                <w:color w:val="auto"/>
                <w:kern w:val="2"/>
                <w:sz w:val="24"/>
                <w:szCs w:val="24"/>
                <w:highlight w:val="none"/>
                <w:u w:val="none" w:color="auto"/>
                <w:lang w:val="en-US" w:eastAsia="zh-CN" w:bidi="ar"/>
              </w:rPr>
              <w:t>项目为便于分析，将货种分为两类：一类是锂电池及相关品种，包括UN3536、UN3171等，其危险性主要体现为锂电池的危险性；另一类为其他品种，以化学物质类危险货物、镍氢电池和鱼粉等为主，分别对货物危险性进行辨识分析。</w:t>
            </w:r>
          </w:p>
          <w:p w14:paraId="262103B9">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eastAsia" w:ascii="Times New Roman" w:hAnsi="Times New Roman" w:eastAsia="宋体" w:cs="Times New Roman"/>
                <w:color w:val="auto"/>
                <w:kern w:val="2"/>
                <w:sz w:val="24"/>
                <w:szCs w:val="24"/>
                <w:highlight w:val="none"/>
                <w:u w:val="none" w:color="auto"/>
                <w:lang w:val="en-US" w:eastAsia="zh-CN" w:bidi="ar"/>
              </w:rPr>
              <w:t>（1）锂电池</w:t>
            </w:r>
          </w:p>
          <w:p w14:paraId="745BC22D">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eastAsia" w:ascii="Times New Roman" w:hAnsi="Times New Roman" w:eastAsia="宋体" w:cs="Times New Roman"/>
                <w:color w:val="auto"/>
                <w:kern w:val="2"/>
                <w:sz w:val="24"/>
                <w:szCs w:val="24"/>
                <w:highlight w:val="none"/>
                <w:u w:val="none" w:color="auto"/>
                <w:lang w:val="en-US" w:eastAsia="zh-CN" w:bidi="ar"/>
              </w:rPr>
              <w:t>1）</w:t>
            </w:r>
            <w:r>
              <w:rPr>
                <w:rFonts w:hint="default" w:ascii="Times New Roman" w:hAnsi="Times New Roman" w:eastAsia="宋体" w:cs="Times New Roman"/>
                <w:color w:val="auto"/>
                <w:kern w:val="2"/>
                <w:sz w:val="24"/>
                <w:szCs w:val="24"/>
                <w:highlight w:val="none"/>
                <w:u w:val="none" w:color="auto"/>
                <w:lang w:val="en-US" w:eastAsia="zh-CN" w:bidi="ar"/>
              </w:rPr>
              <w:t>锂金属电池</w:t>
            </w:r>
          </w:p>
          <w:p w14:paraId="45A0D79B">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锂金属电池是一种原电池，有不同的体系、内部结构和形状，常见如金属锂为负极，以经过热处理的二氧化锰为正极、电解液为高氯酸锂的有机溶液，或者正极和电解液为亚硫酰氯等，隔离膜采用PP或PE膜等。锂金属电池所含的金属锂（Li）是一种特别容易发生反应的金属，外观呈银白色，非常柔软、可伸展，易燃。金属锂的主要危险性：①遇水或潮湿空气会释放易燃气体氢气；②呈固体状态时，当温度超过其熔点180℃时，自燃；③呈粉末时，可在室温条件下燃烧；④可导致严重灼伤及腐蚀。锂金属电池的危险性主要取决于其所含的金属锂，事故类型主要包括释放气体、膨胀、泄漏、自燃/着火，极端情况下电池会发生破裂或爆炸。锂金属电池的火灾属于金属火灾。</w:t>
            </w:r>
          </w:p>
          <w:p w14:paraId="0034BC84">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u w:val="none" w:color="auto"/>
                <w:lang w:val="en-US" w:eastAsia="zh-CN" w:bidi="ar"/>
              </w:rPr>
            </w:pPr>
            <w:r>
              <w:rPr>
                <w:rFonts w:hint="eastAsia" w:ascii="Times New Roman" w:hAnsi="Times New Roman" w:eastAsia="宋体" w:cs="Times New Roman"/>
                <w:color w:val="auto"/>
                <w:kern w:val="2"/>
                <w:sz w:val="24"/>
                <w:szCs w:val="24"/>
                <w:highlight w:val="none"/>
                <w:u w:val="none" w:color="auto"/>
                <w:lang w:val="en-US" w:eastAsia="zh-CN" w:bidi="ar"/>
              </w:rPr>
              <w:t>2）锂离子电池</w:t>
            </w:r>
          </w:p>
          <w:p w14:paraId="2C30560B">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 xml:space="preserve">锂离子电池是二次电池，主要由正极、负极、隔膜及电解液四个部分组成，通过正负极间可逆地嵌入、脱嵌锂离子实现功能。充电时，锂离子从负极释放，经过电解液扩散到达正极，放电时则发生相反的反应，通过这样的反应电能被不断地储存和释放。正极材料主要是含锂的过渡金属氧化物，如常见的钴酸锂、镍酸锂、亚锰酸锂，三元锂等。负极材料主要是石墨和硬碳。电池的隔膜是一类由聚烯烃材料制备而成的微孔薄膜，保证锂离子自由通过以形成电路通路的同时，避免正负极直接接触，起到绝缘的作用并通过将有机材料/无机材料包覆在隔膜表面。锂离子电池电解液是有机溶剂和电解质盐化合物的混合物，提供导电离子的锂盐主要有六氟磷酸锂（LiPF4）和四氟硼酸锂（LiBF4）两类。此外锂电池还包含壳体、导电剂、粘结剂和集流体等组分。 </w:t>
            </w:r>
          </w:p>
          <w:p w14:paraId="0B852AB9">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锂离子电池事故主要由于电池热失控导致，表现形式主要包括膨胀、释放可燃烟气（包括氢气、一氧化碳、可燃烷烃类气体等）、含氟化合物等毒性物质，自燃/着火，甚至电池爆炸，对人体和环境造成危害。锂离子电池火灾主要是其电解液燃烧的结果，一般按照C类火灾扑救方法进行扑救</w:t>
            </w:r>
            <w:r>
              <w:rPr>
                <w:rFonts w:hint="eastAsia" w:ascii="Times New Roman" w:hAnsi="Times New Roman" w:eastAsia="宋体" w:cs="Times New Roman"/>
                <w:color w:val="auto"/>
                <w:kern w:val="2"/>
                <w:sz w:val="24"/>
                <w:szCs w:val="24"/>
                <w:highlight w:val="none"/>
                <w:u w:val="none" w:color="auto"/>
                <w:lang w:val="en-US" w:eastAsia="zh-CN" w:bidi="ar"/>
              </w:rPr>
              <w:t>。</w:t>
            </w:r>
          </w:p>
          <w:p w14:paraId="05EFE803">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u w:val="none" w:color="auto"/>
                <w:lang w:val="en-US" w:eastAsia="zh-CN" w:bidi="ar"/>
              </w:rPr>
            </w:pPr>
            <w:r>
              <w:rPr>
                <w:rFonts w:hint="eastAsia" w:ascii="Times New Roman" w:hAnsi="Times New Roman" w:eastAsia="宋体" w:cs="Times New Roman"/>
                <w:color w:val="auto"/>
                <w:kern w:val="2"/>
                <w:sz w:val="24"/>
                <w:szCs w:val="24"/>
                <w:highlight w:val="none"/>
                <w:u w:val="none" w:color="auto"/>
                <w:lang w:val="en-US" w:eastAsia="zh-CN" w:bidi="ar"/>
              </w:rPr>
              <w:t>（2）其他品种危险货物</w:t>
            </w:r>
          </w:p>
          <w:p w14:paraId="376489CE">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1）UN 2216 鱼粉（鱼屑）。稳定的，经抗氧剂处理的，按质量计，水分含量大于5%但不超过12%，按质量脂肪含量不超过15%。本品一般为棕色团粒状渣粉，有鱼腥味。将含油鱼加热并使其干燥，获得的褐色至绿褐色的产品。除脂肪含量小或经过以抗氧剂有效理外，都易于自燃</w:t>
            </w:r>
            <w:r>
              <w:rPr>
                <w:rFonts w:hint="eastAsia" w:ascii="Times New Roman" w:hAnsi="Times New Roman" w:eastAsia="宋体" w:cs="Times New Roman"/>
                <w:color w:val="auto"/>
                <w:kern w:val="2"/>
                <w:sz w:val="24"/>
                <w:szCs w:val="24"/>
                <w:highlight w:val="none"/>
                <w:u w:val="none" w:color="auto"/>
                <w:lang w:val="en-US" w:eastAsia="zh-CN" w:bidi="ar"/>
              </w:rPr>
              <w:t>。项目混堆鱼粉为脂肪含量小和经抗氧化剂处理后的。</w:t>
            </w:r>
          </w:p>
          <w:p w14:paraId="501F01C2">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2）UN 2990 救生设备，自动膨胀式。危险性取决于相应组成配件的危险性，主要体现为液体</w:t>
            </w:r>
            <w:r>
              <w:rPr>
                <w:rFonts w:hint="eastAsia" w:ascii="Times New Roman" w:hAnsi="Times New Roman" w:eastAsia="宋体" w:cs="Times New Roman"/>
                <w:color w:val="auto"/>
                <w:kern w:val="2"/>
                <w:sz w:val="24"/>
                <w:szCs w:val="24"/>
                <w:highlight w:val="none"/>
                <w:u w:val="none" w:color="auto"/>
                <w:lang w:val="en-US" w:eastAsia="zh-CN" w:bidi="ar"/>
              </w:rPr>
              <w:t>泄漏</w:t>
            </w:r>
            <w:r>
              <w:rPr>
                <w:rFonts w:hint="default" w:ascii="Times New Roman" w:hAnsi="Times New Roman" w:eastAsia="宋体" w:cs="Times New Roman"/>
                <w:color w:val="auto"/>
                <w:kern w:val="2"/>
                <w:sz w:val="24"/>
                <w:szCs w:val="24"/>
                <w:highlight w:val="none"/>
                <w:u w:val="none" w:color="auto"/>
                <w:lang w:val="en-US" w:eastAsia="zh-CN" w:bidi="ar"/>
              </w:rPr>
              <w:t>、火灾、爆炸等。</w:t>
            </w:r>
          </w:p>
          <w:p w14:paraId="0B88216F">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3）UN 3072救生设备，非自动膨胀式，装备中含有危险物品。危险性取决于相应组成配件的危险性，主要体现为液体</w:t>
            </w:r>
            <w:r>
              <w:rPr>
                <w:rFonts w:hint="eastAsia" w:ascii="Times New Roman" w:hAnsi="Times New Roman" w:eastAsia="宋体" w:cs="Times New Roman"/>
                <w:color w:val="auto"/>
                <w:kern w:val="2"/>
                <w:sz w:val="24"/>
                <w:szCs w:val="24"/>
                <w:highlight w:val="none"/>
                <w:u w:val="none" w:color="auto"/>
                <w:lang w:val="en-US" w:eastAsia="zh-CN" w:bidi="ar"/>
              </w:rPr>
              <w:t>泄漏</w:t>
            </w:r>
            <w:r>
              <w:rPr>
                <w:rFonts w:hint="default" w:ascii="Times New Roman" w:hAnsi="Times New Roman" w:eastAsia="宋体" w:cs="Times New Roman"/>
                <w:color w:val="auto"/>
                <w:kern w:val="2"/>
                <w:sz w:val="24"/>
                <w:szCs w:val="24"/>
                <w:highlight w:val="none"/>
                <w:u w:val="none" w:color="auto"/>
                <w:lang w:val="en-US" w:eastAsia="zh-CN" w:bidi="ar"/>
              </w:rPr>
              <w:t>、火灾、爆炸等。</w:t>
            </w:r>
          </w:p>
          <w:p w14:paraId="34DD507F">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（4）UN 3028蓄电池，干的，含固体氢氧化钾。蓄存电的在密闭容器内，串联在一起的金属板组，浸在干氢氧化钾中，充电后由于接头短路可引起着火。与酸类剧烈反应</w:t>
            </w:r>
            <w:r>
              <w:rPr>
                <w:rFonts w:hint="eastAsia" w:ascii="Times New Roman" w:hAnsi="Times New Roman" w:eastAsia="宋体" w:cs="Times New Roman"/>
                <w:color w:val="auto"/>
                <w:kern w:val="2"/>
                <w:sz w:val="24"/>
                <w:szCs w:val="24"/>
                <w:highlight w:val="none"/>
                <w:u w:val="none" w:color="auto"/>
                <w:lang w:val="en-US" w:eastAsia="zh-CN" w:bidi="ar"/>
              </w:rPr>
              <w:t>。</w:t>
            </w:r>
          </w:p>
          <w:p w14:paraId="72E75848">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（5）UN 3171电池驱动的车辆或电池驱动的设备。电池驱动的车辆或电池 驱动的设备的危险性主要是车辆或设备在遭遇碰撞事故后可能会出现高压泄漏、人员触电、电池起火等“二次”事故。</w:t>
            </w:r>
          </w:p>
          <w:p w14:paraId="33AB81A1">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（6）UN 3268 安全装置，电激发的。此类危险货物主要危险是，货物本身或其内置的部件可能因内外部条件触发造成意外膨胀、破裂</w:t>
            </w:r>
            <w:r>
              <w:rPr>
                <w:rFonts w:hint="eastAsia" w:cs="Times New Roman"/>
                <w:color w:val="auto"/>
                <w:kern w:val="2"/>
                <w:sz w:val="24"/>
                <w:szCs w:val="24"/>
                <w:highlight w:val="none"/>
                <w:u w:val="none" w:color="auto"/>
                <w:lang w:val="en-US" w:eastAsia="zh-CN" w:bidi="ar"/>
              </w:rPr>
              <w:t>，甚至</w:t>
            </w:r>
            <w:r>
              <w:rPr>
                <w:rFonts w:hint="default" w:ascii="Times New Roman" w:hAnsi="Times New Roman" w:eastAsia="宋体" w:cs="Times New Roman"/>
                <w:color w:val="auto"/>
                <w:kern w:val="2"/>
                <w:sz w:val="24"/>
                <w:szCs w:val="24"/>
                <w:highlight w:val="none"/>
                <w:u w:val="none" w:color="auto"/>
                <w:lang w:val="en-US" w:eastAsia="zh-CN" w:bidi="ar"/>
              </w:rPr>
              <w:t>内部小范围燃烧等，但这种膨胀、破裂、内部燃烧不会发生导致危险的抛射或热效应等。</w:t>
            </w:r>
          </w:p>
          <w:p w14:paraId="6C4E1C33">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（7）UN3316化学品箱或急救箱。盛装的物品不同，危险性也不同。此类危险货物主要危险是，货物本身或其内置的物品可能因内外部条件触发造成意外膨胀、破裂</w:t>
            </w:r>
            <w:r>
              <w:rPr>
                <w:rFonts w:hint="eastAsia" w:cs="Times New Roman"/>
                <w:color w:val="auto"/>
                <w:kern w:val="2"/>
                <w:sz w:val="24"/>
                <w:szCs w:val="24"/>
                <w:highlight w:val="none"/>
                <w:u w:val="none" w:color="auto"/>
                <w:lang w:val="en-US" w:eastAsia="zh-CN" w:bidi="ar"/>
              </w:rPr>
              <w:t>，甚至</w:t>
            </w:r>
            <w:r>
              <w:rPr>
                <w:rFonts w:hint="default" w:ascii="Times New Roman" w:hAnsi="Times New Roman" w:eastAsia="宋体" w:cs="Times New Roman"/>
                <w:color w:val="auto"/>
                <w:kern w:val="2"/>
                <w:sz w:val="24"/>
                <w:szCs w:val="24"/>
                <w:highlight w:val="none"/>
                <w:u w:val="none" w:color="auto"/>
                <w:lang w:val="en-US" w:eastAsia="zh-CN" w:bidi="ar"/>
              </w:rPr>
              <w:t>内部小范围燃烧等，但这种膨胀、破裂、内部燃烧不会发生导致危险的抛射或热效应等。</w:t>
            </w:r>
          </w:p>
          <w:p w14:paraId="7DC3B0D6">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（8）UN 3496 镍氢电池，是一种性能良好的蓄电池。镍氢电池分为高压镍氢电池和低压镍氢电池。与锂电池相比，镍氢电池化学特性更加稳定、能量密度较低、基本不存在自燃爆炸危险、不易燃烧；仅在充放电过程中产生微量氢气、几乎可以忽略</w:t>
            </w:r>
            <w:r>
              <w:rPr>
                <w:rFonts w:hint="eastAsia" w:ascii="Times New Roman" w:hAnsi="Times New Roman" w:eastAsia="宋体" w:cs="Times New Roman"/>
                <w:color w:val="auto"/>
                <w:kern w:val="2"/>
                <w:sz w:val="24"/>
                <w:szCs w:val="24"/>
                <w:highlight w:val="none"/>
                <w:u w:val="none" w:color="auto"/>
                <w:lang w:val="en-US" w:eastAsia="zh-CN" w:bidi="ar"/>
              </w:rPr>
              <w:t>不计</w:t>
            </w:r>
            <w:r>
              <w:rPr>
                <w:rFonts w:hint="default" w:ascii="Times New Roman" w:hAnsi="Times New Roman" w:eastAsia="宋体" w:cs="Times New Roman"/>
                <w:color w:val="auto"/>
                <w:kern w:val="2"/>
                <w:sz w:val="24"/>
                <w:szCs w:val="24"/>
                <w:highlight w:val="none"/>
                <w:u w:val="none" w:color="auto"/>
                <w:lang w:val="en-US" w:eastAsia="zh-CN" w:bidi="ar"/>
              </w:rPr>
              <w:t>。</w:t>
            </w:r>
            <w:bookmarkStart w:id="15" w:name="_GoBack"/>
            <w:bookmarkEnd w:id="15"/>
          </w:p>
          <w:p w14:paraId="10E658D8">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（9）UN 3499 双电层电容器</w:t>
            </w:r>
            <w:r>
              <w:rPr>
                <w:rFonts w:hint="eastAsia" w:cs="Times New Roman"/>
                <w:color w:val="auto"/>
                <w:kern w:val="2"/>
                <w:sz w:val="24"/>
                <w:szCs w:val="24"/>
                <w:highlight w:val="none"/>
                <w:u w:val="none" w:color="auto"/>
                <w:lang w:val="en-US" w:eastAsia="zh-CN" w:bidi="ar"/>
              </w:rPr>
              <w:t>（</w:t>
            </w:r>
            <w:r>
              <w:rPr>
                <w:rFonts w:hint="default" w:ascii="Times New Roman" w:hAnsi="Times New Roman" w:eastAsia="宋体" w:cs="Times New Roman"/>
                <w:color w:val="auto"/>
                <w:kern w:val="2"/>
                <w:sz w:val="24"/>
                <w:szCs w:val="24"/>
                <w:highlight w:val="none"/>
                <w:u w:val="none" w:color="auto"/>
                <w:lang w:val="en-US" w:eastAsia="zh-CN" w:bidi="ar"/>
              </w:rPr>
              <w:t>储能量大于0.3瓦特小时</w:t>
            </w:r>
            <w:r>
              <w:rPr>
                <w:rFonts w:hint="eastAsia" w:cs="Times New Roman"/>
                <w:color w:val="auto"/>
                <w:kern w:val="2"/>
                <w:sz w:val="24"/>
                <w:szCs w:val="24"/>
                <w:highlight w:val="none"/>
                <w:u w:val="none" w:color="auto"/>
                <w:lang w:val="en-US" w:eastAsia="zh-CN" w:bidi="ar"/>
              </w:rPr>
              <w:t>）</w:t>
            </w:r>
          </w:p>
          <w:p w14:paraId="6D714F3B">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用于储存电量的带有非危险性的</w:t>
            </w:r>
            <w:r>
              <w:rPr>
                <w:rFonts w:hint="eastAsia" w:ascii="Times New Roman" w:hAnsi="Times New Roman" w:eastAsia="宋体" w:cs="Times New Roman"/>
                <w:color w:val="auto"/>
                <w:kern w:val="2"/>
                <w:sz w:val="24"/>
                <w:szCs w:val="24"/>
                <w:highlight w:val="none"/>
                <w:u w:val="none" w:color="auto"/>
                <w:lang w:val="en-US" w:eastAsia="zh-CN" w:bidi="ar"/>
              </w:rPr>
              <w:t>活性炭</w:t>
            </w:r>
            <w:r>
              <w:rPr>
                <w:rFonts w:hint="default" w:ascii="Times New Roman" w:hAnsi="Times New Roman" w:eastAsia="宋体" w:cs="Times New Roman"/>
                <w:color w:val="auto"/>
                <w:kern w:val="2"/>
                <w:sz w:val="24"/>
                <w:szCs w:val="24"/>
                <w:highlight w:val="none"/>
                <w:u w:val="none" w:color="auto"/>
                <w:lang w:val="en-US" w:eastAsia="zh-CN" w:bidi="ar"/>
              </w:rPr>
              <w:t>和电极的物品。装在设备中的双层带电的电容器可在充电状态下运输。双电层电容器能够以非常低的内阻-允许极快的放电。电容器里面的铝电解电容是具有一定的爆炸隐患，一般都设计了防爆阀，其目的在</w:t>
            </w:r>
            <w:r>
              <w:rPr>
                <w:rFonts w:hint="eastAsia" w:ascii="Times New Roman" w:hAnsi="Times New Roman" w:eastAsia="宋体" w:cs="Times New Roman"/>
                <w:color w:val="auto"/>
                <w:kern w:val="2"/>
                <w:sz w:val="24"/>
                <w:szCs w:val="24"/>
                <w:highlight w:val="none"/>
                <w:u w:val="none" w:color="auto"/>
                <w:lang w:val="en-US" w:eastAsia="zh-CN" w:bidi="ar"/>
              </w:rPr>
              <w:t>电解</w:t>
            </w:r>
            <w:r>
              <w:rPr>
                <w:rFonts w:hint="default" w:ascii="Times New Roman" w:hAnsi="Times New Roman" w:eastAsia="宋体" w:cs="Times New Roman"/>
                <w:color w:val="auto"/>
                <w:kern w:val="2"/>
                <w:sz w:val="24"/>
                <w:szCs w:val="24"/>
                <w:highlight w:val="none"/>
                <w:u w:val="none" w:color="auto"/>
                <w:lang w:val="en-US" w:eastAsia="zh-CN" w:bidi="ar"/>
              </w:rPr>
              <w:t>电容器发生爆炸的时候，能够转移成内部</w:t>
            </w:r>
            <w:r>
              <w:rPr>
                <w:rFonts w:hint="eastAsia" w:ascii="Times New Roman" w:hAnsi="Times New Roman" w:eastAsia="宋体" w:cs="Times New Roman"/>
                <w:color w:val="auto"/>
                <w:kern w:val="2"/>
                <w:sz w:val="24"/>
                <w:szCs w:val="24"/>
                <w:highlight w:val="none"/>
                <w:u w:val="none" w:color="auto"/>
                <w:lang w:val="en-US" w:eastAsia="zh-CN" w:bidi="ar"/>
              </w:rPr>
              <w:t>自爆。</w:t>
            </w:r>
          </w:p>
          <w:p w14:paraId="354D0321">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（10）UN 3508 电容器，非对称的</w:t>
            </w:r>
            <w:r>
              <w:rPr>
                <w:rFonts w:hint="eastAsia" w:cs="Times New Roman"/>
                <w:color w:val="auto"/>
                <w:kern w:val="2"/>
                <w:sz w:val="24"/>
                <w:szCs w:val="24"/>
                <w:highlight w:val="none"/>
                <w:u w:val="none" w:color="auto"/>
                <w:lang w:val="en-US" w:eastAsia="zh-CN" w:bidi="ar"/>
              </w:rPr>
              <w:t>（</w:t>
            </w:r>
            <w:r>
              <w:rPr>
                <w:rFonts w:hint="default" w:ascii="Times New Roman" w:hAnsi="Times New Roman" w:eastAsia="宋体" w:cs="Times New Roman"/>
                <w:color w:val="auto"/>
                <w:kern w:val="2"/>
                <w:sz w:val="24"/>
                <w:szCs w:val="24"/>
                <w:highlight w:val="none"/>
                <w:u w:val="none" w:color="auto"/>
                <w:lang w:val="en-US" w:eastAsia="zh-CN" w:bidi="ar"/>
              </w:rPr>
              <w:t>储能量大于0.3瓦特小时</w:t>
            </w:r>
            <w:r>
              <w:rPr>
                <w:rFonts w:hint="eastAsia" w:cs="Times New Roman"/>
                <w:color w:val="auto"/>
                <w:kern w:val="2"/>
                <w:sz w:val="24"/>
                <w:szCs w:val="24"/>
                <w:highlight w:val="none"/>
                <w:u w:val="none" w:color="auto"/>
                <w:lang w:val="en-US" w:eastAsia="zh-CN" w:bidi="ar"/>
              </w:rPr>
              <w:t>）</w:t>
            </w:r>
            <w:r>
              <w:rPr>
                <w:rFonts w:hint="default" w:ascii="Times New Roman" w:hAnsi="Times New Roman" w:eastAsia="宋体" w:cs="Times New Roman"/>
                <w:color w:val="auto"/>
                <w:kern w:val="2"/>
                <w:sz w:val="24"/>
                <w:szCs w:val="24"/>
                <w:highlight w:val="none"/>
                <w:u w:val="none" w:color="auto"/>
                <w:lang w:val="en-US" w:eastAsia="zh-CN" w:bidi="ar"/>
              </w:rPr>
              <w:t xml:space="preserve"> </w:t>
            </w:r>
          </w:p>
          <w:p w14:paraId="6225FD81">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u w:val="none" w:color="auto"/>
                <w:lang w:val="en-US" w:eastAsia="zh-CN" w:bidi="ar"/>
              </w:rPr>
            </w:pPr>
            <w:r>
              <w:rPr>
                <w:rFonts w:hint="default" w:ascii="Times New Roman" w:hAnsi="Times New Roman" w:eastAsia="宋体" w:cs="Times New Roman"/>
                <w:color w:val="auto"/>
                <w:kern w:val="2"/>
                <w:sz w:val="24"/>
                <w:szCs w:val="24"/>
                <w:highlight w:val="none"/>
                <w:u w:val="none" w:color="auto"/>
                <w:lang w:val="en-US" w:eastAsia="zh-CN" w:bidi="ar"/>
              </w:rPr>
              <w:t>含有不同材料组成的正负电极和电解液，用于存储电量的物品。不对称的电容器可以在充电状态下运输。双电层电容器能够以非常低的内阻-允许极快的放电</w:t>
            </w:r>
            <w:r>
              <w:rPr>
                <w:rFonts w:hint="eastAsia" w:ascii="Times New Roman" w:hAnsi="Times New Roman" w:eastAsia="宋体" w:cs="Times New Roman"/>
                <w:color w:val="auto"/>
                <w:kern w:val="2"/>
                <w:sz w:val="24"/>
                <w:szCs w:val="24"/>
                <w:highlight w:val="none"/>
                <w:u w:val="none" w:color="auto"/>
                <w:lang w:val="en-US" w:eastAsia="zh-CN" w:bidi="ar"/>
              </w:rPr>
              <w:t>。</w:t>
            </w:r>
            <w:r>
              <w:rPr>
                <w:rFonts w:hint="default" w:ascii="Times New Roman" w:hAnsi="Times New Roman" w:eastAsia="宋体" w:cs="Times New Roman"/>
                <w:color w:val="auto"/>
                <w:kern w:val="2"/>
                <w:sz w:val="24"/>
                <w:szCs w:val="24"/>
                <w:highlight w:val="none"/>
                <w:u w:val="none" w:color="auto"/>
                <w:lang w:val="en-US" w:eastAsia="zh-CN" w:bidi="ar"/>
              </w:rPr>
              <w:t>电容器里面的铝电解电容是具有一定的爆炸隐患，一般都设计了防爆阀，其目的在</w:t>
            </w:r>
            <w:r>
              <w:rPr>
                <w:rFonts w:hint="eastAsia" w:ascii="Times New Roman" w:hAnsi="Times New Roman" w:eastAsia="宋体" w:cs="Times New Roman"/>
                <w:color w:val="auto"/>
                <w:kern w:val="2"/>
                <w:sz w:val="24"/>
                <w:szCs w:val="24"/>
                <w:highlight w:val="none"/>
                <w:u w:val="none" w:color="auto"/>
                <w:lang w:val="en-US" w:eastAsia="zh-CN" w:bidi="ar"/>
              </w:rPr>
              <w:t>电解</w:t>
            </w:r>
            <w:r>
              <w:rPr>
                <w:rFonts w:hint="default" w:ascii="Times New Roman" w:hAnsi="Times New Roman" w:eastAsia="宋体" w:cs="Times New Roman"/>
                <w:color w:val="auto"/>
                <w:kern w:val="2"/>
                <w:sz w:val="24"/>
                <w:szCs w:val="24"/>
                <w:highlight w:val="none"/>
                <w:u w:val="none" w:color="auto"/>
                <w:lang w:val="en-US" w:eastAsia="zh-CN" w:bidi="ar"/>
              </w:rPr>
              <w:t>电容器发生爆炸的时候，能够转移成内部</w:t>
            </w:r>
            <w:r>
              <w:rPr>
                <w:rFonts w:hint="eastAsia" w:ascii="Times New Roman" w:hAnsi="Times New Roman" w:eastAsia="宋体" w:cs="Times New Roman"/>
                <w:color w:val="auto"/>
                <w:kern w:val="2"/>
                <w:sz w:val="24"/>
                <w:szCs w:val="24"/>
                <w:highlight w:val="none"/>
                <w:u w:val="none" w:color="auto"/>
                <w:lang w:val="en-US" w:eastAsia="zh-CN" w:bidi="ar"/>
              </w:rPr>
              <w:t>自爆。</w:t>
            </w:r>
          </w:p>
          <w:p w14:paraId="7E602C9E">
            <w:pPr>
              <w:keepNext w:val="0"/>
              <w:keepLines w:val="0"/>
              <w:pageBreakBefore w:val="0"/>
              <w:widowControl w:val="0"/>
              <w:suppressLineNumbers w:val="0"/>
              <w:kinsoku/>
              <w:overflowPunct/>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bCs/>
                <w:caps w:val="0"/>
                <w:color w:val="auto"/>
                <w:sz w:val="22"/>
                <w:szCs w:val="22"/>
                <w:u w:val="none" w:color="auto"/>
              </w:rPr>
            </w:pPr>
            <w:r>
              <w:rPr>
                <w:rFonts w:hint="default" w:ascii="Times New Roman" w:hAnsi="Times New Roman" w:eastAsia="宋体" w:cs="Times New Roman"/>
                <w:color w:val="auto"/>
                <w:kern w:val="2"/>
                <w:sz w:val="24"/>
                <w:szCs w:val="24"/>
                <w:highlight w:val="none"/>
                <w:u w:val="none" w:color="auto"/>
                <w:lang w:val="en-US" w:eastAsia="zh-CN" w:bidi="ar"/>
              </w:rPr>
              <w:t>相关危险货物集装箱在普通货物集装箱堆场存放及装卸过程中，可能出现的事故类型主要包括：泄漏、火灾等；此外对于锂电池类危险货物集装箱，在发生火灾情况下，因货物燃烧释放易燃气体，当易燃气体在集装箱内局部集聚时，遇火源可能产生局部的爆炸或爆燃</w:t>
            </w:r>
            <w:r>
              <w:rPr>
                <w:rFonts w:hint="eastAsia" w:ascii="Times New Roman" w:hAnsi="Times New Roman" w:eastAsia="宋体" w:cs="Times New Roman"/>
                <w:color w:val="auto"/>
                <w:kern w:val="2"/>
                <w:sz w:val="24"/>
                <w:szCs w:val="24"/>
                <w:highlight w:val="none"/>
                <w:u w:val="none" w:color="auto"/>
                <w:lang w:val="en-US" w:eastAsia="zh-CN" w:bidi="ar"/>
              </w:rPr>
              <w:t>。</w:t>
            </w:r>
          </w:p>
          <w:p w14:paraId="15B90D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aps w:val="0"/>
                <w:color w:val="auto"/>
                <w:sz w:val="22"/>
                <w:szCs w:val="22"/>
                <w:u w:val="none" w:color="auto"/>
              </w:rPr>
            </w:pPr>
            <w:r>
              <w:rPr>
                <w:rFonts w:hint="eastAsia" w:ascii="Times New Roman" w:hAnsi="Times New Roman" w:eastAsia="宋体" w:cs="Times New Roman"/>
                <w:b/>
                <w:bCs/>
                <w:caps w:val="0"/>
                <w:color w:val="auto"/>
                <w:sz w:val="22"/>
                <w:szCs w:val="22"/>
                <w:u w:val="none" w:color="auto"/>
              </w:rPr>
              <w:t>表</w:t>
            </w:r>
            <w:r>
              <w:rPr>
                <w:rFonts w:hint="default" w:ascii="Times New Roman" w:hAnsi="Times New Roman" w:eastAsia="宋体" w:cs="Times New Roman"/>
                <w:b/>
                <w:bCs/>
                <w:caps w:val="0"/>
                <w:color w:val="auto"/>
                <w:sz w:val="22"/>
                <w:szCs w:val="22"/>
                <w:u w:val="none" w:color="auto"/>
              </w:rPr>
              <w:t>4-</w:t>
            </w:r>
            <w:r>
              <w:rPr>
                <w:rFonts w:hint="eastAsia" w:cs="Times New Roman"/>
                <w:b/>
                <w:bCs/>
                <w:caps w:val="0"/>
                <w:color w:val="auto"/>
                <w:sz w:val="22"/>
                <w:szCs w:val="22"/>
                <w:u w:val="none" w:color="auto"/>
                <w:lang w:val="en-US" w:eastAsia="zh-CN"/>
              </w:rPr>
              <w:t>10</w:t>
            </w:r>
            <w:r>
              <w:rPr>
                <w:rFonts w:hint="default" w:ascii="Times New Roman" w:hAnsi="Times New Roman" w:eastAsia="宋体" w:cs="Times New Roman"/>
                <w:b/>
                <w:bCs/>
                <w:caps w:val="0"/>
                <w:color w:val="auto"/>
                <w:sz w:val="22"/>
                <w:szCs w:val="22"/>
                <w:u w:val="none" w:color="auto"/>
              </w:rPr>
              <w:t xml:space="preserve"> </w:t>
            </w:r>
            <w:r>
              <w:rPr>
                <w:rFonts w:hint="eastAsia" w:ascii="Times New Roman" w:hAnsi="Times New Roman" w:eastAsia="宋体" w:cs="Times New Roman"/>
                <w:b/>
                <w:bCs/>
                <w:caps w:val="0"/>
                <w:color w:val="auto"/>
                <w:sz w:val="22"/>
                <w:szCs w:val="22"/>
                <w:u w:val="none" w:color="auto"/>
              </w:rPr>
              <w:t>建设项目环境风险识别表</w:t>
            </w:r>
          </w:p>
          <w:tbl>
            <w:tblPr>
              <w:tblStyle w:val="46"/>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78"/>
              <w:gridCol w:w="1901"/>
              <w:gridCol w:w="2159"/>
              <w:gridCol w:w="1482"/>
              <w:gridCol w:w="1932"/>
            </w:tblGrid>
            <w:tr w14:paraId="7D257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78" w:type="dxa"/>
                  <w:vAlign w:val="center"/>
                </w:tcPr>
                <w:p w14:paraId="17AA0A5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aps w:val="0"/>
                      <w:color w:val="auto"/>
                      <w:sz w:val="21"/>
                      <w:szCs w:val="21"/>
                      <w:u w:val="none" w:color="auto"/>
                    </w:rPr>
                  </w:pPr>
                  <w:r>
                    <w:rPr>
                      <w:rFonts w:hint="eastAsia" w:ascii="Times New Roman" w:hAnsi="Times New Roman" w:eastAsia="宋体" w:cs="Times New Roman"/>
                      <w:b/>
                      <w:bCs/>
                      <w:caps w:val="0"/>
                      <w:color w:val="auto"/>
                      <w:sz w:val="21"/>
                      <w:szCs w:val="21"/>
                      <w:u w:val="none" w:color="auto"/>
                    </w:rPr>
                    <w:t>序号</w:t>
                  </w:r>
                </w:p>
              </w:tc>
              <w:tc>
                <w:tcPr>
                  <w:tcW w:w="1902" w:type="dxa"/>
                  <w:vAlign w:val="center"/>
                </w:tcPr>
                <w:p w14:paraId="6D06FC30">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aps w:val="0"/>
                      <w:color w:val="auto"/>
                      <w:sz w:val="21"/>
                      <w:szCs w:val="21"/>
                      <w:u w:val="none" w:color="auto"/>
                    </w:rPr>
                  </w:pPr>
                  <w:r>
                    <w:rPr>
                      <w:rFonts w:hint="eastAsia" w:ascii="Times New Roman" w:hAnsi="Times New Roman" w:eastAsia="宋体" w:cs="Times New Roman"/>
                      <w:b/>
                      <w:bCs/>
                      <w:caps w:val="0"/>
                      <w:color w:val="auto"/>
                      <w:sz w:val="21"/>
                      <w:szCs w:val="21"/>
                      <w:u w:val="none" w:color="auto"/>
                    </w:rPr>
                    <w:t>风险源</w:t>
                  </w:r>
                </w:p>
              </w:tc>
              <w:tc>
                <w:tcPr>
                  <w:tcW w:w="2160" w:type="dxa"/>
                  <w:vAlign w:val="center"/>
                </w:tcPr>
                <w:p w14:paraId="0880D4A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aps w:val="0"/>
                      <w:color w:val="auto"/>
                      <w:sz w:val="21"/>
                      <w:szCs w:val="21"/>
                      <w:u w:val="none" w:color="auto"/>
                    </w:rPr>
                  </w:pPr>
                  <w:r>
                    <w:rPr>
                      <w:rFonts w:hint="eastAsia" w:ascii="Times New Roman" w:hAnsi="Times New Roman" w:eastAsia="宋体" w:cs="Times New Roman"/>
                      <w:b/>
                      <w:bCs/>
                      <w:caps w:val="0"/>
                      <w:color w:val="auto"/>
                      <w:sz w:val="21"/>
                      <w:szCs w:val="21"/>
                      <w:u w:val="none" w:color="auto"/>
                    </w:rPr>
                    <w:t>主要危险物质</w:t>
                  </w:r>
                </w:p>
              </w:tc>
              <w:tc>
                <w:tcPr>
                  <w:tcW w:w="1483" w:type="dxa"/>
                  <w:vAlign w:val="center"/>
                </w:tcPr>
                <w:p w14:paraId="232F3987">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aps w:val="0"/>
                      <w:color w:val="auto"/>
                      <w:sz w:val="21"/>
                      <w:szCs w:val="21"/>
                      <w:u w:val="none" w:color="auto"/>
                    </w:rPr>
                  </w:pPr>
                  <w:r>
                    <w:rPr>
                      <w:rFonts w:hint="eastAsia" w:ascii="Times New Roman" w:hAnsi="Times New Roman" w:eastAsia="宋体" w:cs="Times New Roman"/>
                      <w:b/>
                      <w:bCs/>
                      <w:caps w:val="0"/>
                      <w:color w:val="auto"/>
                      <w:sz w:val="21"/>
                      <w:szCs w:val="21"/>
                      <w:u w:val="none" w:color="auto"/>
                    </w:rPr>
                    <w:t>环境风险类型</w:t>
                  </w:r>
                </w:p>
              </w:tc>
              <w:tc>
                <w:tcPr>
                  <w:tcW w:w="1933" w:type="dxa"/>
                  <w:vAlign w:val="center"/>
                </w:tcPr>
                <w:p w14:paraId="5E571028">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b/>
                      <w:bCs/>
                      <w:caps w:val="0"/>
                      <w:color w:val="auto"/>
                      <w:sz w:val="21"/>
                      <w:szCs w:val="21"/>
                      <w:u w:val="none" w:color="auto"/>
                    </w:rPr>
                  </w:pPr>
                  <w:r>
                    <w:rPr>
                      <w:rFonts w:hint="eastAsia" w:ascii="Times New Roman" w:hAnsi="Times New Roman" w:eastAsia="宋体" w:cs="Times New Roman"/>
                      <w:b/>
                      <w:bCs/>
                      <w:caps w:val="0"/>
                      <w:color w:val="auto"/>
                      <w:sz w:val="21"/>
                      <w:szCs w:val="21"/>
                      <w:u w:val="none" w:color="auto"/>
                    </w:rPr>
                    <w:t>环境影响途径</w:t>
                  </w:r>
                </w:p>
              </w:tc>
            </w:tr>
            <w:tr w14:paraId="7D9C5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78" w:type="dxa"/>
                  <w:vAlign w:val="center"/>
                </w:tcPr>
                <w:p w14:paraId="08A2CED6">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aps w:val="0"/>
                      <w:color w:val="auto"/>
                      <w:sz w:val="21"/>
                      <w:szCs w:val="21"/>
                      <w:u w:val="none" w:color="auto"/>
                    </w:rPr>
                  </w:pPr>
                  <w:r>
                    <w:rPr>
                      <w:rFonts w:hint="default" w:ascii="Times New Roman" w:hAnsi="Times New Roman" w:eastAsia="宋体" w:cs="Times New Roman"/>
                      <w:caps w:val="0"/>
                      <w:color w:val="auto"/>
                      <w:sz w:val="21"/>
                      <w:szCs w:val="21"/>
                      <w:u w:val="none" w:color="auto"/>
                    </w:rPr>
                    <w:t>1</w:t>
                  </w:r>
                </w:p>
              </w:tc>
              <w:tc>
                <w:tcPr>
                  <w:tcW w:w="1902" w:type="dxa"/>
                  <w:vAlign w:val="center"/>
                </w:tcPr>
                <w:p w14:paraId="34D7D06A">
                  <w:pPr>
                    <w:keepNext w:val="0"/>
                    <w:keepLines w:val="0"/>
                    <w:suppressLineNumbers w:val="0"/>
                    <w:spacing w:before="0" w:beforeAutospacing="0" w:after="0" w:afterAutospacing="0" w:line="360" w:lineRule="exact"/>
                    <w:ind w:left="0" w:right="0"/>
                    <w:jc w:val="center"/>
                    <w:rPr>
                      <w:rFonts w:hint="eastAsia" w:ascii="Times New Roman" w:hAnsi="Times New Roman" w:eastAsia="宋体" w:cs="Times New Roman"/>
                      <w:caps w:val="0"/>
                      <w:color w:val="auto"/>
                      <w:sz w:val="21"/>
                      <w:szCs w:val="21"/>
                      <w:u w:val="none" w:color="auto"/>
                      <w:lang w:eastAsia="zh-CN"/>
                    </w:rPr>
                  </w:pPr>
                  <w:r>
                    <w:rPr>
                      <w:rFonts w:hint="eastAsia" w:ascii="Times New Roman" w:hAnsi="Times New Roman" w:eastAsia="宋体" w:cs="Times New Roman"/>
                      <w:caps w:val="0"/>
                      <w:color w:val="auto"/>
                      <w:sz w:val="21"/>
                      <w:szCs w:val="21"/>
                      <w:u w:val="none" w:color="auto"/>
                      <w:lang w:val="en-US" w:eastAsia="zh-CN"/>
                    </w:rPr>
                    <w:t>危险货物集装箱</w:t>
                  </w:r>
                </w:p>
              </w:tc>
              <w:tc>
                <w:tcPr>
                  <w:tcW w:w="2160" w:type="dxa"/>
                  <w:vAlign w:val="center"/>
                </w:tcPr>
                <w:p w14:paraId="350D7F03">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锂电池等危险货物</w:t>
                  </w:r>
                </w:p>
              </w:tc>
              <w:tc>
                <w:tcPr>
                  <w:tcW w:w="1483" w:type="dxa"/>
                  <w:vAlign w:val="center"/>
                </w:tcPr>
                <w:p w14:paraId="127461BD">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泄漏、</w:t>
                  </w:r>
                  <w:r>
                    <w:rPr>
                      <w:rFonts w:hint="eastAsia" w:ascii="Times New Roman" w:hAnsi="Times New Roman" w:eastAsia="宋体" w:cs="Times New Roman"/>
                      <w:caps w:val="0"/>
                      <w:color w:val="auto"/>
                      <w:sz w:val="21"/>
                      <w:szCs w:val="21"/>
                      <w:u w:val="none" w:color="auto"/>
                    </w:rPr>
                    <w:t>火灾</w:t>
                  </w:r>
                </w:p>
              </w:tc>
              <w:tc>
                <w:tcPr>
                  <w:tcW w:w="1933" w:type="dxa"/>
                  <w:vAlign w:val="center"/>
                </w:tcPr>
                <w:p w14:paraId="27FAE3E4">
                  <w:pPr>
                    <w:keepNext w:val="0"/>
                    <w:keepLines w:val="0"/>
                    <w:suppressLineNumbers w:val="0"/>
                    <w:spacing w:before="0" w:beforeAutospacing="0" w:after="0" w:afterAutospacing="0" w:line="360" w:lineRule="exact"/>
                    <w:ind w:left="0" w:right="0"/>
                    <w:jc w:val="center"/>
                    <w:rPr>
                      <w:rFonts w:hint="default" w:ascii="Times New Roman" w:hAnsi="Times New Roman" w:eastAsia="宋体" w:cs="Times New Roman"/>
                      <w:caps w:val="0"/>
                      <w:color w:val="auto"/>
                      <w:sz w:val="21"/>
                      <w:szCs w:val="21"/>
                      <w:u w:val="none" w:color="auto"/>
                    </w:rPr>
                  </w:pPr>
                  <w:r>
                    <w:rPr>
                      <w:rFonts w:hint="eastAsia" w:ascii="Times New Roman" w:hAnsi="Times New Roman" w:eastAsia="宋体" w:cs="Times New Roman"/>
                      <w:caps w:val="0"/>
                      <w:color w:val="auto"/>
                      <w:sz w:val="21"/>
                      <w:szCs w:val="21"/>
                      <w:u w:val="none" w:color="auto"/>
                    </w:rPr>
                    <w:t>地表水、大气</w:t>
                  </w:r>
                </w:p>
              </w:tc>
            </w:tr>
          </w:tbl>
          <w:p w14:paraId="7B168B9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eastAsia="宋体" w:cs="Times New Roman"/>
                <w:b/>
                <w:bCs w:val="0"/>
                <w:color w:val="auto"/>
                <w:kern w:val="0"/>
                <w:sz w:val="24"/>
                <w:highlight w:val="none"/>
                <w:u w:val="none" w:color="auto"/>
                <w:lang w:bidi="ar"/>
              </w:rPr>
            </w:pPr>
            <w:r>
              <w:rPr>
                <w:rFonts w:hint="eastAsia" w:ascii="Times New Roman" w:hAnsi="Times New Roman" w:eastAsia="宋体" w:cs="Times New Roman"/>
                <w:b/>
                <w:bCs w:val="0"/>
                <w:color w:val="auto"/>
                <w:kern w:val="0"/>
                <w:sz w:val="24"/>
                <w:highlight w:val="none"/>
                <w:u w:val="none" w:color="auto"/>
                <w:lang w:val="en-US" w:eastAsia="zh-CN" w:bidi="ar"/>
              </w:rPr>
              <w:t>3、</w:t>
            </w:r>
            <w:r>
              <w:rPr>
                <w:rFonts w:hint="default" w:ascii="Times New Roman" w:hAnsi="Times New Roman" w:eastAsia="宋体" w:cs="Times New Roman"/>
                <w:b/>
                <w:bCs w:val="0"/>
                <w:color w:val="auto"/>
                <w:kern w:val="0"/>
                <w:sz w:val="24"/>
                <w:highlight w:val="none"/>
                <w:u w:val="none" w:color="auto"/>
                <w:lang w:bidi="ar"/>
              </w:rPr>
              <w:t>环境风险分析</w:t>
            </w:r>
          </w:p>
          <w:p w14:paraId="64A34A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val="en-US" w:eastAsia="zh-CN"/>
              </w:rPr>
              <w:t xml:space="preserve">危险货物集装箱泄漏主要可分为箱内泄漏、箱体泄漏等两类情况： </w:t>
            </w:r>
          </w:p>
          <w:p w14:paraId="60F8AD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A.</w:t>
            </w:r>
            <w:r>
              <w:rPr>
                <w:rFonts w:hint="default" w:ascii="Times New Roman" w:hAnsi="Times New Roman" w:eastAsia="宋体" w:cs="Times New Roman"/>
                <w:color w:val="auto"/>
                <w:sz w:val="24"/>
                <w:szCs w:val="24"/>
                <w:highlight w:val="none"/>
                <w:u w:val="none" w:color="auto"/>
                <w:lang w:val="en-US" w:eastAsia="zh-CN"/>
              </w:rPr>
              <w:t xml:space="preserve">因箱内危险货物包装物破损或密封不严导致泄漏（或撒漏）。按箱内危险货物的类别和形态，又可具体划分为以下几种情形： </w:t>
            </w:r>
          </w:p>
          <w:p w14:paraId="337E8E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 xml:space="preserve">1）泄漏的是非粉末状固体危险货物。由于泄漏物仍在箱内，且除个别品种为可自燃物品外，均非易燃易爆、强氧化性物质等，只要未出现结构严重受损，一般不会发生性质相抵触的物质相互接触而发生化学反应的情况； </w:t>
            </w:r>
          </w:p>
          <w:p w14:paraId="694E5D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2）泄漏的是粉末状固体，可能从外包装中漏出，装卸或堆存过程中或泄漏至集装箱外，对人员、环境造成一定危害；或因遇水溶解，造成进一步的环境危害。因相关货物不涉及第6类有毒物质或带有毒性副危险性物质，对人体造成的潜在危害的可能性较低；固体泄漏如不涉及严重环境危害物质、不出现遇水溶解情况，及时清理一般不会出现严重环境危害</w:t>
            </w:r>
            <w:r>
              <w:rPr>
                <w:rFonts w:hint="eastAsia" w:ascii="Times New Roman" w:hAnsi="Times New Roman" w:eastAsia="宋体" w:cs="Times New Roman"/>
                <w:color w:val="auto"/>
                <w:sz w:val="24"/>
                <w:szCs w:val="24"/>
                <w:highlight w:val="none"/>
                <w:u w:val="none" w:color="auto"/>
                <w:lang w:val="en-US" w:eastAsia="zh-CN"/>
              </w:rPr>
              <w:t>；</w:t>
            </w:r>
          </w:p>
          <w:p w14:paraId="2169DF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3）相关货种无可燃性、爆炸性货物，或毒性物质，但在特定条件下，如物质发生分解、燃烧，可能出现局部火灾、导致人员中毒，因箱内局部密闭空间的存在、处理不当甚至也可能发生较小范围的局部爆炸</w:t>
            </w:r>
            <w:r>
              <w:rPr>
                <w:rFonts w:hint="eastAsia"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 xml:space="preserve">爆燃等； </w:t>
            </w:r>
          </w:p>
          <w:p w14:paraId="7EB459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 xml:space="preserve">4）部分第9类危险货物，例如电池类，受到破坏可能泄漏少量腐蚀性液体，可能对箱内、箱外其他货物以及箱体造成腐蚀，造成人员灼伤等事故。 </w:t>
            </w:r>
          </w:p>
          <w:p w14:paraId="5AFEC2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B.</w:t>
            </w:r>
            <w:r>
              <w:rPr>
                <w:rFonts w:hint="default" w:ascii="Times New Roman" w:hAnsi="Times New Roman" w:eastAsia="宋体" w:cs="Times New Roman"/>
                <w:color w:val="auto"/>
                <w:sz w:val="24"/>
                <w:szCs w:val="24"/>
                <w:highlight w:val="none"/>
                <w:u w:val="none" w:color="auto"/>
                <w:lang w:val="en-US" w:eastAsia="zh-CN"/>
              </w:rPr>
              <w:t>若因</w:t>
            </w:r>
            <w:r>
              <w:rPr>
                <w:rFonts w:hint="eastAsia" w:ascii="Times New Roman" w:hAnsi="Times New Roman" w:eastAsia="宋体" w:cs="Times New Roman"/>
                <w:color w:val="auto"/>
                <w:sz w:val="24"/>
                <w:szCs w:val="24"/>
                <w:highlight w:val="none"/>
                <w:u w:val="none" w:color="auto"/>
                <w:lang w:val="en-US" w:eastAsia="zh-CN"/>
              </w:rPr>
              <w:t>集装</w:t>
            </w:r>
            <w:r>
              <w:rPr>
                <w:rFonts w:hint="default" w:ascii="Times New Roman" w:hAnsi="Times New Roman" w:eastAsia="宋体" w:cs="Times New Roman"/>
                <w:color w:val="auto"/>
                <w:sz w:val="24"/>
                <w:szCs w:val="24"/>
                <w:highlight w:val="none"/>
                <w:u w:val="none" w:color="auto"/>
                <w:lang w:val="en-US" w:eastAsia="zh-CN"/>
              </w:rPr>
              <w:t xml:space="preserve">箱体质量问题或操作失误导致箱体破损，可能造成箱内危险货物泄漏。 </w:t>
            </w:r>
          </w:p>
          <w:p w14:paraId="594258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 xml:space="preserve">1）泄漏的是非粉末状固体危险货物，例如锂电池等，若因摔落碰撞受损，可能发生自燃，引起火灾等； </w:t>
            </w:r>
          </w:p>
          <w:p w14:paraId="010F9D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2）泄漏的是粉末状固体，遇</w:t>
            </w:r>
            <w:r>
              <w:rPr>
                <w:rFonts w:hint="eastAsia" w:ascii="Times New Roman" w:hAnsi="Times New Roman" w:eastAsia="宋体" w:cs="Times New Roman"/>
                <w:color w:val="auto"/>
                <w:sz w:val="24"/>
                <w:szCs w:val="24"/>
                <w:highlight w:val="none"/>
                <w:u w:val="none" w:color="auto"/>
                <w:lang w:val="en-US" w:eastAsia="zh-CN"/>
              </w:rPr>
              <w:t>到</w:t>
            </w:r>
            <w:r>
              <w:rPr>
                <w:rFonts w:hint="default" w:ascii="Times New Roman" w:hAnsi="Times New Roman" w:eastAsia="宋体" w:cs="Times New Roman"/>
                <w:color w:val="auto"/>
                <w:sz w:val="24"/>
                <w:szCs w:val="24"/>
                <w:highlight w:val="none"/>
                <w:u w:val="none" w:color="auto"/>
                <w:lang w:val="en-US" w:eastAsia="zh-CN"/>
              </w:rPr>
              <w:t xml:space="preserve">火源，可能引发火灾、产生毒害性气体等； </w:t>
            </w:r>
          </w:p>
          <w:p w14:paraId="5C5D8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 xml:space="preserve">3）泄漏的是环境危害物质，可能危害环境； </w:t>
            </w:r>
          </w:p>
          <w:p w14:paraId="373C2D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危险货物泄漏事故致因，一般可归纳为以下几个方面</w:t>
            </w:r>
            <w:r>
              <w:rPr>
                <w:rFonts w:hint="eastAsia" w:ascii="Times New Roman" w:hAnsi="Times New Roman" w:eastAsia="宋体" w:cs="Times New Roman"/>
                <w:color w:val="auto"/>
                <w:sz w:val="24"/>
                <w:szCs w:val="24"/>
                <w:highlight w:val="none"/>
                <w:u w:val="none" w:color="auto"/>
                <w:lang w:val="en-US" w:eastAsia="zh-CN"/>
              </w:rPr>
              <w:t>：</w:t>
            </w:r>
          </w:p>
          <w:p w14:paraId="4BE2E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A.</w:t>
            </w:r>
            <w:r>
              <w:rPr>
                <w:rFonts w:hint="default" w:ascii="Times New Roman" w:hAnsi="Times New Roman" w:eastAsia="宋体" w:cs="Times New Roman"/>
                <w:color w:val="auto"/>
                <w:sz w:val="24"/>
                <w:szCs w:val="24"/>
                <w:highlight w:val="none"/>
                <w:u w:val="none" w:color="auto"/>
                <w:lang w:val="en-US" w:eastAsia="zh-CN"/>
              </w:rPr>
              <w:t>设备设施原因</w:t>
            </w:r>
          </w:p>
          <w:p w14:paraId="494221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val="en-US" w:eastAsia="zh-CN"/>
              </w:rPr>
              <w:t xml:space="preserve">堆场集装箱龙门吊、正面吊、拖车等存在质量问题或缺陷，如装卸、堆取、水平运输等作业过程中机械出现故障，导致集装箱脱落、倾翻等，造成集装箱损坏，有可能引发泄漏； </w:t>
            </w:r>
          </w:p>
          <w:p w14:paraId="3CBEF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 xml:space="preserve">危险货物集装箱本身存在缺陷，在装卸过程中发生箱体破损也有可能引发泄漏； </w:t>
            </w:r>
          </w:p>
          <w:p w14:paraId="728CE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val="en-US" w:eastAsia="zh-CN"/>
              </w:rPr>
              <w:t xml:space="preserve">装有危险货物集装箱的拖车制动不良，与正在作业的龙门吊发生碰撞，可能导致泄漏； </w:t>
            </w:r>
          </w:p>
          <w:p w14:paraId="6D435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lang w:val="en-US" w:eastAsia="zh-CN"/>
              </w:rPr>
              <w:t xml:space="preserve">堆场防风装置不力，或者存在缺陷，在突发性强阵风或台风作用下，危险货物集装箱可能会被吹落摔坏，造成泄漏等。 </w:t>
            </w:r>
          </w:p>
          <w:p w14:paraId="7BD8B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B.</w:t>
            </w:r>
            <w:r>
              <w:rPr>
                <w:rFonts w:hint="default" w:ascii="Times New Roman" w:hAnsi="Times New Roman" w:eastAsia="宋体" w:cs="Times New Roman"/>
                <w:color w:val="auto"/>
                <w:sz w:val="24"/>
                <w:szCs w:val="24"/>
                <w:highlight w:val="none"/>
                <w:u w:val="none" w:color="auto"/>
                <w:lang w:val="en-US" w:eastAsia="zh-CN"/>
              </w:rPr>
              <w:t xml:space="preserve">人的不安全行为 </w:t>
            </w:r>
          </w:p>
          <w:p w14:paraId="364D9E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val="en-US" w:eastAsia="zh-CN"/>
              </w:rPr>
              <w:t xml:space="preserve">危险货物集装箱运输车辆司机在港区内超速行驶或未遵照安全规程行驶，导致集装箱被甩落或连同车辆侧翻，造成泄漏；或司机因不熟悉港区内行驶路线或疲劳驾驶等原因，使得车辆与其他车辆或堆场上的集装箱发生碰撞，引发泄漏； </w:t>
            </w:r>
          </w:p>
          <w:p w14:paraId="0AEAB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 xml:space="preserve">装卸机械司机违章作业或误操作，使得集装箱与车辆相撞，导致泄漏事故；集装箱吊具悬锁未锁好，或猛拉快提，造成集装箱在起吊、移动过程中被摔落或与堆场上的其他集装箱发生撞击，导致箱受损、危险货物泄漏； </w:t>
            </w:r>
          </w:p>
          <w:p w14:paraId="0E13B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val="en-US" w:eastAsia="zh-CN"/>
              </w:rPr>
              <w:t xml:space="preserve">开箱检查人员违章操作，导致箱内包装物破损，引起泄漏； </w:t>
            </w:r>
          </w:p>
          <w:p w14:paraId="0859D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lang w:val="en-US" w:eastAsia="zh-CN"/>
              </w:rPr>
              <w:t>作业人员不认真执行设备定期检修维护等安全管理规章制度，未能及时发现事故隐患并加以解决等</w:t>
            </w:r>
            <w:r>
              <w:rPr>
                <w:rFonts w:hint="eastAsia" w:ascii="Times New Roman" w:hAnsi="Times New Roman" w:eastAsia="宋体" w:cs="Times New Roman"/>
                <w:color w:val="auto"/>
                <w:sz w:val="24"/>
                <w:szCs w:val="24"/>
                <w:highlight w:val="none"/>
                <w:u w:val="none" w:color="auto"/>
                <w:lang w:val="en-US" w:eastAsia="zh-CN"/>
              </w:rPr>
              <w:t>。</w:t>
            </w:r>
          </w:p>
          <w:p w14:paraId="33C883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（3）</w:t>
            </w:r>
            <w:r>
              <w:rPr>
                <w:rFonts w:hint="default" w:ascii="Times New Roman" w:hAnsi="Times New Roman" w:eastAsia="宋体" w:cs="Times New Roman"/>
                <w:color w:val="auto"/>
                <w:sz w:val="24"/>
                <w:szCs w:val="24"/>
                <w:highlight w:val="none"/>
                <w:u w:val="none" w:color="auto"/>
                <w:lang w:val="en-US" w:eastAsia="zh-CN"/>
              </w:rPr>
              <w:t>相关品种危险货物集装箱在装卸、堆存过程中发生火灾事故的条件有两个：一是存在可燃物品；二是具有足够引发事故的能量，如点火源、高温、有自燃特性的货物品种等</w:t>
            </w:r>
            <w:r>
              <w:rPr>
                <w:rFonts w:hint="eastAsia" w:ascii="Times New Roman" w:hAnsi="Times New Roman" w:eastAsia="宋体" w:cs="Times New Roman"/>
                <w:color w:val="auto"/>
                <w:sz w:val="24"/>
                <w:szCs w:val="24"/>
                <w:highlight w:val="none"/>
                <w:u w:val="none" w:color="auto"/>
                <w:lang w:val="en-US" w:eastAsia="zh-CN"/>
              </w:rPr>
              <w:t>。</w:t>
            </w:r>
          </w:p>
          <w:p w14:paraId="151C90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A.一般而言，危险货物集装箱火灾主要原因包括以下几种：</w:t>
            </w:r>
          </w:p>
          <w:p w14:paraId="0FB3A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1）着火源控制不严 </w:t>
            </w:r>
          </w:p>
          <w:p w14:paraId="20665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着火源来自多个方面，通常可归纳为：现场吸烟、机动车辆排烟带火、雷击、高温热表面、人为破坏、自然灾害、自燃及动火作业等。 </w:t>
            </w:r>
          </w:p>
          <w:p w14:paraId="26B33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2）货物变质 </w:t>
            </w:r>
          </w:p>
          <w:p w14:paraId="4AC15C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有自燃特性的货种，因自身货物品质原因，或久贮变质，可能自燃引发火灾。 </w:t>
            </w:r>
          </w:p>
          <w:p w14:paraId="4C4F0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3）货物受潮、遇水发生反应 </w:t>
            </w:r>
          </w:p>
          <w:p w14:paraId="2149DA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部分品种如鱼粉等遇水受潮后发生缓慢反应，热量积聚后可发生燃烧；第9类锂电池等遇水可能造成电池外短路，导致自燃。 </w:t>
            </w:r>
          </w:p>
          <w:p w14:paraId="1A413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4）包装损坏或不符合要求 </w:t>
            </w:r>
          </w:p>
          <w:p w14:paraId="0424F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危险货物集装箱在装卸、堆存、运输过程中，如果发生箱损事故，或集装箱内的货物本身包装不符合要求，可能发生泄漏，包装若不合格，无法将泄漏物包容在内、造成泄漏物溢出发生反应，导致燃烧等等。 </w:t>
            </w:r>
          </w:p>
          <w:p w14:paraId="127031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5）违反操作规程 </w:t>
            </w:r>
          </w:p>
          <w:p w14:paraId="4EB41D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违反操作规程是导致火灾事故的一个重要原因。如作业人员在危险货物集装箱装卸过程中，违反操作规程，发生强烈碰撞、摔落造成冲击，可导致理化性质不够稳定的危险货物发生化学反应，或造成包装受损，引发燃烧等事故。 </w:t>
            </w:r>
          </w:p>
          <w:p w14:paraId="3BC29D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6）自然条件影响 </w:t>
            </w:r>
          </w:p>
          <w:p w14:paraId="42536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自然条件的影响也是导致堆场发生火灾事故的一个原因。雷击、台风、基础沉降等原因，均有可能导致火灾爆炸事故发生。春秋季节因早晚温差较大，如包装防护不当、未采取防潮措施，货物金属表面可能凝结水，造成电气短路等。 </w:t>
            </w:r>
          </w:p>
          <w:p w14:paraId="4CBAE4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 xml:space="preserve">7）初起火灾扑救不当 </w:t>
            </w:r>
          </w:p>
          <w:p w14:paraId="194EB6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当堆场初起火灾扑救不及时或未按照MSDS（化学品安全技术说明书）要求的应急措施进行，可能造成火势蔓延</w:t>
            </w:r>
            <w:r>
              <w:rPr>
                <w:rFonts w:hint="eastAsia" w:ascii="Times New Roman" w:hAnsi="Times New Roman" w:eastAsia="宋体" w:cs="Times New Roman"/>
                <w:color w:val="auto"/>
                <w:sz w:val="24"/>
                <w:szCs w:val="24"/>
                <w:highlight w:val="none"/>
                <w:u w:val="none" w:color="auto"/>
                <w:lang w:val="en-US" w:eastAsia="zh-CN"/>
              </w:rPr>
              <w:t>。</w:t>
            </w:r>
          </w:p>
          <w:p w14:paraId="2B1947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2）风险后果分析</w:t>
            </w:r>
          </w:p>
          <w:p w14:paraId="6920A0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A.</w:t>
            </w:r>
            <w:r>
              <w:rPr>
                <w:rFonts w:hint="default" w:ascii="Times New Roman" w:hAnsi="Times New Roman" w:eastAsia="宋体" w:cs="Times New Roman"/>
                <w:color w:val="auto"/>
                <w:sz w:val="24"/>
                <w:szCs w:val="24"/>
                <w:highlight w:val="none"/>
                <w:u w:val="none" w:color="auto"/>
              </w:rPr>
              <w:t>大气环境影响后果</w:t>
            </w:r>
          </w:p>
          <w:p w14:paraId="0BEC60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w:t>
            </w:r>
            <w:r>
              <w:rPr>
                <w:rFonts w:hint="default" w:ascii="Times New Roman" w:hAnsi="Times New Roman" w:eastAsia="宋体" w:cs="Times New Roman"/>
                <w:color w:val="auto"/>
                <w:sz w:val="24"/>
                <w:szCs w:val="24"/>
                <w:highlight w:val="none"/>
                <w:u w:val="none" w:color="auto"/>
                <w:lang w:val="en-US" w:eastAsia="zh-CN"/>
              </w:rPr>
              <w:t>部分品种如鱼粉等遇水受潮后发生缓慢反应，热量积聚后可发生燃烧；第9类锂电池等遇水可能造成电池外短路，导致自燃</w:t>
            </w:r>
            <w:r>
              <w:rPr>
                <w:rFonts w:hint="default" w:ascii="Times New Roman" w:hAnsi="Times New Roman" w:eastAsia="宋体" w:cs="Times New Roman"/>
                <w:color w:val="auto"/>
                <w:sz w:val="24"/>
                <w:szCs w:val="24"/>
                <w:highlight w:val="none"/>
                <w:u w:val="none" w:color="auto"/>
              </w:rPr>
              <w:t>，从而造成火灾事故，火灾爆炸次/伴生大气污染物和燃烧废气挥发影响大气环境。火灾事故在放出大量辐射热的同时，还会产生挥发性有机物挥发扩散、燃烧烟气SO</w:t>
            </w:r>
            <w:r>
              <w:rPr>
                <w:rFonts w:hint="default" w:ascii="Times New Roman" w:hAnsi="Times New Roman" w:eastAsia="宋体" w:cs="Times New Roman"/>
                <w:color w:val="auto"/>
                <w:sz w:val="24"/>
                <w:szCs w:val="24"/>
                <w:highlight w:val="none"/>
                <w:u w:val="none" w:color="auto"/>
                <w:vertAlign w:val="subscript"/>
              </w:rPr>
              <w:t>2</w:t>
            </w:r>
            <w:r>
              <w:rPr>
                <w:rFonts w:hint="default" w:ascii="Times New Roman" w:hAnsi="Times New Roman" w:eastAsia="宋体" w:cs="Times New Roman"/>
                <w:color w:val="auto"/>
                <w:sz w:val="24"/>
                <w:szCs w:val="24"/>
                <w:highlight w:val="none"/>
                <w:u w:val="none" w:color="auto"/>
              </w:rPr>
              <w:t>和不完全燃烧产生的CO等物质，从而对项目周围的大气环境质量造成影响，进一步对本项目附近人群生命健康及财产安全造成影响。</w:t>
            </w:r>
          </w:p>
          <w:p w14:paraId="252464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B.</w:t>
            </w:r>
            <w:r>
              <w:rPr>
                <w:rFonts w:hint="default" w:ascii="Times New Roman" w:hAnsi="Times New Roman" w:eastAsia="宋体" w:cs="Times New Roman"/>
                <w:color w:val="auto"/>
                <w:sz w:val="24"/>
                <w:szCs w:val="24"/>
                <w:highlight w:val="none"/>
                <w:u w:val="none" w:color="auto"/>
              </w:rPr>
              <w:t>地表水环境影响后果</w:t>
            </w:r>
          </w:p>
          <w:p w14:paraId="0A3C94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火灾过程中产生含有</w:t>
            </w:r>
            <w:r>
              <w:rPr>
                <w:rFonts w:hint="eastAsia" w:ascii="Times New Roman" w:hAnsi="Times New Roman" w:eastAsia="宋体" w:cs="Times New Roman"/>
                <w:color w:val="auto"/>
                <w:sz w:val="24"/>
                <w:szCs w:val="24"/>
                <w:highlight w:val="none"/>
                <w:u w:val="none" w:color="auto"/>
                <w:lang w:val="en-US" w:eastAsia="zh-CN"/>
              </w:rPr>
              <w:t>各种</w:t>
            </w:r>
            <w:r>
              <w:rPr>
                <w:rFonts w:hint="default" w:ascii="Times New Roman" w:hAnsi="Times New Roman" w:eastAsia="宋体" w:cs="Times New Roman"/>
                <w:color w:val="auto"/>
                <w:sz w:val="24"/>
                <w:szCs w:val="24"/>
                <w:highlight w:val="none"/>
                <w:u w:val="none" w:color="auto"/>
              </w:rPr>
              <w:t>燃烧物质、火灾事故消防废水、事故后清洗废水</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一旦进入水体，可经过地表径流进入附近水体，将会给水环境带来污染。</w:t>
            </w:r>
          </w:p>
          <w:p w14:paraId="3918B92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2" w:firstLineChars="200"/>
              <w:contextualSpacing/>
              <w:textAlignment w:val="auto"/>
              <w:rPr>
                <w:rFonts w:hint="default" w:ascii="Times New Roman" w:hAnsi="Times New Roman" w:eastAsia="宋体" w:cs="Times New Roman"/>
                <w:b/>
                <w:bCs w:val="0"/>
                <w:color w:val="auto"/>
                <w:sz w:val="24"/>
                <w:highlight w:val="none"/>
                <w:u w:val="none" w:color="auto"/>
              </w:rPr>
            </w:pPr>
            <w:r>
              <w:rPr>
                <w:rFonts w:hint="eastAsia" w:ascii="Times New Roman" w:hAnsi="Times New Roman" w:eastAsia="宋体" w:cs="Times New Roman"/>
                <w:b/>
                <w:bCs w:val="0"/>
                <w:color w:val="auto"/>
                <w:kern w:val="0"/>
                <w:sz w:val="24"/>
                <w:highlight w:val="none"/>
                <w:u w:val="none" w:color="auto"/>
                <w:lang w:val="en-US" w:eastAsia="zh-CN" w:bidi="ar"/>
              </w:rPr>
              <w:t>4、</w:t>
            </w:r>
            <w:r>
              <w:rPr>
                <w:rFonts w:hint="default" w:ascii="Times New Roman" w:hAnsi="Times New Roman" w:eastAsia="宋体" w:cs="Times New Roman"/>
                <w:b/>
                <w:bCs w:val="0"/>
                <w:color w:val="auto"/>
                <w:kern w:val="0"/>
                <w:sz w:val="24"/>
                <w:highlight w:val="none"/>
                <w:u w:val="none" w:color="auto"/>
                <w:lang w:eastAsia="zh-CN" w:bidi="ar"/>
              </w:rPr>
              <w:t>环境</w:t>
            </w:r>
            <w:r>
              <w:rPr>
                <w:rFonts w:hint="default" w:ascii="Times New Roman" w:hAnsi="Times New Roman" w:eastAsia="宋体" w:cs="Times New Roman"/>
                <w:b/>
                <w:bCs w:val="0"/>
                <w:color w:val="auto"/>
                <w:kern w:val="0"/>
                <w:sz w:val="24"/>
                <w:highlight w:val="none"/>
                <w:u w:val="none" w:color="auto"/>
                <w:lang w:bidi="ar"/>
              </w:rPr>
              <w:t>风险防范措施</w:t>
            </w:r>
          </w:p>
          <w:p w14:paraId="65402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sz w:val="24"/>
                <w:szCs w:val="24"/>
                <w:highlight w:val="none"/>
                <w:u w:val="single" w:color="auto"/>
                <w:lang w:val="en-US" w:eastAsia="zh-CN"/>
              </w:rPr>
            </w:pPr>
            <w:r>
              <w:rPr>
                <w:rFonts w:hint="eastAsia" w:ascii="Times New Roman" w:hAnsi="Times New Roman" w:eastAsia="宋体" w:cs="Times New Roman"/>
                <w:color w:val="auto"/>
                <w:sz w:val="24"/>
                <w:szCs w:val="24"/>
                <w:highlight w:val="none"/>
                <w:u w:val="single" w:color="auto"/>
                <w:lang w:val="en-US" w:eastAsia="zh-CN"/>
              </w:rPr>
              <w:t>根据现场调查，建设单位按照国家和自治区有关规定要求，对码头原有突发环境事件应急预案进行整合修订，编制完成《广西北部湾国际集装箱码头有限公司突发环境事件应急预案》并送往主管部门进行备案</w:t>
            </w:r>
            <w:r>
              <w:rPr>
                <w:rFonts w:hint="eastAsia" w:cs="Times New Roman"/>
                <w:color w:val="auto"/>
                <w:sz w:val="24"/>
                <w:szCs w:val="24"/>
                <w:highlight w:val="none"/>
                <w:u w:val="single" w:color="auto"/>
                <w:lang w:val="en-US" w:eastAsia="zh-CN"/>
              </w:rPr>
              <w:t>。码头现有消防相关设备设置如下：</w:t>
            </w:r>
          </w:p>
          <w:p w14:paraId="10C143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cs="Times New Roman"/>
                <w:b/>
                <w:bCs/>
                <w:color w:val="auto"/>
                <w:sz w:val="21"/>
                <w:szCs w:val="21"/>
                <w:highlight w:val="none"/>
                <w:u w:val="single" w:color="auto"/>
                <w:lang w:val="en-US" w:eastAsia="zh-CN"/>
              </w:rPr>
            </w:pPr>
            <w:r>
              <w:rPr>
                <w:rFonts w:hint="eastAsia" w:cs="Times New Roman"/>
                <w:b/>
                <w:bCs/>
                <w:color w:val="auto"/>
                <w:sz w:val="21"/>
                <w:szCs w:val="21"/>
                <w:highlight w:val="none"/>
                <w:u w:val="single" w:color="auto"/>
                <w:lang w:val="en-US" w:eastAsia="zh-CN"/>
              </w:rPr>
              <w:t>表4-11仓储应急物资清单</w:t>
            </w:r>
          </w:p>
          <w:tbl>
            <w:tblPr>
              <w:tblStyle w:val="47"/>
              <w:tblW w:w="8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205"/>
              <w:gridCol w:w="1155"/>
              <w:gridCol w:w="795"/>
              <w:gridCol w:w="810"/>
              <w:gridCol w:w="2553"/>
            </w:tblGrid>
            <w:tr w14:paraId="3306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tcPr>
                <w:p w14:paraId="35C30B6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序号</w:t>
                  </w:r>
                </w:p>
              </w:tc>
              <w:tc>
                <w:tcPr>
                  <w:tcW w:w="2205" w:type="dxa"/>
                </w:tcPr>
                <w:p w14:paraId="33213CA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名称</w:t>
                  </w:r>
                </w:p>
              </w:tc>
              <w:tc>
                <w:tcPr>
                  <w:tcW w:w="1155" w:type="dxa"/>
                </w:tcPr>
                <w:p w14:paraId="596ED1A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规格/型号</w:t>
                  </w:r>
                </w:p>
              </w:tc>
              <w:tc>
                <w:tcPr>
                  <w:tcW w:w="795" w:type="dxa"/>
                </w:tcPr>
                <w:p w14:paraId="7C41949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单位</w:t>
                  </w:r>
                </w:p>
              </w:tc>
              <w:tc>
                <w:tcPr>
                  <w:tcW w:w="810" w:type="dxa"/>
                </w:tcPr>
                <w:p w14:paraId="32A2F3D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数量</w:t>
                  </w:r>
                </w:p>
              </w:tc>
              <w:tc>
                <w:tcPr>
                  <w:tcW w:w="2553" w:type="dxa"/>
                </w:tcPr>
                <w:p w14:paraId="355E81F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single" w:color="auto"/>
                      <w:lang w:val="en-US" w:eastAsia="zh-CN"/>
                    </w:rPr>
                  </w:pPr>
                  <w:r>
                    <w:rPr>
                      <w:rFonts w:hint="eastAsia" w:ascii="Times New Roman" w:hAnsi="Times New Roman" w:eastAsia="宋体" w:cs="Times New Roman"/>
                      <w:b/>
                      <w:bCs/>
                      <w:color w:val="auto"/>
                      <w:sz w:val="21"/>
                      <w:szCs w:val="21"/>
                      <w:highlight w:val="none"/>
                      <w:u w:val="single" w:color="auto"/>
                      <w:lang w:val="en-US" w:eastAsia="zh-CN"/>
                    </w:rPr>
                    <w:t>存放位置</w:t>
                  </w:r>
                </w:p>
              </w:tc>
            </w:tr>
            <w:tr w14:paraId="4812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63EB8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 </w:t>
                  </w:r>
                </w:p>
              </w:tc>
              <w:tc>
                <w:tcPr>
                  <w:tcW w:w="2205" w:type="dxa"/>
                  <w:shd w:val="clear" w:color="auto" w:fill="auto"/>
                  <w:vAlign w:val="center"/>
                </w:tcPr>
                <w:p w14:paraId="14CB4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室外消防栓</w:t>
                  </w:r>
                </w:p>
              </w:tc>
              <w:tc>
                <w:tcPr>
                  <w:tcW w:w="1155" w:type="dxa"/>
                  <w:shd w:val="clear" w:color="auto" w:fill="auto"/>
                  <w:vAlign w:val="top"/>
                </w:tcPr>
                <w:p w14:paraId="3CC358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SS100/65-1.6</w:t>
                  </w:r>
                  <w:r>
                    <w:rPr>
                      <w:rFonts w:hint="default" w:ascii="Times New Roman" w:hAnsi="Times New Roman" w:eastAsia="宋体" w:cs="Times New Roman"/>
                      <w:i w:val="0"/>
                      <w:iCs w:val="0"/>
                      <w:color w:val="auto"/>
                      <w:kern w:val="0"/>
                      <w:sz w:val="21"/>
                      <w:szCs w:val="21"/>
                      <w:u w:val="single" w:color="auto"/>
                      <w:lang w:val="en-US" w:eastAsia="zh-CN" w:bidi="ar"/>
                    </w:rPr>
                    <w:t>型</w:t>
                  </w:r>
                </w:p>
              </w:tc>
              <w:tc>
                <w:tcPr>
                  <w:tcW w:w="795" w:type="dxa"/>
                  <w:shd w:val="clear" w:color="auto" w:fill="auto"/>
                  <w:vAlign w:val="center"/>
                </w:tcPr>
                <w:p w14:paraId="0DA20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个</w:t>
                  </w:r>
                </w:p>
              </w:tc>
              <w:tc>
                <w:tcPr>
                  <w:tcW w:w="810" w:type="dxa"/>
                  <w:shd w:val="clear" w:color="auto" w:fill="auto"/>
                  <w:vAlign w:val="center"/>
                </w:tcPr>
                <w:p w14:paraId="14D6C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94 </w:t>
                  </w:r>
                </w:p>
              </w:tc>
              <w:tc>
                <w:tcPr>
                  <w:tcW w:w="2553" w:type="dxa"/>
                  <w:shd w:val="clear" w:color="auto" w:fill="auto"/>
                  <w:vAlign w:val="center"/>
                </w:tcPr>
                <w:p w14:paraId="17088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1#-6#</w:t>
                  </w:r>
                  <w:r>
                    <w:rPr>
                      <w:rFonts w:hint="default" w:ascii="Times New Roman" w:hAnsi="Times New Roman" w:eastAsia="宋体" w:cs="Times New Roman"/>
                      <w:i w:val="0"/>
                      <w:iCs w:val="0"/>
                      <w:color w:val="auto"/>
                      <w:kern w:val="0"/>
                      <w:sz w:val="21"/>
                      <w:szCs w:val="21"/>
                      <w:u w:val="single" w:color="auto"/>
                      <w:lang w:val="en-US" w:eastAsia="zh-CN" w:bidi="ar"/>
                    </w:rPr>
                    <w:t>泊位堆场、码头前沿、仓库周边、加油站</w:t>
                  </w:r>
                </w:p>
              </w:tc>
            </w:tr>
            <w:tr w14:paraId="08DF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2DAF0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2 </w:t>
                  </w:r>
                </w:p>
              </w:tc>
              <w:tc>
                <w:tcPr>
                  <w:tcW w:w="2205" w:type="dxa"/>
                  <w:shd w:val="clear" w:color="auto" w:fill="auto"/>
                  <w:vAlign w:val="center"/>
                </w:tcPr>
                <w:p w14:paraId="2FF51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室内箱式消防栓</w:t>
                  </w:r>
                </w:p>
              </w:tc>
              <w:tc>
                <w:tcPr>
                  <w:tcW w:w="1155" w:type="dxa"/>
                  <w:shd w:val="clear" w:color="auto" w:fill="auto"/>
                  <w:vAlign w:val="center"/>
                </w:tcPr>
                <w:p w14:paraId="2BEFF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SN65</w:t>
                  </w:r>
                </w:p>
              </w:tc>
              <w:tc>
                <w:tcPr>
                  <w:tcW w:w="795" w:type="dxa"/>
                  <w:shd w:val="clear" w:color="auto" w:fill="auto"/>
                  <w:vAlign w:val="center"/>
                </w:tcPr>
                <w:p w14:paraId="32EC6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个</w:t>
                  </w:r>
                </w:p>
              </w:tc>
              <w:tc>
                <w:tcPr>
                  <w:tcW w:w="810" w:type="dxa"/>
                  <w:shd w:val="clear" w:color="auto" w:fill="auto"/>
                  <w:vAlign w:val="center"/>
                </w:tcPr>
                <w:p w14:paraId="050F3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98 </w:t>
                  </w:r>
                </w:p>
              </w:tc>
              <w:tc>
                <w:tcPr>
                  <w:tcW w:w="2553" w:type="dxa"/>
                  <w:shd w:val="clear" w:color="auto" w:fill="auto"/>
                  <w:vAlign w:val="center"/>
                </w:tcPr>
                <w:p w14:paraId="18F07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 xml:space="preserve">3-1 </w:t>
                  </w:r>
                  <w:r>
                    <w:rPr>
                      <w:rFonts w:hint="default" w:ascii="Times New Roman" w:hAnsi="Times New Roman" w:eastAsia="宋体" w:cs="Times New Roman"/>
                      <w:i w:val="0"/>
                      <w:iCs w:val="0"/>
                      <w:color w:val="auto"/>
                      <w:kern w:val="0"/>
                      <w:sz w:val="21"/>
                      <w:szCs w:val="21"/>
                      <w:u w:val="single" w:color="auto"/>
                      <w:lang w:val="en-US" w:eastAsia="zh-CN" w:bidi="ar"/>
                    </w:rPr>
                    <w:t>仓库、</w:t>
                  </w:r>
                  <w:r>
                    <w:rPr>
                      <w:rStyle w:val="163"/>
                      <w:rFonts w:ascii="Times New Roman" w:hAnsi="Times New Roman" w:eastAsia="宋体" w:cs="Times New Roman"/>
                      <w:color w:val="auto"/>
                      <w:sz w:val="21"/>
                      <w:szCs w:val="21"/>
                      <w:u w:val="single" w:color="auto"/>
                      <w:lang w:val="en-US" w:eastAsia="zh-CN" w:bidi="ar"/>
                    </w:rPr>
                    <w:t xml:space="preserve">7-1 </w:t>
                  </w:r>
                  <w:r>
                    <w:rPr>
                      <w:rFonts w:hint="default" w:ascii="Times New Roman" w:hAnsi="Times New Roman" w:eastAsia="宋体" w:cs="Times New Roman"/>
                      <w:i w:val="0"/>
                      <w:iCs w:val="0"/>
                      <w:color w:val="auto"/>
                      <w:kern w:val="0"/>
                      <w:sz w:val="21"/>
                      <w:szCs w:val="21"/>
                      <w:u w:val="single" w:color="auto"/>
                      <w:lang w:val="en-US" w:eastAsia="zh-CN" w:bidi="ar"/>
                    </w:rPr>
                    <w:t>仓库、</w:t>
                  </w:r>
                  <w:r>
                    <w:rPr>
                      <w:rStyle w:val="163"/>
                      <w:rFonts w:ascii="Times New Roman" w:hAnsi="Times New Roman" w:eastAsia="宋体" w:cs="Times New Roman"/>
                      <w:color w:val="auto"/>
                      <w:sz w:val="21"/>
                      <w:szCs w:val="21"/>
                      <w:u w:val="single" w:color="auto"/>
                      <w:lang w:val="en-US" w:eastAsia="zh-CN" w:bidi="ar"/>
                    </w:rPr>
                    <w:t xml:space="preserve">8-1 </w:t>
                  </w:r>
                  <w:r>
                    <w:rPr>
                      <w:rFonts w:hint="default" w:ascii="Times New Roman" w:hAnsi="Times New Roman" w:eastAsia="宋体" w:cs="Times New Roman"/>
                      <w:i w:val="0"/>
                      <w:iCs w:val="0"/>
                      <w:color w:val="auto"/>
                      <w:kern w:val="0"/>
                      <w:sz w:val="21"/>
                      <w:szCs w:val="21"/>
                      <w:u w:val="single" w:color="auto"/>
                      <w:lang w:val="en-US" w:eastAsia="zh-CN" w:bidi="ar"/>
                    </w:rPr>
                    <w:t>仓库、维修仓库</w:t>
                  </w:r>
                </w:p>
              </w:tc>
            </w:tr>
            <w:tr w14:paraId="2FBB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0CBC4C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3 </w:t>
                  </w:r>
                </w:p>
              </w:tc>
              <w:tc>
                <w:tcPr>
                  <w:tcW w:w="2205" w:type="dxa"/>
                  <w:shd w:val="clear" w:color="auto" w:fill="auto"/>
                  <w:vAlign w:val="center"/>
                </w:tcPr>
                <w:p w14:paraId="5AEAC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消防水带</w:t>
                  </w:r>
                </w:p>
              </w:tc>
              <w:tc>
                <w:tcPr>
                  <w:tcW w:w="1155" w:type="dxa"/>
                  <w:shd w:val="clear" w:color="auto" w:fill="auto"/>
                  <w:vAlign w:val="center"/>
                </w:tcPr>
                <w:p w14:paraId="0E7A5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6.5cm</w:t>
                  </w:r>
                </w:p>
              </w:tc>
              <w:tc>
                <w:tcPr>
                  <w:tcW w:w="795" w:type="dxa"/>
                  <w:shd w:val="clear" w:color="auto" w:fill="auto"/>
                  <w:vAlign w:val="center"/>
                </w:tcPr>
                <w:p w14:paraId="0AC322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条</w:t>
                  </w:r>
                </w:p>
              </w:tc>
              <w:tc>
                <w:tcPr>
                  <w:tcW w:w="810" w:type="dxa"/>
                  <w:shd w:val="clear" w:color="auto" w:fill="auto"/>
                  <w:vAlign w:val="center"/>
                </w:tcPr>
                <w:p w14:paraId="14463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180 </w:t>
                  </w:r>
                </w:p>
              </w:tc>
              <w:tc>
                <w:tcPr>
                  <w:tcW w:w="2553" w:type="dxa"/>
                  <w:shd w:val="clear" w:color="auto" w:fill="auto"/>
                  <w:vAlign w:val="center"/>
                </w:tcPr>
                <w:p w14:paraId="7616C0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 xml:space="preserve">3-1 </w:t>
                  </w:r>
                  <w:r>
                    <w:rPr>
                      <w:rFonts w:hint="default" w:ascii="Times New Roman" w:hAnsi="Times New Roman" w:eastAsia="宋体" w:cs="Times New Roman"/>
                      <w:i w:val="0"/>
                      <w:iCs w:val="0"/>
                      <w:color w:val="auto"/>
                      <w:kern w:val="0"/>
                      <w:sz w:val="21"/>
                      <w:szCs w:val="21"/>
                      <w:u w:val="single" w:color="auto"/>
                      <w:lang w:val="en-US" w:eastAsia="zh-CN" w:bidi="ar"/>
                    </w:rPr>
                    <w:t>仓库、</w:t>
                  </w:r>
                  <w:r>
                    <w:rPr>
                      <w:rStyle w:val="163"/>
                      <w:rFonts w:ascii="Times New Roman" w:hAnsi="Times New Roman" w:eastAsia="宋体" w:cs="Times New Roman"/>
                      <w:color w:val="auto"/>
                      <w:sz w:val="21"/>
                      <w:szCs w:val="21"/>
                      <w:u w:val="single" w:color="auto"/>
                      <w:lang w:val="en-US" w:eastAsia="zh-CN" w:bidi="ar"/>
                    </w:rPr>
                    <w:t xml:space="preserve">7-1 </w:t>
                  </w:r>
                  <w:r>
                    <w:rPr>
                      <w:rFonts w:hint="default" w:ascii="Times New Roman" w:hAnsi="Times New Roman" w:eastAsia="宋体" w:cs="Times New Roman"/>
                      <w:i w:val="0"/>
                      <w:iCs w:val="0"/>
                      <w:color w:val="auto"/>
                      <w:kern w:val="0"/>
                      <w:sz w:val="21"/>
                      <w:szCs w:val="21"/>
                      <w:u w:val="single" w:color="auto"/>
                      <w:lang w:val="en-US" w:eastAsia="zh-CN" w:bidi="ar"/>
                    </w:rPr>
                    <w:t>仓库、</w:t>
                  </w:r>
                  <w:r>
                    <w:rPr>
                      <w:rStyle w:val="163"/>
                      <w:rFonts w:ascii="Times New Roman" w:hAnsi="Times New Roman" w:eastAsia="宋体" w:cs="Times New Roman"/>
                      <w:color w:val="auto"/>
                      <w:sz w:val="21"/>
                      <w:szCs w:val="21"/>
                      <w:u w:val="single" w:color="auto"/>
                      <w:lang w:val="en-US" w:eastAsia="zh-CN" w:bidi="ar"/>
                    </w:rPr>
                    <w:t xml:space="preserve">8-1 </w:t>
                  </w:r>
                  <w:r>
                    <w:rPr>
                      <w:rFonts w:hint="default" w:ascii="Times New Roman" w:hAnsi="Times New Roman" w:eastAsia="宋体" w:cs="Times New Roman"/>
                      <w:i w:val="0"/>
                      <w:iCs w:val="0"/>
                      <w:color w:val="auto"/>
                      <w:kern w:val="0"/>
                      <w:sz w:val="21"/>
                      <w:szCs w:val="21"/>
                      <w:u w:val="single" w:color="auto"/>
                      <w:lang w:val="en-US" w:eastAsia="zh-CN" w:bidi="ar"/>
                    </w:rPr>
                    <w:t>仓库、维修仓库、堆场</w:t>
                  </w:r>
                </w:p>
              </w:tc>
            </w:tr>
            <w:tr w14:paraId="1690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38D69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4 </w:t>
                  </w:r>
                </w:p>
              </w:tc>
              <w:tc>
                <w:tcPr>
                  <w:tcW w:w="2205" w:type="dxa"/>
                  <w:shd w:val="clear" w:color="auto" w:fill="auto"/>
                  <w:vAlign w:val="center"/>
                </w:tcPr>
                <w:p w14:paraId="699AA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消防水枪</w:t>
                  </w:r>
                </w:p>
              </w:tc>
              <w:tc>
                <w:tcPr>
                  <w:tcW w:w="1155" w:type="dxa"/>
                  <w:shd w:val="clear" w:color="auto" w:fill="auto"/>
                  <w:vAlign w:val="center"/>
                </w:tcPr>
                <w:p w14:paraId="3B84E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直流 </w:t>
                  </w:r>
                  <w:r>
                    <w:rPr>
                      <w:rStyle w:val="163"/>
                      <w:rFonts w:ascii="Times New Roman" w:hAnsi="Times New Roman" w:eastAsia="宋体" w:cs="Times New Roman"/>
                      <w:color w:val="auto"/>
                      <w:sz w:val="21"/>
                      <w:szCs w:val="21"/>
                      <w:u w:val="single" w:color="auto"/>
                      <w:lang w:val="en-US" w:eastAsia="zh-CN" w:bidi="ar"/>
                    </w:rPr>
                    <w:t>6.5cm</w:t>
                  </w:r>
                </w:p>
              </w:tc>
              <w:tc>
                <w:tcPr>
                  <w:tcW w:w="795" w:type="dxa"/>
                  <w:shd w:val="clear" w:color="auto" w:fill="auto"/>
                  <w:vAlign w:val="center"/>
                </w:tcPr>
                <w:p w14:paraId="11AA0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个</w:t>
                  </w:r>
                </w:p>
              </w:tc>
              <w:tc>
                <w:tcPr>
                  <w:tcW w:w="810" w:type="dxa"/>
                  <w:shd w:val="clear" w:color="auto" w:fill="auto"/>
                  <w:vAlign w:val="center"/>
                </w:tcPr>
                <w:p w14:paraId="0BA73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150 </w:t>
                  </w:r>
                </w:p>
              </w:tc>
              <w:tc>
                <w:tcPr>
                  <w:tcW w:w="2553" w:type="dxa"/>
                  <w:shd w:val="clear" w:color="auto" w:fill="auto"/>
                  <w:vAlign w:val="center"/>
                </w:tcPr>
                <w:p w14:paraId="2CC91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 xml:space="preserve">3-1 </w:t>
                  </w:r>
                  <w:r>
                    <w:rPr>
                      <w:rFonts w:hint="default" w:ascii="Times New Roman" w:hAnsi="Times New Roman" w:eastAsia="宋体" w:cs="Times New Roman"/>
                      <w:i w:val="0"/>
                      <w:iCs w:val="0"/>
                      <w:color w:val="auto"/>
                      <w:kern w:val="0"/>
                      <w:sz w:val="21"/>
                      <w:szCs w:val="21"/>
                      <w:u w:val="single" w:color="auto"/>
                      <w:lang w:val="en-US" w:eastAsia="zh-CN" w:bidi="ar"/>
                    </w:rPr>
                    <w:t>仓库、</w:t>
                  </w:r>
                  <w:r>
                    <w:rPr>
                      <w:rStyle w:val="163"/>
                      <w:rFonts w:ascii="Times New Roman" w:hAnsi="Times New Roman" w:eastAsia="宋体" w:cs="Times New Roman"/>
                      <w:color w:val="auto"/>
                      <w:sz w:val="21"/>
                      <w:szCs w:val="21"/>
                      <w:u w:val="single" w:color="auto"/>
                      <w:lang w:val="en-US" w:eastAsia="zh-CN" w:bidi="ar"/>
                    </w:rPr>
                    <w:t xml:space="preserve">7-1 </w:t>
                  </w:r>
                  <w:r>
                    <w:rPr>
                      <w:rFonts w:hint="default" w:ascii="Times New Roman" w:hAnsi="Times New Roman" w:eastAsia="宋体" w:cs="Times New Roman"/>
                      <w:i w:val="0"/>
                      <w:iCs w:val="0"/>
                      <w:color w:val="auto"/>
                      <w:kern w:val="0"/>
                      <w:sz w:val="21"/>
                      <w:szCs w:val="21"/>
                      <w:u w:val="single" w:color="auto"/>
                      <w:lang w:val="en-US" w:eastAsia="zh-CN" w:bidi="ar"/>
                    </w:rPr>
                    <w:t>仓库、</w:t>
                  </w:r>
                  <w:r>
                    <w:rPr>
                      <w:rStyle w:val="163"/>
                      <w:rFonts w:ascii="Times New Roman" w:hAnsi="Times New Roman" w:eastAsia="宋体" w:cs="Times New Roman"/>
                      <w:color w:val="auto"/>
                      <w:sz w:val="21"/>
                      <w:szCs w:val="21"/>
                      <w:u w:val="single" w:color="auto"/>
                      <w:lang w:val="en-US" w:eastAsia="zh-CN" w:bidi="ar"/>
                    </w:rPr>
                    <w:t xml:space="preserve">8-1 </w:t>
                  </w:r>
                  <w:r>
                    <w:rPr>
                      <w:rFonts w:hint="default" w:ascii="Times New Roman" w:hAnsi="Times New Roman" w:eastAsia="宋体" w:cs="Times New Roman"/>
                      <w:i w:val="0"/>
                      <w:iCs w:val="0"/>
                      <w:color w:val="auto"/>
                      <w:kern w:val="0"/>
                      <w:sz w:val="21"/>
                      <w:szCs w:val="21"/>
                      <w:u w:val="single" w:color="auto"/>
                      <w:lang w:val="en-US" w:eastAsia="zh-CN" w:bidi="ar"/>
                    </w:rPr>
                    <w:t>仓库、维修仓库、堆场</w:t>
                  </w:r>
                </w:p>
              </w:tc>
            </w:tr>
            <w:tr w14:paraId="1C88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01675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5 </w:t>
                  </w:r>
                </w:p>
              </w:tc>
              <w:tc>
                <w:tcPr>
                  <w:tcW w:w="2205" w:type="dxa"/>
                  <w:shd w:val="clear" w:color="auto" w:fill="auto"/>
                  <w:vAlign w:val="center"/>
                </w:tcPr>
                <w:p w14:paraId="6A5C3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干粉灭火器</w:t>
                  </w:r>
                </w:p>
              </w:tc>
              <w:tc>
                <w:tcPr>
                  <w:tcW w:w="1155" w:type="dxa"/>
                  <w:shd w:val="clear" w:color="auto" w:fill="auto"/>
                  <w:vAlign w:val="center"/>
                </w:tcPr>
                <w:p w14:paraId="615CC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4kg</w:t>
                  </w:r>
                </w:p>
              </w:tc>
              <w:tc>
                <w:tcPr>
                  <w:tcW w:w="795" w:type="dxa"/>
                  <w:shd w:val="clear" w:color="auto" w:fill="auto"/>
                  <w:vAlign w:val="center"/>
                </w:tcPr>
                <w:p w14:paraId="00CB71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具</w:t>
                  </w:r>
                </w:p>
              </w:tc>
              <w:tc>
                <w:tcPr>
                  <w:tcW w:w="810" w:type="dxa"/>
                  <w:shd w:val="clear" w:color="auto" w:fill="auto"/>
                  <w:vAlign w:val="center"/>
                </w:tcPr>
                <w:p w14:paraId="68A565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730 </w:t>
                  </w:r>
                </w:p>
              </w:tc>
              <w:tc>
                <w:tcPr>
                  <w:tcW w:w="2553" w:type="dxa"/>
                  <w:shd w:val="clear" w:color="auto" w:fill="auto"/>
                  <w:vAlign w:val="center"/>
                </w:tcPr>
                <w:p w14:paraId="3904E2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各班组、大型机械设备</w:t>
                  </w:r>
                  <w:r>
                    <w:rPr>
                      <w:rFonts w:hint="eastAsia" w:ascii="Times New Roman" w:hAnsi="Times New Roman" w:eastAsia="宋体" w:cs="Times New Roman"/>
                      <w:i w:val="0"/>
                      <w:iCs w:val="0"/>
                      <w:color w:val="auto"/>
                      <w:kern w:val="0"/>
                      <w:sz w:val="21"/>
                      <w:szCs w:val="21"/>
                      <w:u w:val="single" w:color="auto"/>
                      <w:lang w:val="en-US" w:eastAsia="zh-CN" w:bidi="ar"/>
                    </w:rPr>
                    <w:t>、</w:t>
                  </w:r>
                  <w:r>
                    <w:rPr>
                      <w:rFonts w:hint="default" w:ascii="Times New Roman" w:hAnsi="Times New Roman" w:eastAsia="宋体" w:cs="Times New Roman"/>
                      <w:i w:val="0"/>
                      <w:iCs w:val="0"/>
                      <w:color w:val="auto"/>
                      <w:kern w:val="0"/>
                      <w:sz w:val="21"/>
                      <w:szCs w:val="21"/>
                      <w:u w:val="single" w:color="auto"/>
                      <w:lang w:val="en-US" w:eastAsia="zh-CN" w:bidi="ar"/>
                    </w:rPr>
                    <w:t>仓库</w:t>
                  </w:r>
                </w:p>
              </w:tc>
            </w:tr>
            <w:tr w14:paraId="43C1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499B9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6 </w:t>
                  </w:r>
                </w:p>
              </w:tc>
              <w:tc>
                <w:tcPr>
                  <w:tcW w:w="2205" w:type="dxa"/>
                  <w:shd w:val="clear" w:color="auto" w:fill="auto"/>
                  <w:vAlign w:val="center"/>
                </w:tcPr>
                <w:p w14:paraId="58811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二氧化碳灭火器</w:t>
                  </w:r>
                </w:p>
              </w:tc>
              <w:tc>
                <w:tcPr>
                  <w:tcW w:w="1155" w:type="dxa"/>
                  <w:shd w:val="clear" w:color="auto" w:fill="auto"/>
                  <w:vAlign w:val="center"/>
                </w:tcPr>
                <w:p w14:paraId="72A001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5kg</w:t>
                  </w:r>
                </w:p>
              </w:tc>
              <w:tc>
                <w:tcPr>
                  <w:tcW w:w="795" w:type="dxa"/>
                  <w:shd w:val="clear" w:color="auto" w:fill="auto"/>
                  <w:vAlign w:val="center"/>
                </w:tcPr>
                <w:p w14:paraId="458FA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具</w:t>
                  </w:r>
                </w:p>
              </w:tc>
              <w:tc>
                <w:tcPr>
                  <w:tcW w:w="810" w:type="dxa"/>
                  <w:shd w:val="clear" w:color="auto" w:fill="auto"/>
                  <w:vAlign w:val="center"/>
                </w:tcPr>
                <w:p w14:paraId="6AF97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180 </w:t>
                  </w:r>
                </w:p>
              </w:tc>
              <w:tc>
                <w:tcPr>
                  <w:tcW w:w="2553" w:type="dxa"/>
                  <w:shd w:val="clear" w:color="auto" w:fill="auto"/>
                  <w:vAlign w:val="center"/>
                </w:tcPr>
                <w:p w14:paraId="21DA0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岸桥、轨道式场桥、配电房、冷箱场、</w:t>
                  </w:r>
                </w:p>
              </w:tc>
            </w:tr>
            <w:tr w14:paraId="5AC2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4F6F64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7 </w:t>
                  </w:r>
                </w:p>
              </w:tc>
              <w:tc>
                <w:tcPr>
                  <w:tcW w:w="2205" w:type="dxa"/>
                  <w:shd w:val="clear" w:color="auto" w:fill="auto"/>
                  <w:vAlign w:val="center"/>
                </w:tcPr>
                <w:p w14:paraId="30B4D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二氧化碳灭火器</w:t>
                  </w:r>
                </w:p>
              </w:tc>
              <w:tc>
                <w:tcPr>
                  <w:tcW w:w="1155" w:type="dxa"/>
                  <w:shd w:val="clear" w:color="auto" w:fill="auto"/>
                  <w:vAlign w:val="center"/>
                </w:tcPr>
                <w:p w14:paraId="7E314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3kg</w:t>
                  </w:r>
                </w:p>
              </w:tc>
              <w:tc>
                <w:tcPr>
                  <w:tcW w:w="795" w:type="dxa"/>
                  <w:shd w:val="clear" w:color="auto" w:fill="auto"/>
                  <w:vAlign w:val="center"/>
                </w:tcPr>
                <w:p w14:paraId="0FF5F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具</w:t>
                  </w:r>
                </w:p>
              </w:tc>
              <w:tc>
                <w:tcPr>
                  <w:tcW w:w="810" w:type="dxa"/>
                  <w:shd w:val="clear" w:color="auto" w:fill="auto"/>
                  <w:vAlign w:val="center"/>
                </w:tcPr>
                <w:p w14:paraId="454C6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140 </w:t>
                  </w:r>
                </w:p>
              </w:tc>
              <w:tc>
                <w:tcPr>
                  <w:tcW w:w="2553" w:type="dxa"/>
                  <w:shd w:val="clear" w:color="auto" w:fill="auto"/>
                  <w:vAlign w:val="center"/>
                </w:tcPr>
                <w:p w14:paraId="50785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轮胎式场桥</w:t>
                  </w:r>
                </w:p>
              </w:tc>
            </w:tr>
            <w:tr w14:paraId="2E46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67067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8 </w:t>
                  </w:r>
                </w:p>
              </w:tc>
              <w:tc>
                <w:tcPr>
                  <w:tcW w:w="2205" w:type="dxa"/>
                  <w:shd w:val="clear" w:color="auto" w:fill="auto"/>
                  <w:vAlign w:val="center"/>
                </w:tcPr>
                <w:p w14:paraId="0D0E36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手推式干粉灭火器</w:t>
                  </w:r>
                </w:p>
              </w:tc>
              <w:tc>
                <w:tcPr>
                  <w:tcW w:w="1155" w:type="dxa"/>
                  <w:shd w:val="clear" w:color="auto" w:fill="auto"/>
                  <w:vAlign w:val="center"/>
                </w:tcPr>
                <w:p w14:paraId="67C52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30kg</w:t>
                  </w:r>
                </w:p>
              </w:tc>
              <w:tc>
                <w:tcPr>
                  <w:tcW w:w="795" w:type="dxa"/>
                  <w:shd w:val="clear" w:color="auto" w:fill="auto"/>
                  <w:vAlign w:val="center"/>
                </w:tcPr>
                <w:p w14:paraId="6F518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具</w:t>
                  </w:r>
                </w:p>
              </w:tc>
              <w:tc>
                <w:tcPr>
                  <w:tcW w:w="810" w:type="dxa"/>
                  <w:shd w:val="clear" w:color="auto" w:fill="auto"/>
                  <w:vAlign w:val="center"/>
                </w:tcPr>
                <w:p w14:paraId="1A700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25 </w:t>
                  </w:r>
                </w:p>
              </w:tc>
              <w:tc>
                <w:tcPr>
                  <w:tcW w:w="2553" w:type="dxa"/>
                  <w:shd w:val="clear" w:color="auto" w:fill="auto"/>
                  <w:vAlign w:val="center"/>
                </w:tcPr>
                <w:p w14:paraId="56F37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配电房、加油站</w:t>
                  </w:r>
                </w:p>
              </w:tc>
            </w:tr>
            <w:tr w14:paraId="02DD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64B943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9 </w:t>
                  </w:r>
                </w:p>
              </w:tc>
              <w:tc>
                <w:tcPr>
                  <w:tcW w:w="2205" w:type="dxa"/>
                  <w:shd w:val="clear" w:color="auto" w:fill="auto"/>
                  <w:vAlign w:val="center"/>
                </w:tcPr>
                <w:p w14:paraId="5EE0A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消防沙池</w:t>
                  </w:r>
                </w:p>
              </w:tc>
              <w:tc>
                <w:tcPr>
                  <w:tcW w:w="1155" w:type="dxa"/>
                  <w:shd w:val="clear" w:color="auto" w:fill="auto"/>
                  <w:vAlign w:val="center"/>
                </w:tcPr>
                <w:p w14:paraId="09FB54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1.5m</w:t>
                  </w:r>
                  <w:r>
                    <w:rPr>
                      <w:rStyle w:val="164"/>
                      <w:rFonts w:ascii="Times New Roman" w:hAnsi="Times New Roman" w:eastAsia="宋体" w:cs="Times New Roman"/>
                      <w:color w:val="auto"/>
                      <w:sz w:val="21"/>
                      <w:szCs w:val="21"/>
                      <w:u w:val="single" w:color="auto"/>
                      <w:lang w:val="en-US" w:eastAsia="zh-CN" w:bidi="ar"/>
                    </w:rPr>
                    <w:t>3</w:t>
                  </w:r>
                </w:p>
              </w:tc>
              <w:tc>
                <w:tcPr>
                  <w:tcW w:w="795" w:type="dxa"/>
                  <w:shd w:val="clear" w:color="auto" w:fill="auto"/>
                  <w:vAlign w:val="center"/>
                </w:tcPr>
                <w:p w14:paraId="0ADA1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个</w:t>
                  </w:r>
                </w:p>
              </w:tc>
              <w:tc>
                <w:tcPr>
                  <w:tcW w:w="810" w:type="dxa"/>
                  <w:shd w:val="clear" w:color="auto" w:fill="auto"/>
                  <w:vAlign w:val="center"/>
                </w:tcPr>
                <w:p w14:paraId="2D05FE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8 </w:t>
                  </w:r>
                </w:p>
              </w:tc>
              <w:tc>
                <w:tcPr>
                  <w:tcW w:w="2553" w:type="dxa"/>
                  <w:shd w:val="clear" w:color="auto" w:fill="auto"/>
                  <w:vAlign w:val="center"/>
                </w:tcPr>
                <w:p w14:paraId="674FE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码头及后方堆场</w:t>
                  </w:r>
                </w:p>
              </w:tc>
            </w:tr>
            <w:tr w14:paraId="59B2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151E64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10 </w:t>
                  </w:r>
                </w:p>
              </w:tc>
              <w:tc>
                <w:tcPr>
                  <w:tcW w:w="2205" w:type="dxa"/>
                  <w:shd w:val="clear" w:color="auto" w:fill="auto"/>
                  <w:vAlign w:val="center"/>
                </w:tcPr>
                <w:p w14:paraId="5A836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消防水池</w:t>
                  </w:r>
                </w:p>
              </w:tc>
              <w:tc>
                <w:tcPr>
                  <w:tcW w:w="1155" w:type="dxa"/>
                  <w:shd w:val="clear" w:color="auto" w:fill="auto"/>
                  <w:vAlign w:val="center"/>
                </w:tcPr>
                <w:p w14:paraId="45C78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7.0m</w:t>
                  </w:r>
                  <w:r>
                    <w:rPr>
                      <w:rStyle w:val="164"/>
                      <w:rFonts w:ascii="Times New Roman" w:hAnsi="Times New Roman" w:eastAsia="宋体" w:cs="Times New Roman"/>
                      <w:color w:val="auto"/>
                      <w:sz w:val="21"/>
                      <w:szCs w:val="21"/>
                      <w:u w:val="single" w:color="auto"/>
                      <w:lang w:val="en-US" w:eastAsia="zh-CN" w:bidi="ar"/>
                    </w:rPr>
                    <w:t>3</w:t>
                  </w:r>
                </w:p>
              </w:tc>
              <w:tc>
                <w:tcPr>
                  <w:tcW w:w="795" w:type="dxa"/>
                  <w:shd w:val="clear" w:color="auto" w:fill="auto"/>
                  <w:vAlign w:val="center"/>
                </w:tcPr>
                <w:p w14:paraId="63615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个</w:t>
                  </w:r>
                </w:p>
              </w:tc>
              <w:tc>
                <w:tcPr>
                  <w:tcW w:w="810" w:type="dxa"/>
                  <w:shd w:val="clear" w:color="auto" w:fill="auto"/>
                  <w:vAlign w:val="center"/>
                </w:tcPr>
                <w:p w14:paraId="75C9B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 </w:t>
                  </w:r>
                </w:p>
              </w:tc>
              <w:tc>
                <w:tcPr>
                  <w:tcW w:w="2553" w:type="dxa"/>
                  <w:shd w:val="clear" w:color="auto" w:fill="auto"/>
                  <w:vAlign w:val="center"/>
                </w:tcPr>
                <w:p w14:paraId="025D4F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危险品堆场</w:t>
                  </w:r>
                </w:p>
              </w:tc>
            </w:tr>
            <w:tr w14:paraId="348C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097A95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11 </w:t>
                  </w:r>
                </w:p>
              </w:tc>
              <w:tc>
                <w:tcPr>
                  <w:tcW w:w="2205" w:type="dxa"/>
                  <w:shd w:val="clear" w:color="auto" w:fill="auto"/>
                  <w:vAlign w:val="center"/>
                </w:tcPr>
                <w:p w14:paraId="7473D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正压式空气呼吸器</w:t>
                  </w:r>
                </w:p>
              </w:tc>
              <w:tc>
                <w:tcPr>
                  <w:tcW w:w="1155" w:type="dxa"/>
                  <w:shd w:val="clear" w:color="auto" w:fill="auto"/>
                  <w:vAlign w:val="center"/>
                </w:tcPr>
                <w:p w14:paraId="450FB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梅 </w:t>
                  </w:r>
                  <w:r>
                    <w:rPr>
                      <w:rStyle w:val="163"/>
                      <w:rFonts w:ascii="Times New Roman" w:hAnsi="Times New Roman" w:eastAsia="宋体" w:cs="Times New Roman"/>
                      <w:color w:val="auto"/>
                      <w:sz w:val="21"/>
                      <w:szCs w:val="21"/>
                      <w:u w:val="single" w:color="auto"/>
                      <w:lang w:val="en-US" w:eastAsia="zh-CN" w:bidi="ar"/>
                    </w:rPr>
                    <w:t>3</w:t>
                  </w:r>
                </w:p>
              </w:tc>
              <w:tc>
                <w:tcPr>
                  <w:tcW w:w="795" w:type="dxa"/>
                  <w:shd w:val="clear" w:color="auto" w:fill="auto"/>
                  <w:vAlign w:val="center"/>
                </w:tcPr>
                <w:p w14:paraId="0EE99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套</w:t>
                  </w:r>
                </w:p>
              </w:tc>
              <w:tc>
                <w:tcPr>
                  <w:tcW w:w="810" w:type="dxa"/>
                  <w:shd w:val="clear" w:color="auto" w:fill="auto"/>
                  <w:vAlign w:val="center"/>
                </w:tcPr>
                <w:p w14:paraId="5E4AD5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2 </w:t>
                  </w:r>
                </w:p>
              </w:tc>
              <w:tc>
                <w:tcPr>
                  <w:tcW w:w="2553" w:type="dxa"/>
                  <w:shd w:val="clear" w:color="auto" w:fill="auto"/>
                  <w:vAlign w:val="center"/>
                </w:tcPr>
                <w:p w14:paraId="5F464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安全值班室</w:t>
                  </w:r>
                </w:p>
              </w:tc>
            </w:tr>
            <w:tr w14:paraId="6626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18327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12 </w:t>
                  </w:r>
                </w:p>
              </w:tc>
              <w:tc>
                <w:tcPr>
                  <w:tcW w:w="2205" w:type="dxa"/>
                  <w:shd w:val="clear" w:color="auto" w:fill="auto"/>
                  <w:vAlign w:val="center"/>
                </w:tcPr>
                <w:p w14:paraId="2741B9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消防头盔</w:t>
                  </w:r>
                </w:p>
              </w:tc>
              <w:tc>
                <w:tcPr>
                  <w:tcW w:w="1155" w:type="dxa"/>
                  <w:shd w:val="clear" w:color="auto" w:fill="auto"/>
                  <w:vAlign w:val="top"/>
                </w:tcPr>
                <w:p w14:paraId="203FE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w:t>
                  </w:r>
                </w:p>
              </w:tc>
              <w:tc>
                <w:tcPr>
                  <w:tcW w:w="795" w:type="dxa"/>
                  <w:shd w:val="clear" w:color="auto" w:fill="auto"/>
                  <w:vAlign w:val="center"/>
                </w:tcPr>
                <w:p w14:paraId="67398E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个</w:t>
                  </w:r>
                </w:p>
              </w:tc>
              <w:tc>
                <w:tcPr>
                  <w:tcW w:w="810" w:type="dxa"/>
                  <w:shd w:val="clear" w:color="auto" w:fill="auto"/>
                  <w:vAlign w:val="center"/>
                </w:tcPr>
                <w:p w14:paraId="6D004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4 </w:t>
                  </w:r>
                </w:p>
              </w:tc>
              <w:tc>
                <w:tcPr>
                  <w:tcW w:w="2553" w:type="dxa"/>
                  <w:shd w:val="clear" w:color="auto" w:fill="auto"/>
                  <w:vAlign w:val="center"/>
                </w:tcPr>
                <w:p w14:paraId="7ED96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安全值班室</w:t>
                  </w:r>
                </w:p>
              </w:tc>
            </w:tr>
            <w:tr w14:paraId="5C63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40325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13 </w:t>
                  </w:r>
                </w:p>
              </w:tc>
              <w:tc>
                <w:tcPr>
                  <w:tcW w:w="2205" w:type="dxa"/>
                  <w:shd w:val="clear" w:color="auto" w:fill="auto"/>
                  <w:vAlign w:val="center"/>
                </w:tcPr>
                <w:p w14:paraId="2A7BD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防火防护服</w:t>
                  </w:r>
                </w:p>
              </w:tc>
              <w:tc>
                <w:tcPr>
                  <w:tcW w:w="1155" w:type="dxa"/>
                  <w:shd w:val="clear" w:color="auto" w:fill="auto"/>
                  <w:vAlign w:val="center"/>
                </w:tcPr>
                <w:p w14:paraId="2340E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w:t>
                  </w:r>
                </w:p>
              </w:tc>
              <w:tc>
                <w:tcPr>
                  <w:tcW w:w="795" w:type="dxa"/>
                  <w:shd w:val="clear" w:color="auto" w:fill="auto"/>
                  <w:vAlign w:val="center"/>
                </w:tcPr>
                <w:p w14:paraId="40B78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套</w:t>
                  </w:r>
                </w:p>
              </w:tc>
              <w:tc>
                <w:tcPr>
                  <w:tcW w:w="810" w:type="dxa"/>
                  <w:shd w:val="clear" w:color="auto" w:fill="auto"/>
                  <w:vAlign w:val="center"/>
                </w:tcPr>
                <w:p w14:paraId="0ADDF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3 </w:t>
                  </w:r>
                </w:p>
              </w:tc>
              <w:tc>
                <w:tcPr>
                  <w:tcW w:w="2553" w:type="dxa"/>
                  <w:shd w:val="clear" w:color="auto" w:fill="auto"/>
                  <w:vAlign w:val="center"/>
                </w:tcPr>
                <w:p w14:paraId="6D1BA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安全值班室</w:t>
                  </w:r>
                </w:p>
              </w:tc>
            </w:tr>
            <w:tr w14:paraId="1064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65269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14 </w:t>
                  </w:r>
                </w:p>
              </w:tc>
              <w:tc>
                <w:tcPr>
                  <w:tcW w:w="2205" w:type="dxa"/>
                  <w:shd w:val="clear" w:color="auto" w:fill="auto"/>
                  <w:vAlign w:val="center"/>
                </w:tcPr>
                <w:p w14:paraId="288917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灭火防护靴</w:t>
                  </w:r>
                </w:p>
              </w:tc>
              <w:tc>
                <w:tcPr>
                  <w:tcW w:w="1155" w:type="dxa"/>
                  <w:shd w:val="clear" w:color="auto" w:fill="auto"/>
                  <w:vAlign w:val="top"/>
                </w:tcPr>
                <w:p w14:paraId="33DF83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w:t>
                  </w:r>
                </w:p>
              </w:tc>
              <w:tc>
                <w:tcPr>
                  <w:tcW w:w="795" w:type="dxa"/>
                  <w:shd w:val="clear" w:color="auto" w:fill="auto"/>
                  <w:vAlign w:val="center"/>
                </w:tcPr>
                <w:p w14:paraId="59C486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套</w:t>
                  </w:r>
                </w:p>
              </w:tc>
              <w:tc>
                <w:tcPr>
                  <w:tcW w:w="810" w:type="dxa"/>
                  <w:shd w:val="clear" w:color="auto" w:fill="auto"/>
                  <w:vAlign w:val="center"/>
                </w:tcPr>
                <w:p w14:paraId="1CDBC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5 </w:t>
                  </w:r>
                </w:p>
              </w:tc>
              <w:tc>
                <w:tcPr>
                  <w:tcW w:w="2553" w:type="dxa"/>
                  <w:shd w:val="clear" w:color="auto" w:fill="auto"/>
                  <w:vAlign w:val="center"/>
                </w:tcPr>
                <w:p w14:paraId="1E27D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安全值班室</w:t>
                  </w:r>
                </w:p>
              </w:tc>
            </w:tr>
            <w:tr w14:paraId="7579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7F3B1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15 </w:t>
                  </w:r>
                </w:p>
              </w:tc>
              <w:tc>
                <w:tcPr>
                  <w:tcW w:w="2205" w:type="dxa"/>
                  <w:shd w:val="clear" w:color="auto" w:fill="auto"/>
                  <w:vAlign w:val="center"/>
                </w:tcPr>
                <w:p w14:paraId="3D721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消防腰带</w:t>
                  </w:r>
                </w:p>
              </w:tc>
              <w:tc>
                <w:tcPr>
                  <w:tcW w:w="1155" w:type="dxa"/>
                  <w:shd w:val="clear" w:color="auto" w:fill="auto"/>
                  <w:vAlign w:val="center"/>
                </w:tcPr>
                <w:p w14:paraId="53F6D6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w:t>
                  </w:r>
                </w:p>
              </w:tc>
              <w:tc>
                <w:tcPr>
                  <w:tcW w:w="795" w:type="dxa"/>
                  <w:shd w:val="clear" w:color="auto" w:fill="auto"/>
                  <w:vAlign w:val="center"/>
                </w:tcPr>
                <w:p w14:paraId="43CC1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条</w:t>
                  </w:r>
                </w:p>
              </w:tc>
              <w:tc>
                <w:tcPr>
                  <w:tcW w:w="810" w:type="dxa"/>
                  <w:shd w:val="clear" w:color="auto" w:fill="auto"/>
                  <w:vAlign w:val="center"/>
                </w:tcPr>
                <w:p w14:paraId="528D4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5 </w:t>
                  </w:r>
                </w:p>
              </w:tc>
              <w:tc>
                <w:tcPr>
                  <w:tcW w:w="2553" w:type="dxa"/>
                  <w:shd w:val="clear" w:color="auto" w:fill="auto"/>
                  <w:vAlign w:val="center"/>
                </w:tcPr>
                <w:p w14:paraId="71CC27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安全值班室</w:t>
                  </w:r>
                </w:p>
              </w:tc>
            </w:tr>
            <w:tr w14:paraId="568C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27B168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16 </w:t>
                  </w:r>
                </w:p>
              </w:tc>
              <w:tc>
                <w:tcPr>
                  <w:tcW w:w="2205" w:type="dxa"/>
                  <w:shd w:val="clear" w:color="auto" w:fill="auto"/>
                  <w:vAlign w:val="center"/>
                </w:tcPr>
                <w:p w14:paraId="17B43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消防手套</w:t>
                  </w:r>
                </w:p>
              </w:tc>
              <w:tc>
                <w:tcPr>
                  <w:tcW w:w="1155" w:type="dxa"/>
                  <w:shd w:val="clear" w:color="auto" w:fill="auto"/>
                  <w:vAlign w:val="top"/>
                </w:tcPr>
                <w:p w14:paraId="6C4E10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w:t>
                  </w:r>
                </w:p>
              </w:tc>
              <w:tc>
                <w:tcPr>
                  <w:tcW w:w="795" w:type="dxa"/>
                  <w:shd w:val="clear" w:color="auto" w:fill="auto"/>
                  <w:vAlign w:val="center"/>
                </w:tcPr>
                <w:p w14:paraId="6FB629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双</w:t>
                  </w:r>
                </w:p>
              </w:tc>
              <w:tc>
                <w:tcPr>
                  <w:tcW w:w="810" w:type="dxa"/>
                  <w:shd w:val="clear" w:color="auto" w:fill="auto"/>
                  <w:vAlign w:val="center"/>
                </w:tcPr>
                <w:p w14:paraId="21256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5 </w:t>
                  </w:r>
                </w:p>
              </w:tc>
              <w:tc>
                <w:tcPr>
                  <w:tcW w:w="2553" w:type="dxa"/>
                  <w:shd w:val="clear" w:color="auto" w:fill="auto"/>
                  <w:vAlign w:val="center"/>
                </w:tcPr>
                <w:p w14:paraId="4A5CE2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安全值班室</w:t>
                  </w:r>
                </w:p>
              </w:tc>
            </w:tr>
            <w:tr w14:paraId="61DF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shd w:val="clear" w:color="auto" w:fill="auto"/>
                  <w:vAlign w:val="center"/>
                </w:tcPr>
                <w:p w14:paraId="18020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17 </w:t>
                  </w:r>
                </w:p>
              </w:tc>
              <w:tc>
                <w:tcPr>
                  <w:tcW w:w="2205" w:type="dxa"/>
                  <w:shd w:val="clear" w:color="auto" w:fill="auto"/>
                  <w:vAlign w:val="center"/>
                </w:tcPr>
                <w:p w14:paraId="771BC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灭火毯</w:t>
                  </w:r>
                </w:p>
              </w:tc>
              <w:tc>
                <w:tcPr>
                  <w:tcW w:w="1155" w:type="dxa"/>
                  <w:shd w:val="clear" w:color="auto" w:fill="auto"/>
                  <w:vAlign w:val="center"/>
                </w:tcPr>
                <w:p w14:paraId="4D2C2D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Style w:val="163"/>
                      <w:rFonts w:ascii="Times New Roman" w:hAnsi="Times New Roman" w:eastAsia="宋体" w:cs="Times New Roman"/>
                      <w:color w:val="auto"/>
                      <w:sz w:val="21"/>
                      <w:szCs w:val="21"/>
                      <w:u w:val="single" w:color="auto"/>
                      <w:lang w:val="en-US" w:eastAsia="zh-CN" w:bidi="ar"/>
                    </w:rPr>
                    <w:t>1m*1m</w:t>
                  </w:r>
                </w:p>
              </w:tc>
              <w:tc>
                <w:tcPr>
                  <w:tcW w:w="795" w:type="dxa"/>
                  <w:shd w:val="clear" w:color="auto" w:fill="auto"/>
                  <w:vAlign w:val="center"/>
                </w:tcPr>
                <w:p w14:paraId="6E4B6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条</w:t>
                  </w:r>
                </w:p>
              </w:tc>
              <w:tc>
                <w:tcPr>
                  <w:tcW w:w="810" w:type="dxa"/>
                  <w:shd w:val="clear" w:color="auto" w:fill="auto"/>
                  <w:vAlign w:val="center"/>
                </w:tcPr>
                <w:p w14:paraId="2C844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 xml:space="preserve">14 </w:t>
                  </w:r>
                </w:p>
              </w:tc>
              <w:tc>
                <w:tcPr>
                  <w:tcW w:w="2553" w:type="dxa"/>
                  <w:shd w:val="clear" w:color="auto" w:fill="auto"/>
                  <w:vAlign w:val="center"/>
                </w:tcPr>
                <w:p w14:paraId="0F878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物资仓库</w:t>
                  </w:r>
                </w:p>
              </w:tc>
            </w:tr>
          </w:tbl>
          <w:p w14:paraId="622ABD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u w:val="single" w:color="auto"/>
                <w:lang w:val="en-US" w:eastAsia="zh-CN"/>
              </w:rPr>
            </w:pPr>
            <w:r>
              <w:rPr>
                <w:rFonts w:hint="eastAsia" w:cs="Times New Roman"/>
                <w:color w:val="auto"/>
                <w:sz w:val="24"/>
                <w:szCs w:val="24"/>
                <w:highlight w:val="none"/>
                <w:u w:val="single" w:color="auto"/>
                <w:lang w:val="en-US" w:eastAsia="zh-CN"/>
              </w:rPr>
              <w:t>根据调查，目前固体货物混堆的 3G、3F、4G、4F、5G、5F 堆场设置有 MFZ/ABC4 型手提式干粉灭火器、MFT/35 型推车式干粉灭火器、MT/7 手提式二氧化碳灭火器、6L 手提式水基型干粉灭火器。</w:t>
            </w:r>
            <w:r>
              <w:rPr>
                <w:rFonts w:hint="eastAsia" w:ascii="Times New Roman" w:hAnsi="Times New Roman" w:eastAsia="宋体" w:cs="Times New Roman"/>
                <w:color w:val="auto"/>
                <w:sz w:val="24"/>
                <w:szCs w:val="24"/>
                <w:highlight w:val="none"/>
                <w:u w:val="single" w:color="auto"/>
                <w:lang w:val="en-US" w:eastAsia="zh-CN"/>
              </w:rPr>
              <w:t>堆场周围共配置 22 个主要器材放置点，每个专门的灭火器放置点配备有 4kg 手提式干粉灭火器 2 具、7</w:t>
            </w:r>
            <w:r>
              <w:rPr>
                <w:rFonts w:hint="eastAsia" w:cs="Times New Roman"/>
                <w:color w:val="auto"/>
                <w:sz w:val="24"/>
                <w:szCs w:val="24"/>
                <w:highlight w:val="none"/>
                <w:u w:val="single" w:color="auto"/>
                <w:lang w:val="en-US" w:eastAsia="zh-CN"/>
              </w:rPr>
              <w:t>kg</w:t>
            </w:r>
            <w:r>
              <w:rPr>
                <w:rFonts w:hint="eastAsia" w:ascii="Times New Roman" w:hAnsi="Times New Roman" w:eastAsia="宋体" w:cs="Times New Roman"/>
                <w:color w:val="auto"/>
                <w:sz w:val="24"/>
                <w:szCs w:val="24"/>
                <w:highlight w:val="none"/>
                <w:u w:val="single" w:color="auto"/>
                <w:lang w:val="en-US" w:eastAsia="zh-CN"/>
              </w:rPr>
              <w:t xml:space="preserve"> 手提式二氧化碳灭火器（喷嘴为塑料）2 具、35kg 推车式干粉灭火器 1 具，部分放置点零星设置有少量手提式水基型（喷雾）灭火器；室外消火栓水带箱放置点内配置手提式干粉灭火器，配置总数可以满足每个堆场的最小配置级别要求</w:t>
            </w:r>
            <w:r>
              <w:rPr>
                <w:rFonts w:hint="eastAsia" w:cs="Times New Roman"/>
                <w:color w:val="auto"/>
                <w:sz w:val="24"/>
                <w:szCs w:val="24"/>
                <w:highlight w:val="none"/>
                <w:u w:val="single" w:color="auto"/>
                <w:lang w:val="en-US" w:eastAsia="zh-CN"/>
              </w:rPr>
              <w:t>。</w:t>
            </w:r>
          </w:p>
          <w:p w14:paraId="48EA9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目前建设单位</w:t>
            </w:r>
            <w:r>
              <w:rPr>
                <w:rFonts w:hint="default" w:ascii="Times New Roman" w:hAnsi="Times New Roman" w:eastAsia="宋体" w:cs="Times New Roman"/>
                <w:color w:val="auto"/>
                <w:sz w:val="24"/>
                <w:szCs w:val="24"/>
                <w:highlight w:val="none"/>
                <w:u w:val="none" w:color="auto"/>
                <w:lang w:val="en-US" w:eastAsia="zh-CN"/>
              </w:rPr>
              <w:t>消火栓给水系统由市政水源供水，经消火栓给水泵组加压后，供给港区室外消火栓和室内消火栓。消火栓给水系统为独立的消防管网，呈环状布置。3G、3F、4G、4F、5G、5F堆场共有10只消火栓可提供保护，消火栓间距小于120m，消火栓保护范围在150m之内，满足该码头室外消防要求</w:t>
            </w:r>
            <w:r>
              <w:rPr>
                <w:rFonts w:hint="eastAsia" w:ascii="Times New Roman" w:hAnsi="Times New Roman" w:eastAsia="宋体" w:cs="Times New Roman"/>
                <w:color w:val="auto"/>
                <w:sz w:val="24"/>
                <w:szCs w:val="24"/>
                <w:highlight w:val="none"/>
                <w:u w:val="none" w:color="auto"/>
                <w:lang w:val="en-US" w:eastAsia="zh-CN"/>
              </w:rPr>
              <w:t>。</w:t>
            </w:r>
          </w:p>
          <w:p w14:paraId="3843EA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为预防和减少突发环境事件的发生，控制、减轻和消除突发环境事件引起的危害，规范突发环境事件应急管理工作，保障公众生命、环境和财产的安全。针对</w:t>
            </w:r>
            <w:r>
              <w:rPr>
                <w:rFonts w:hint="default" w:ascii="Times New Roman" w:hAnsi="Times New Roman" w:eastAsia="宋体" w:cs="Times New Roman"/>
                <w:color w:val="auto"/>
                <w:sz w:val="24"/>
                <w:szCs w:val="24"/>
                <w:highlight w:val="none"/>
                <w:u w:val="none" w:color="auto"/>
                <w:lang w:val="en-US" w:eastAsia="zh-CN"/>
              </w:rPr>
              <w:t>集装箱火灾风险</w:t>
            </w:r>
            <w:r>
              <w:rPr>
                <w:rFonts w:hint="default" w:ascii="Times New Roman" w:hAnsi="Times New Roman" w:eastAsia="宋体" w:cs="Times New Roman"/>
                <w:color w:val="auto"/>
                <w:sz w:val="24"/>
                <w:szCs w:val="24"/>
                <w:highlight w:val="none"/>
                <w:u w:val="none" w:color="auto"/>
              </w:rPr>
              <w:t>，建设单位应该采取以下防范措施</w:t>
            </w:r>
            <w:r>
              <w:rPr>
                <w:rFonts w:hint="default" w:ascii="Times New Roman" w:hAnsi="Times New Roman" w:eastAsia="宋体" w:cs="Times New Roman"/>
                <w:color w:val="auto"/>
                <w:sz w:val="24"/>
                <w:szCs w:val="24"/>
                <w:highlight w:val="none"/>
                <w:u w:val="none" w:color="auto"/>
                <w:lang w:eastAsia="zh-CN"/>
              </w:rPr>
              <w:t>：</w:t>
            </w:r>
          </w:p>
          <w:p w14:paraId="713C5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4" w:firstLineChars="200"/>
              <w:jc w:val="both"/>
              <w:textAlignment w:val="auto"/>
              <w:rPr>
                <w:rFonts w:hint="default" w:ascii="Times New Roman" w:hAnsi="Times New Roman" w:eastAsia="宋体" w:cs="Times New Roman"/>
                <w:color w:val="auto"/>
                <w:kern w:val="2"/>
                <w:sz w:val="24"/>
                <w:szCs w:val="24"/>
                <w:highlight w:val="none"/>
                <w:u w:val="single" w:color="auto"/>
                <w:lang w:val="en-US" w:eastAsia="en-US" w:bidi="ar-SA"/>
              </w:rPr>
            </w:pPr>
            <w:r>
              <w:rPr>
                <w:rFonts w:hint="default" w:ascii="Times New Roman" w:hAnsi="Times New Roman" w:eastAsia="宋体" w:cs="Times New Roman"/>
                <w:color w:val="auto"/>
                <w:spacing w:val="1"/>
                <w:kern w:val="2"/>
                <w:sz w:val="24"/>
                <w:szCs w:val="24"/>
                <w:highlight w:val="none"/>
                <w:u w:val="single" w:color="auto"/>
                <w:lang w:val="en-US" w:eastAsia="en-US" w:bidi="ar-SA"/>
              </w:rPr>
              <w:t>1）要重点加强人员的巡检，确保巡检人员按照规程及时、严格巡检，增加危险货物集装箱堆存区域的检查频率，发生泄漏能够第一时间发现，及时采取应对措施，最大限度地减少危险货物集装箱火灾发生率</w:t>
            </w:r>
            <w:r>
              <w:rPr>
                <w:rFonts w:hint="default" w:ascii="Times New Roman" w:hAnsi="Times New Roman" w:eastAsia="宋体" w:cs="Times New Roman"/>
                <w:color w:val="auto"/>
                <w:spacing w:val="-1"/>
                <w:kern w:val="2"/>
                <w:sz w:val="24"/>
                <w:szCs w:val="24"/>
                <w:highlight w:val="none"/>
                <w:u w:val="single" w:color="auto"/>
                <w:lang w:val="en-US" w:eastAsia="en-US" w:bidi="ar-SA"/>
              </w:rPr>
              <w:t>。</w:t>
            </w:r>
          </w:p>
          <w:p w14:paraId="10DDE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2）要加强安全设施的可靠性，选用符合国家标准或者行业标准的安全设备设施，同时对安全设备进行经常性维护、保养，并定期检测，保证正常运转。</w:t>
            </w:r>
          </w:p>
          <w:p w14:paraId="38252566">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76" w:firstLineChars="200"/>
              <w:contextualSpacing/>
              <w:textAlignment w:val="auto"/>
              <w:rPr>
                <w:rFonts w:hint="default" w:ascii="Times New Roman" w:hAnsi="Times New Roman" w:eastAsia="宋体" w:cs="Times New Roman"/>
                <w:color w:val="auto"/>
                <w:spacing w:val="-1"/>
                <w:sz w:val="24"/>
                <w:szCs w:val="24"/>
                <w:highlight w:val="none"/>
                <w:u w:val="single" w:color="auto"/>
              </w:rPr>
            </w:pPr>
            <w:r>
              <w:rPr>
                <w:rFonts w:hint="eastAsia" w:ascii="Times New Roman" w:hAnsi="Times New Roman" w:eastAsia="宋体" w:cs="Times New Roman"/>
                <w:color w:val="auto"/>
                <w:spacing w:val="-1"/>
                <w:sz w:val="24"/>
                <w:szCs w:val="24"/>
                <w:highlight w:val="none"/>
                <w:u w:val="single" w:color="auto"/>
                <w:lang w:val="en-US" w:eastAsia="zh-CN"/>
              </w:rPr>
              <w:t>3</w:t>
            </w:r>
            <w:r>
              <w:rPr>
                <w:rFonts w:hint="default" w:ascii="Times New Roman" w:hAnsi="Times New Roman" w:eastAsia="宋体" w:cs="Times New Roman"/>
                <w:color w:val="auto"/>
                <w:spacing w:val="-1"/>
                <w:sz w:val="24"/>
                <w:szCs w:val="24"/>
                <w:highlight w:val="none"/>
                <w:u w:val="single" w:color="auto"/>
              </w:rPr>
              <w:t>）</w:t>
            </w:r>
            <w:r>
              <w:rPr>
                <w:rFonts w:hint="default" w:ascii="Times New Roman" w:hAnsi="Times New Roman" w:eastAsia="宋体" w:cs="Times New Roman"/>
                <w:color w:val="auto"/>
                <w:spacing w:val="-1"/>
                <w:sz w:val="24"/>
                <w:szCs w:val="24"/>
                <w:highlight w:val="none"/>
                <w:u w:val="single" w:color="auto"/>
                <w:lang w:val="en-US" w:eastAsia="zh-CN"/>
              </w:rPr>
              <w:t>加强对员工的教育和培训，增强人员的安全意识，杜绝违章吸烟、违章用火等人员不安全行为的发生，使用防爆电器并确保防爆器可用，确保避雷器可用以及箱体接地装置安全可靠，高温天气防止箱体长时间日晒并对箱体采取降温措施，从根本上杜绝出现点火源</w:t>
            </w:r>
            <w:r>
              <w:rPr>
                <w:rFonts w:hint="eastAsia" w:ascii="Times New Roman" w:hAnsi="Times New Roman" w:eastAsia="宋体" w:cs="Times New Roman"/>
                <w:color w:val="auto"/>
                <w:spacing w:val="-1"/>
                <w:sz w:val="24"/>
                <w:szCs w:val="24"/>
                <w:highlight w:val="none"/>
                <w:u w:val="single" w:color="auto"/>
                <w:lang w:val="en-US" w:eastAsia="zh-CN"/>
              </w:rPr>
              <w:t>。</w:t>
            </w:r>
          </w:p>
          <w:p w14:paraId="03C9969E">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76" w:firstLineChars="200"/>
              <w:contextualSpacing/>
              <w:textAlignment w:val="auto"/>
              <w:rPr>
                <w:rFonts w:hint="eastAsia" w:ascii="Times New Roman" w:hAnsi="Times New Roman" w:eastAsia="宋体" w:cs="Times New Roman"/>
                <w:color w:val="auto"/>
                <w:spacing w:val="-1"/>
                <w:sz w:val="24"/>
                <w:szCs w:val="24"/>
                <w:highlight w:val="none"/>
                <w:u w:val="single" w:color="auto"/>
                <w:lang w:eastAsia="zh-CN"/>
              </w:rPr>
            </w:pPr>
            <w:r>
              <w:rPr>
                <w:rFonts w:hint="eastAsia" w:ascii="Times New Roman" w:hAnsi="Times New Roman" w:eastAsia="宋体" w:cs="Times New Roman"/>
                <w:color w:val="auto"/>
                <w:spacing w:val="-1"/>
                <w:sz w:val="24"/>
                <w:szCs w:val="24"/>
                <w:highlight w:val="none"/>
                <w:u w:val="single" w:color="auto"/>
                <w:lang w:val="en-US" w:eastAsia="zh-CN"/>
              </w:rPr>
              <w:t>4</w:t>
            </w:r>
            <w:r>
              <w:rPr>
                <w:rFonts w:hint="eastAsia" w:ascii="Times New Roman" w:hAnsi="Times New Roman" w:eastAsia="宋体" w:cs="Times New Roman"/>
                <w:color w:val="auto"/>
                <w:spacing w:val="-1"/>
                <w:sz w:val="24"/>
                <w:szCs w:val="24"/>
                <w:highlight w:val="none"/>
                <w:u w:val="single" w:color="auto"/>
                <w:lang w:eastAsia="zh-CN"/>
              </w:rPr>
              <w:t>）</w:t>
            </w:r>
            <w:r>
              <w:rPr>
                <w:rFonts w:hint="eastAsia" w:ascii="Times New Roman" w:hAnsi="Times New Roman" w:eastAsia="宋体" w:cs="Times New Roman"/>
                <w:color w:val="auto"/>
                <w:spacing w:val="-1"/>
                <w:sz w:val="24"/>
                <w:szCs w:val="24"/>
                <w:highlight w:val="none"/>
                <w:u w:val="single" w:color="auto"/>
                <w:lang w:val="en-US" w:eastAsia="zh-CN"/>
              </w:rPr>
              <w:t>应选用检验合格且在有效期内包装，包装的使用应得当，封口安全可靠，不存在盖子未拧紧或者扎口松动等情况。</w:t>
            </w:r>
          </w:p>
          <w:p w14:paraId="7FB66C62">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76" w:firstLineChars="200"/>
              <w:contextualSpacing/>
              <w:textAlignment w:val="auto"/>
              <w:rPr>
                <w:rFonts w:hint="eastAsia" w:ascii="Times New Roman" w:hAnsi="Times New Roman" w:eastAsia="宋体" w:cs="Times New Roman"/>
                <w:color w:val="auto"/>
                <w:kern w:val="0"/>
                <w:sz w:val="24"/>
                <w:highlight w:val="none"/>
                <w:u w:val="single" w:color="auto"/>
                <w:lang w:val="en-US" w:eastAsia="zh-CN" w:bidi="ar"/>
              </w:rPr>
            </w:pPr>
            <w:r>
              <w:rPr>
                <w:rFonts w:hint="eastAsia" w:ascii="Times New Roman" w:hAnsi="Times New Roman" w:eastAsia="宋体" w:cs="Times New Roman"/>
                <w:color w:val="auto"/>
                <w:spacing w:val="-1"/>
                <w:sz w:val="24"/>
                <w:szCs w:val="24"/>
                <w:highlight w:val="none"/>
                <w:u w:val="single" w:color="auto"/>
                <w:lang w:val="en-US" w:eastAsia="zh-CN"/>
              </w:rPr>
              <w:t>5</w:t>
            </w:r>
            <w:r>
              <w:rPr>
                <w:rFonts w:hint="eastAsia" w:ascii="Times New Roman" w:hAnsi="Times New Roman" w:eastAsia="宋体" w:cs="Times New Roman"/>
                <w:color w:val="auto"/>
                <w:spacing w:val="-1"/>
                <w:sz w:val="24"/>
                <w:szCs w:val="24"/>
                <w:highlight w:val="none"/>
                <w:u w:val="single" w:color="auto"/>
                <w:lang w:eastAsia="zh-CN"/>
              </w:rPr>
              <w:t>）</w:t>
            </w:r>
            <w:r>
              <w:rPr>
                <w:rFonts w:hint="eastAsia" w:ascii="Times New Roman" w:hAnsi="Times New Roman" w:eastAsia="宋体" w:cs="Times New Roman"/>
                <w:color w:val="auto"/>
                <w:spacing w:val="-1"/>
                <w:sz w:val="24"/>
                <w:szCs w:val="24"/>
                <w:highlight w:val="none"/>
                <w:u w:val="single" w:color="auto"/>
                <w:lang w:val="en-US" w:eastAsia="zh-CN"/>
              </w:rPr>
              <w:t>针对危险货物集装箱火灾风险事故，除了预防措施外，还应尽一切可能做好事故应急处置措施，保证消防通讯联络畅通，应急处置物资可靠，火灾发生初期迅速扑灭，最大限度地减轻火灾的损失</w:t>
            </w:r>
            <w:r>
              <w:rPr>
                <w:rFonts w:hint="eastAsia" w:ascii="Times New Roman" w:hAnsi="Times New Roman" w:eastAsia="宋体" w:cs="Times New Roman"/>
                <w:color w:val="auto"/>
                <w:kern w:val="0"/>
                <w:sz w:val="24"/>
                <w:highlight w:val="none"/>
                <w:u w:val="single" w:color="auto"/>
                <w:lang w:val="en-US" w:eastAsia="zh-CN" w:bidi="ar"/>
              </w:rPr>
              <w:t>。</w:t>
            </w:r>
          </w:p>
          <w:p w14:paraId="5D7291A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color w:val="auto"/>
                <w:kern w:val="0"/>
                <w:sz w:val="24"/>
                <w:highlight w:val="none"/>
                <w:u w:val="single" w:color="auto"/>
                <w:lang w:val="en-US" w:eastAsia="zh-CN" w:bidi="ar"/>
              </w:rPr>
            </w:pPr>
            <w:r>
              <w:rPr>
                <w:rFonts w:hint="eastAsia" w:ascii="Times New Roman" w:hAnsi="Times New Roman" w:eastAsia="宋体" w:cs="Times New Roman"/>
                <w:color w:val="auto"/>
                <w:kern w:val="0"/>
                <w:sz w:val="24"/>
                <w:highlight w:val="none"/>
                <w:u w:val="single" w:color="auto"/>
                <w:lang w:val="en-US" w:eastAsia="zh-CN" w:bidi="ar"/>
              </w:rPr>
              <w:t>6）堆存堆场设置巡查打卡点，采取加强现场安全巡查、对锂电池集装箱定时测温等措施。</w:t>
            </w:r>
          </w:p>
          <w:p w14:paraId="48E9F84D">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color w:val="auto"/>
                <w:kern w:val="0"/>
                <w:sz w:val="24"/>
                <w:highlight w:val="none"/>
                <w:u w:val="single" w:color="auto"/>
                <w:lang w:val="en-US" w:eastAsia="zh-CN" w:bidi="ar"/>
              </w:rPr>
            </w:pPr>
            <w:r>
              <w:rPr>
                <w:rFonts w:hint="eastAsia" w:ascii="Times New Roman" w:hAnsi="Times New Roman" w:eastAsia="宋体" w:cs="Times New Roman"/>
                <w:color w:val="auto"/>
                <w:kern w:val="0"/>
                <w:sz w:val="24"/>
                <w:highlight w:val="none"/>
                <w:u w:val="single" w:color="auto"/>
                <w:lang w:val="en-US" w:eastAsia="zh-CN" w:bidi="ar"/>
              </w:rPr>
              <w:t>7）公司中控室对评估货种的装卸作业过程及堆存场所应进行实时视频监控和记录，并设置不少于一个显示器画面固定用于显示该场地。</w:t>
            </w:r>
          </w:p>
          <w:p w14:paraId="62DCF38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color w:val="auto"/>
                <w:kern w:val="0"/>
                <w:sz w:val="24"/>
                <w:highlight w:val="none"/>
                <w:u w:val="single" w:color="auto"/>
                <w:lang w:val="en-US" w:eastAsia="zh-CN" w:bidi="ar"/>
              </w:rPr>
            </w:pPr>
            <w:r>
              <w:rPr>
                <w:rFonts w:hint="eastAsia" w:ascii="Times New Roman" w:hAnsi="Times New Roman" w:eastAsia="宋体" w:cs="Times New Roman"/>
                <w:color w:val="auto"/>
                <w:kern w:val="0"/>
                <w:sz w:val="24"/>
                <w:highlight w:val="none"/>
                <w:u w:val="single" w:color="auto"/>
                <w:lang w:val="en-US" w:eastAsia="zh-CN" w:bidi="ar"/>
              </w:rPr>
              <w:t>8）在堆场周边设置标识标牌和防撞隔离墩配置。</w:t>
            </w:r>
          </w:p>
          <w:p w14:paraId="6B4FE79C">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color w:val="auto"/>
                <w:kern w:val="0"/>
                <w:sz w:val="24"/>
                <w:highlight w:val="none"/>
                <w:u w:val="single" w:color="auto"/>
                <w:lang w:val="en-US" w:eastAsia="zh-CN" w:bidi="ar"/>
              </w:rPr>
            </w:pPr>
            <w:r>
              <w:rPr>
                <w:rFonts w:hint="eastAsia" w:ascii="Times New Roman" w:hAnsi="Times New Roman" w:eastAsia="宋体" w:cs="Times New Roman"/>
                <w:color w:val="auto"/>
                <w:kern w:val="0"/>
                <w:sz w:val="24"/>
                <w:highlight w:val="none"/>
                <w:u w:val="single" w:color="auto"/>
                <w:lang w:val="en-US" w:eastAsia="zh-CN" w:bidi="ar"/>
              </w:rPr>
              <w:t>9）堆场在堆存锂电池等具有自燃危险性货物的集装箱时，堆场头尾应各放置1具（35kg磷酸铵盐）推车式干粉灭火器或水基灭火器和2具（4kg）干粉灭火器或水基灭火器。</w:t>
            </w:r>
          </w:p>
          <w:p w14:paraId="1938906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color w:val="auto"/>
                <w:kern w:val="0"/>
                <w:sz w:val="24"/>
                <w:highlight w:val="none"/>
                <w:u w:val="single" w:color="auto"/>
                <w:lang w:val="en-US" w:eastAsia="zh-CN" w:bidi="ar"/>
              </w:rPr>
            </w:pPr>
            <w:r>
              <w:rPr>
                <w:rFonts w:hint="eastAsia" w:ascii="Times New Roman" w:hAnsi="Times New Roman" w:eastAsia="宋体" w:cs="Times New Roman"/>
                <w:color w:val="auto"/>
                <w:kern w:val="0"/>
                <w:sz w:val="24"/>
                <w:highlight w:val="none"/>
                <w:u w:val="single" w:color="auto"/>
                <w:lang w:val="en-US" w:eastAsia="zh-CN" w:bidi="ar"/>
              </w:rPr>
              <w:t>10）把项目纳入企业编制的突发环境事件应急预案内，配备应急器材</w:t>
            </w:r>
          </w:p>
          <w:p w14:paraId="0EFAF977">
            <w:pPr>
              <w:keepNext w:val="0"/>
              <w:keepLines w:val="0"/>
              <w:pageBreakBefore w:val="0"/>
              <w:widowControl w:val="0"/>
              <w:suppressLineNumbers w:val="0"/>
              <w:kinsoku/>
              <w:wordWrap w:val="0"/>
              <w:overflowPunct/>
              <w:topLinePunct/>
              <w:autoSpaceDE/>
              <w:autoSpaceDN/>
              <w:bidi w:val="0"/>
              <w:adjustRightInd w:val="0"/>
              <w:snapToGrid w:val="0"/>
              <w:spacing w:before="0" w:beforeAutospacing="0" w:after="0" w:afterAutospacing="0" w:line="360" w:lineRule="auto"/>
              <w:ind w:left="0" w:right="0" w:firstLine="480" w:firstLineChars="200"/>
              <w:contextualSpacing/>
              <w:textAlignment w:val="auto"/>
              <w:rPr>
                <w:rFonts w:hint="eastAsia" w:ascii="Times New Roman" w:hAnsi="Times New Roman" w:eastAsia="宋体" w:cs="Times New Roman"/>
                <w:b/>
                <w:bCs/>
                <w:color w:val="auto"/>
                <w:kern w:val="2"/>
                <w:sz w:val="24"/>
                <w:szCs w:val="24"/>
                <w:highlight w:val="none"/>
                <w:u w:val="single" w:color="auto"/>
                <w:lang w:val="en-US" w:eastAsia="zh-CN" w:bidi="ar-SA"/>
              </w:rPr>
            </w:pPr>
            <w:r>
              <w:rPr>
                <w:rFonts w:hint="eastAsia" w:cs="Times New Roman"/>
                <w:color w:val="auto"/>
                <w:kern w:val="0"/>
                <w:sz w:val="24"/>
                <w:highlight w:val="none"/>
                <w:u w:val="single" w:color="auto"/>
                <w:lang w:val="en-US" w:eastAsia="zh-CN" w:bidi="ar"/>
              </w:rPr>
              <w:t>11）因集装箱体质量问题或操作失误导致箱体破损，造成箱内危险货物泄漏时，应先进行隔离警戒，切断堆场电源，将泄漏的货物转移至专业容器内，然后由货主委托具有运输资质的车辆连同破损集装箱直接运离，破损的危险货物集装箱不在港区内维修</w:t>
            </w:r>
            <w:r>
              <w:rPr>
                <w:rFonts w:hint="eastAsia" w:ascii="Times New Roman" w:hAnsi="Times New Roman" w:eastAsia="宋体" w:cs="Times New Roman"/>
                <w:color w:val="auto"/>
                <w:kern w:val="0"/>
                <w:sz w:val="24"/>
                <w:highlight w:val="none"/>
                <w:u w:val="single" w:color="auto"/>
                <w:lang w:val="en-US" w:eastAsia="zh-CN" w:bidi="ar"/>
              </w:rPr>
              <w:t>。</w:t>
            </w:r>
          </w:p>
          <w:p w14:paraId="1C64DE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u w:val="none" w:color="auto"/>
                <w:lang w:val="en-US" w:eastAsia="zh-CN" w:bidi="ar-SA"/>
              </w:rPr>
            </w:pPr>
            <w:r>
              <w:rPr>
                <w:rFonts w:hint="eastAsia" w:cs="Times New Roman"/>
                <w:b/>
                <w:bCs/>
                <w:color w:val="auto"/>
                <w:kern w:val="2"/>
                <w:sz w:val="24"/>
                <w:szCs w:val="24"/>
                <w:highlight w:val="none"/>
                <w:u w:val="none" w:color="auto"/>
                <w:lang w:val="en-US" w:eastAsia="zh-CN" w:bidi="ar-SA"/>
              </w:rPr>
              <w:t>九</w:t>
            </w:r>
            <w:r>
              <w:rPr>
                <w:rFonts w:hint="default" w:ascii="Times New Roman" w:hAnsi="Times New Roman" w:eastAsia="宋体" w:cs="Times New Roman"/>
                <w:b/>
                <w:bCs/>
                <w:color w:val="auto"/>
                <w:kern w:val="2"/>
                <w:sz w:val="24"/>
                <w:szCs w:val="24"/>
                <w:highlight w:val="none"/>
                <w:u w:val="none" w:color="auto"/>
                <w:lang w:val="en-US" w:eastAsia="zh-CN" w:bidi="ar-SA"/>
              </w:rPr>
              <w:t>、环境管理及环境监测</w:t>
            </w:r>
          </w:p>
          <w:p w14:paraId="39E6526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（1）环境管理与污染源自行监测要求</w:t>
            </w:r>
          </w:p>
          <w:p w14:paraId="60BCA0B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根据本项目的生产特点，对环境管理机构的设置建议如下：</w:t>
            </w:r>
          </w:p>
          <w:p w14:paraId="01992F0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环境管理应由总经理主管负责，下设环境保护专职机构，并与各职能部门保持密切的联系，由专职环境保护</w:t>
            </w:r>
            <w:r>
              <w:rPr>
                <w:rFonts w:hint="eastAsia" w:ascii="Times New Roman" w:hAnsi="Times New Roman" w:eastAsia="宋体" w:cs="Times New Roman"/>
                <w:color w:val="auto"/>
                <w:sz w:val="24"/>
                <w:highlight w:val="none"/>
                <w:u w:val="none" w:color="auto"/>
                <w:lang w:eastAsia="zh-CN"/>
              </w:rPr>
              <w:t>管理</w:t>
            </w:r>
            <w:r>
              <w:rPr>
                <w:rFonts w:hint="default" w:ascii="Times New Roman" w:hAnsi="Times New Roman" w:eastAsia="宋体" w:cs="Times New Roman"/>
                <w:color w:val="auto"/>
                <w:sz w:val="24"/>
                <w:highlight w:val="none"/>
                <w:u w:val="none" w:color="auto"/>
              </w:rPr>
              <w:t>工作人员实施全公司的环境管理工作，其主要职责是：</w:t>
            </w:r>
          </w:p>
          <w:p w14:paraId="4183099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①贯彻执行国家环境保护法规和标准；</w:t>
            </w:r>
          </w:p>
          <w:p w14:paraId="465B518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②接受环保主管部门的检查监督，定期上报各项环境管理工作的执行情况；</w:t>
            </w:r>
          </w:p>
          <w:p w14:paraId="6659497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③组织制定公司各部门的环境管理规章制度；</w:t>
            </w:r>
          </w:p>
          <w:p w14:paraId="2B4089D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④负责环保设施的正常运转，以及环境监测计划的实施。</w:t>
            </w:r>
          </w:p>
          <w:p w14:paraId="774D4739">
            <w:pPr>
              <w:keepNext w:val="0"/>
              <w:keepLines w:val="0"/>
              <w:numPr>
                <w:ilvl w:val="0"/>
                <w:numId w:val="4"/>
              </w:numPr>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环境监测计划</w:t>
            </w:r>
          </w:p>
          <w:p w14:paraId="2990BB6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项目环境监测的</w:t>
            </w:r>
            <w:r>
              <w:rPr>
                <w:rFonts w:hint="default" w:ascii="Times New Roman" w:hAnsi="Times New Roman" w:eastAsia="宋体" w:cs="Times New Roman"/>
                <w:color w:val="auto"/>
                <w:sz w:val="24"/>
                <w:highlight w:val="none"/>
                <w:u w:val="none" w:color="auto"/>
                <w:lang w:eastAsia="zh-CN"/>
              </w:rPr>
              <w:t>目的是了</w:t>
            </w:r>
            <w:r>
              <w:rPr>
                <w:rFonts w:hint="default" w:ascii="Times New Roman" w:hAnsi="Times New Roman" w:eastAsia="宋体" w:cs="Times New Roman"/>
                <w:color w:val="auto"/>
                <w:sz w:val="24"/>
                <w:highlight w:val="none"/>
                <w:u w:val="none" w:color="auto"/>
              </w:rPr>
              <w:t>解建设项目营运期对所在区域的环境质量</w:t>
            </w:r>
            <w:r>
              <w:rPr>
                <w:rFonts w:hint="default" w:ascii="Times New Roman" w:hAnsi="Times New Roman" w:eastAsia="宋体" w:cs="Times New Roman"/>
                <w:color w:val="auto"/>
                <w:sz w:val="24"/>
                <w:highlight w:val="none"/>
                <w:u w:val="none" w:color="auto"/>
                <w:lang w:eastAsia="zh-CN"/>
              </w:rPr>
              <w:t>的</w:t>
            </w:r>
            <w:r>
              <w:rPr>
                <w:rFonts w:hint="default" w:ascii="Times New Roman" w:hAnsi="Times New Roman" w:eastAsia="宋体" w:cs="Times New Roman"/>
                <w:color w:val="auto"/>
                <w:sz w:val="24"/>
                <w:highlight w:val="none"/>
                <w:u w:val="none" w:color="auto"/>
              </w:rPr>
              <w:t>影响，</w:t>
            </w:r>
            <w:r>
              <w:rPr>
                <w:rFonts w:hint="default" w:ascii="Times New Roman" w:hAnsi="Times New Roman" w:eastAsia="宋体" w:cs="Times New Roman"/>
                <w:color w:val="auto"/>
                <w:sz w:val="24"/>
                <w:highlight w:val="none"/>
                <w:u w:val="none" w:color="auto"/>
                <w:lang w:eastAsia="zh-CN"/>
              </w:rPr>
              <w:t>能够</w:t>
            </w:r>
            <w:r>
              <w:rPr>
                <w:rFonts w:hint="default" w:ascii="Times New Roman" w:hAnsi="Times New Roman" w:eastAsia="宋体" w:cs="Times New Roman"/>
                <w:color w:val="auto"/>
                <w:sz w:val="24"/>
                <w:highlight w:val="none"/>
                <w:u w:val="none" w:color="auto"/>
              </w:rPr>
              <w:t>及时向主管部门反馈信息，为项目的环境管理提供科学依据。在项目营运期应建立完整的监测制度，按规定的监测时段、监测频率进行监测。建议委托有资质的地方环境监测单位进行。项目所有</w:t>
            </w:r>
            <w:r>
              <w:rPr>
                <w:rFonts w:hint="default" w:ascii="Times New Roman" w:hAnsi="Times New Roman" w:eastAsia="宋体" w:cs="Times New Roman"/>
                <w:color w:val="auto"/>
                <w:sz w:val="24"/>
                <w:highlight w:val="none"/>
                <w:u w:val="none" w:color="auto"/>
                <w:lang w:eastAsia="zh-CN"/>
              </w:rPr>
              <w:t>检测</w:t>
            </w:r>
            <w:r>
              <w:rPr>
                <w:rFonts w:hint="default" w:ascii="Times New Roman" w:hAnsi="Times New Roman" w:eastAsia="宋体" w:cs="Times New Roman"/>
                <w:color w:val="auto"/>
                <w:sz w:val="24"/>
                <w:highlight w:val="none"/>
                <w:u w:val="none" w:color="auto"/>
              </w:rPr>
              <w:t>方法与分析方法采用现行国家或行业的有关标准或规范进行。当发生污染事故时，应根据具体情况相应增加监测频率，并进行追踪监测。</w:t>
            </w:r>
          </w:p>
          <w:p w14:paraId="4BA2A16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color w:val="auto"/>
                <w:sz w:val="24"/>
                <w:highlight w:val="none"/>
                <w:u w:val="none" w:color="auto"/>
              </w:rPr>
              <w:t>根据《排污单位自行监测技术指南总则》（HJ819-2017），制定本项目</w:t>
            </w:r>
            <w:r>
              <w:rPr>
                <w:rFonts w:hint="default" w:ascii="Times New Roman" w:hAnsi="Times New Roman" w:eastAsia="宋体" w:cs="Times New Roman"/>
                <w:color w:val="auto"/>
                <w:sz w:val="24"/>
                <w:highlight w:val="none"/>
                <w:u w:val="none" w:color="auto"/>
                <w:lang w:eastAsia="zh-CN"/>
              </w:rPr>
              <w:t>的环境</w:t>
            </w:r>
            <w:r>
              <w:rPr>
                <w:rFonts w:hint="default" w:ascii="Times New Roman" w:hAnsi="Times New Roman" w:eastAsia="宋体" w:cs="Times New Roman"/>
                <w:color w:val="auto"/>
                <w:sz w:val="24"/>
                <w:highlight w:val="none"/>
                <w:u w:val="none" w:color="auto"/>
              </w:rPr>
              <w:t>监测计划，项目营运期环境监测计划见4-</w:t>
            </w:r>
            <w:r>
              <w:rPr>
                <w:rFonts w:hint="eastAsia" w:cs="Times New Roman"/>
                <w:color w:val="auto"/>
                <w:sz w:val="24"/>
                <w:highlight w:val="none"/>
                <w:u w:val="none" w:color="auto"/>
                <w:lang w:val="en-US" w:eastAsia="zh-CN"/>
              </w:rPr>
              <w:t>12</w:t>
            </w:r>
            <w:r>
              <w:rPr>
                <w:rFonts w:hint="default" w:ascii="Times New Roman" w:hAnsi="Times New Roman" w:eastAsia="宋体" w:cs="Times New Roman"/>
                <w:color w:val="auto"/>
                <w:sz w:val="24"/>
                <w:highlight w:val="none"/>
                <w:u w:val="none" w:color="auto"/>
              </w:rPr>
              <w:t>。</w:t>
            </w:r>
          </w:p>
          <w:p w14:paraId="7E5CF9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z w:val="21"/>
                <w:szCs w:val="21"/>
                <w:highlight w:val="none"/>
                <w:u w:val="none" w:color="auto"/>
                <w:lang w:val="en-US" w:eastAsia="zh-CN"/>
              </w:rPr>
              <w:t>4-</w:t>
            </w:r>
            <w:r>
              <w:rPr>
                <w:rFonts w:hint="eastAsia" w:cs="Times New Roman"/>
                <w:b/>
                <w:color w:val="auto"/>
                <w:sz w:val="21"/>
                <w:szCs w:val="21"/>
                <w:highlight w:val="none"/>
                <w:u w:val="none" w:color="auto"/>
                <w:lang w:val="en-US" w:eastAsia="zh-CN"/>
              </w:rPr>
              <w:t>12</w:t>
            </w:r>
            <w:r>
              <w:rPr>
                <w:rFonts w:hint="default" w:ascii="Times New Roman" w:hAnsi="Times New Roman" w:eastAsia="宋体" w:cs="Times New Roman"/>
                <w:b/>
                <w:color w:val="auto"/>
                <w:sz w:val="21"/>
                <w:szCs w:val="21"/>
                <w:highlight w:val="none"/>
                <w:u w:val="none" w:color="auto"/>
                <w:lang w:eastAsia="zh-CN"/>
              </w:rPr>
              <w:t>项目</w:t>
            </w:r>
            <w:r>
              <w:rPr>
                <w:rFonts w:hint="default" w:ascii="Times New Roman" w:hAnsi="Times New Roman" w:eastAsia="宋体" w:cs="Times New Roman"/>
                <w:b/>
                <w:color w:val="auto"/>
                <w:sz w:val="21"/>
                <w:szCs w:val="21"/>
                <w:highlight w:val="none"/>
                <w:u w:val="none" w:color="auto"/>
              </w:rPr>
              <w:t>环境监测计划一览表</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28" w:type="dxa"/>
                <w:bottom w:w="0" w:type="dxa"/>
                <w:right w:w="28" w:type="dxa"/>
              </w:tblCellMar>
            </w:tblPr>
            <w:tblGrid>
              <w:gridCol w:w="1959"/>
              <w:gridCol w:w="2782"/>
              <w:gridCol w:w="1857"/>
              <w:gridCol w:w="1559"/>
            </w:tblGrid>
            <w:tr w14:paraId="479F3229">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340" w:hRule="atLeast"/>
                <w:jc w:val="center"/>
              </w:trPr>
              <w:tc>
                <w:tcPr>
                  <w:tcW w:w="1458" w:type="dxa"/>
                  <w:tcBorders>
                    <w:tl2br w:val="nil"/>
                    <w:tr2bl w:val="nil"/>
                  </w:tcBorders>
                  <w:noWrap w:val="0"/>
                  <w:tcMar>
                    <w:top w:w="0" w:type="dxa"/>
                    <w:left w:w="113" w:type="dxa"/>
                    <w:bottom w:w="0" w:type="dxa"/>
                    <w:right w:w="113" w:type="dxa"/>
                  </w:tcMar>
                  <w:vAlign w:val="center"/>
                </w:tcPr>
                <w:p w14:paraId="0EC05558">
                  <w:pPr>
                    <w:keepNext w:val="0"/>
                    <w:keepLines w:val="0"/>
                    <w:suppressLineNumbers w:val="0"/>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监测</w:t>
                  </w:r>
                </w:p>
                <w:p w14:paraId="7CC9944A">
                  <w:pPr>
                    <w:keepNext w:val="0"/>
                    <w:keepLines w:val="0"/>
                    <w:suppressLineNumbers w:val="0"/>
                    <w:spacing w:before="0" w:beforeAutospacing="0" w:after="0" w:afterAutospacing="0"/>
                    <w:ind w:left="-63" w:leftChars="-30" w:right="-88" w:rightChars="-42"/>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要素</w:t>
                  </w:r>
                </w:p>
              </w:tc>
              <w:tc>
                <w:tcPr>
                  <w:tcW w:w="2070" w:type="dxa"/>
                  <w:tcBorders>
                    <w:tl2br w:val="nil"/>
                    <w:tr2bl w:val="nil"/>
                  </w:tcBorders>
                  <w:noWrap w:val="0"/>
                  <w:tcMar>
                    <w:top w:w="0" w:type="dxa"/>
                    <w:left w:w="113" w:type="dxa"/>
                    <w:bottom w:w="0" w:type="dxa"/>
                    <w:right w:w="113" w:type="dxa"/>
                  </w:tcMar>
                  <w:vAlign w:val="center"/>
                </w:tcPr>
                <w:p w14:paraId="667785B7">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监测地点</w:t>
                  </w:r>
                </w:p>
              </w:tc>
              <w:tc>
                <w:tcPr>
                  <w:tcW w:w="1382" w:type="dxa"/>
                  <w:tcBorders>
                    <w:tl2br w:val="nil"/>
                    <w:tr2bl w:val="nil"/>
                  </w:tcBorders>
                  <w:noWrap w:val="0"/>
                  <w:tcMar>
                    <w:top w:w="0" w:type="dxa"/>
                    <w:left w:w="113" w:type="dxa"/>
                    <w:bottom w:w="0" w:type="dxa"/>
                    <w:right w:w="113" w:type="dxa"/>
                  </w:tcMar>
                  <w:vAlign w:val="center"/>
                </w:tcPr>
                <w:p w14:paraId="2B076F11">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监测指标</w:t>
                  </w:r>
                </w:p>
              </w:tc>
              <w:tc>
                <w:tcPr>
                  <w:tcW w:w="1160" w:type="dxa"/>
                  <w:tcBorders>
                    <w:tl2br w:val="nil"/>
                    <w:tr2bl w:val="nil"/>
                  </w:tcBorders>
                  <w:noWrap w:val="0"/>
                  <w:tcMar>
                    <w:top w:w="0" w:type="dxa"/>
                    <w:left w:w="113" w:type="dxa"/>
                    <w:bottom w:w="0" w:type="dxa"/>
                    <w:right w:w="113" w:type="dxa"/>
                  </w:tcMar>
                  <w:vAlign w:val="center"/>
                </w:tcPr>
                <w:p w14:paraId="4AEB774C">
                  <w:pPr>
                    <w:keepNext w:val="0"/>
                    <w:keepLines w:val="0"/>
                    <w:suppressLineNumbers w:val="0"/>
                    <w:adjustRightInd w:val="0"/>
                    <w:snapToGrid w:val="0"/>
                    <w:spacing w:before="0" w:beforeAutospacing="0" w:after="0" w:afterAutospacing="0"/>
                    <w:ind w:left="-63" w:leftChars="-30" w:right="-88" w:rightChars="-42"/>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监测频次</w:t>
                  </w:r>
                </w:p>
              </w:tc>
            </w:tr>
            <w:tr w14:paraId="6A453A5E">
              <w:tblPrEx>
                <w:tblBorders>
                  <w:top w:val="single" w:color="auto" w:sz="4" w:space="0"/>
                  <w:left w:val="single" w:color="auto" w:sz="4" w:space="0"/>
                  <w:bottom w:val="single" w:color="auto" w:sz="4" w:space="0"/>
                  <w:right w:val="single" w:color="auto" w:sz="4" w:space="0"/>
                  <w:insideH w:val="single" w:color="auto" w:sz="4" w:space="0"/>
                  <w:insideV w:val="single" w:color="auto" w:sz="8" w:space="0"/>
                </w:tblBorders>
                <w:tblCellMar>
                  <w:top w:w="0" w:type="dxa"/>
                  <w:left w:w="28" w:type="dxa"/>
                  <w:bottom w:w="0" w:type="dxa"/>
                  <w:right w:w="28" w:type="dxa"/>
                </w:tblCellMar>
              </w:tblPrEx>
              <w:trPr>
                <w:trHeight w:val="90" w:hRule="atLeast"/>
                <w:jc w:val="center"/>
              </w:trPr>
              <w:tc>
                <w:tcPr>
                  <w:tcW w:w="1458" w:type="dxa"/>
                  <w:tcBorders>
                    <w:tl2br w:val="nil"/>
                    <w:tr2bl w:val="nil"/>
                  </w:tcBorders>
                  <w:noWrap w:val="0"/>
                  <w:tcMar>
                    <w:top w:w="0" w:type="dxa"/>
                    <w:left w:w="113" w:type="dxa"/>
                    <w:bottom w:w="0" w:type="dxa"/>
                    <w:right w:w="113" w:type="dxa"/>
                  </w:tcMar>
                  <w:vAlign w:val="center"/>
                </w:tcPr>
                <w:p w14:paraId="73980BF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2070" w:type="dxa"/>
                  <w:tcBorders>
                    <w:tl2br w:val="nil"/>
                    <w:tr2bl w:val="nil"/>
                  </w:tcBorders>
                  <w:noWrap w:val="0"/>
                  <w:tcMar>
                    <w:top w:w="0" w:type="dxa"/>
                    <w:left w:w="113" w:type="dxa"/>
                    <w:bottom w:w="0" w:type="dxa"/>
                    <w:right w:w="113" w:type="dxa"/>
                  </w:tcMar>
                  <w:vAlign w:val="center"/>
                </w:tcPr>
                <w:p w14:paraId="361BBAF5">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东、南、西、北厂界</w:t>
                  </w:r>
                </w:p>
              </w:tc>
              <w:tc>
                <w:tcPr>
                  <w:tcW w:w="1382" w:type="dxa"/>
                  <w:tcBorders>
                    <w:tl2br w:val="nil"/>
                    <w:tr2bl w:val="nil"/>
                  </w:tcBorders>
                  <w:noWrap w:val="0"/>
                  <w:tcMar>
                    <w:top w:w="0" w:type="dxa"/>
                    <w:left w:w="113" w:type="dxa"/>
                    <w:bottom w:w="0" w:type="dxa"/>
                    <w:right w:w="113" w:type="dxa"/>
                  </w:tcMar>
                  <w:vAlign w:val="center"/>
                </w:tcPr>
                <w:p w14:paraId="69F3CC9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等效连续A声级</w:t>
                  </w:r>
                </w:p>
              </w:tc>
              <w:tc>
                <w:tcPr>
                  <w:tcW w:w="1160" w:type="dxa"/>
                  <w:tcBorders>
                    <w:tl2br w:val="nil"/>
                    <w:tr2bl w:val="nil"/>
                  </w:tcBorders>
                  <w:noWrap w:val="0"/>
                  <w:tcMar>
                    <w:top w:w="0" w:type="dxa"/>
                    <w:left w:w="113" w:type="dxa"/>
                    <w:bottom w:w="0" w:type="dxa"/>
                    <w:right w:w="113" w:type="dxa"/>
                  </w:tcMar>
                  <w:vAlign w:val="center"/>
                </w:tcPr>
                <w:p w14:paraId="76A5252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1次/季度</w:t>
                  </w:r>
                </w:p>
              </w:tc>
            </w:tr>
          </w:tbl>
          <w:p w14:paraId="77D8B7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color w:val="auto"/>
                <w:sz w:val="24"/>
                <w:szCs w:val="24"/>
                <w:highlight w:val="none"/>
                <w:u w:val="none" w:color="auto"/>
              </w:rPr>
            </w:pPr>
            <w:r>
              <w:rPr>
                <w:rFonts w:hint="eastAsia" w:cs="Times New Roman"/>
                <w:b/>
                <w:color w:val="auto"/>
                <w:sz w:val="24"/>
                <w:szCs w:val="24"/>
                <w:highlight w:val="none"/>
                <w:u w:val="none" w:color="auto"/>
                <w:lang w:val="en-US" w:eastAsia="zh-CN"/>
              </w:rPr>
              <w:t>十</w:t>
            </w:r>
            <w:r>
              <w:rPr>
                <w:rFonts w:hint="default" w:ascii="Times New Roman" w:hAnsi="Times New Roman" w:eastAsia="宋体" w:cs="Times New Roman"/>
                <w:b/>
                <w:color w:val="auto"/>
                <w:sz w:val="24"/>
                <w:szCs w:val="24"/>
                <w:highlight w:val="none"/>
                <w:u w:val="none" w:color="auto"/>
                <w:lang w:val="en-US" w:eastAsia="zh-CN"/>
              </w:rPr>
              <w:t>、</w:t>
            </w:r>
            <w:r>
              <w:rPr>
                <w:rFonts w:hint="default" w:ascii="Times New Roman" w:hAnsi="Times New Roman" w:eastAsia="宋体" w:cs="Times New Roman"/>
                <w:b/>
                <w:color w:val="auto"/>
                <w:sz w:val="24"/>
                <w:szCs w:val="24"/>
                <w:highlight w:val="none"/>
                <w:u w:val="none" w:color="auto"/>
              </w:rPr>
              <w:t>项目“三同时”及环保投资</w:t>
            </w:r>
          </w:p>
          <w:p w14:paraId="4F2245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本项目 “三同时”及环保投资见下表，项目总投资</w:t>
            </w:r>
            <w:r>
              <w:rPr>
                <w:rFonts w:hint="eastAsia" w:ascii="Times New Roman" w:hAnsi="Times New Roman" w:eastAsia="宋体" w:cs="Times New Roman"/>
                <w:color w:val="auto"/>
                <w:sz w:val="24"/>
                <w:highlight w:val="none"/>
                <w:u w:val="none" w:color="auto"/>
                <w:lang w:val="en-US" w:eastAsia="zh-CN"/>
              </w:rPr>
              <w:t>30</w:t>
            </w:r>
            <w:r>
              <w:rPr>
                <w:rFonts w:hint="default" w:ascii="Times New Roman" w:hAnsi="Times New Roman" w:eastAsia="宋体" w:cs="Times New Roman"/>
                <w:color w:val="auto"/>
                <w:sz w:val="24"/>
                <w:highlight w:val="none"/>
                <w:u w:val="none" w:color="auto"/>
              </w:rPr>
              <w:t>万元，环保投资</w:t>
            </w:r>
            <w:r>
              <w:rPr>
                <w:rFonts w:hint="eastAsia" w:ascii="Times New Roman" w:hAnsi="Times New Roman" w:eastAsia="宋体" w:cs="Times New Roman"/>
                <w:color w:val="auto"/>
                <w:sz w:val="24"/>
                <w:highlight w:val="none"/>
                <w:u w:val="none" w:color="auto"/>
                <w:lang w:val="en-US" w:eastAsia="zh-CN"/>
              </w:rPr>
              <w:t>3</w:t>
            </w:r>
            <w:r>
              <w:rPr>
                <w:rFonts w:hint="default" w:ascii="Times New Roman" w:hAnsi="Times New Roman" w:eastAsia="宋体" w:cs="Times New Roman"/>
                <w:color w:val="auto"/>
                <w:sz w:val="24"/>
                <w:highlight w:val="none"/>
                <w:u w:val="none" w:color="auto"/>
              </w:rPr>
              <w:t>万元，占总投资的</w:t>
            </w:r>
            <w:r>
              <w:rPr>
                <w:rFonts w:hint="eastAsia" w:ascii="Times New Roman" w:hAnsi="Times New Roman" w:eastAsia="宋体" w:cs="Times New Roman"/>
                <w:color w:val="auto"/>
                <w:sz w:val="24"/>
                <w:highlight w:val="none"/>
                <w:u w:val="none" w:color="auto"/>
                <w:lang w:val="en-US" w:eastAsia="zh-CN"/>
              </w:rPr>
              <w:t>10</w:t>
            </w:r>
            <w:r>
              <w:rPr>
                <w:rFonts w:hint="default" w:ascii="Times New Roman" w:hAnsi="Times New Roman" w:eastAsia="宋体" w:cs="Times New Roman"/>
                <w:color w:val="auto"/>
                <w:sz w:val="24"/>
                <w:highlight w:val="none"/>
                <w:u w:val="none" w:color="auto"/>
              </w:rPr>
              <w:t>%。</w:t>
            </w:r>
          </w:p>
          <w:p w14:paraId="0B546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highlight w:val="none"/>
                <w:u w:val="none" w:color="auto"/>
                <w:lang w:val="en-US" w:eastAsia="zh-CN"/>
              </w:rPr>
            </w:pPr>
            <w:r>
              <w:rPr>
                <w:rFonts w:hint="eastAsia" w:ascii="Times New Roman" w:hAnsi="Times New Roman" w:eastAsia="宋体" w:cs="Times New Roman"/>
                <w:b/>
                <w:color w:val="auto"/>
                <w:sz w:val="21"/>
                <w:szCs w:val="21"/>
                <w:highlight w:val="none"/>
                <w:u w:val="none" w:color="auto"/>
                <w:lang w:val="en-US" w:eastAsia="zh-CN"/>
              </w:rPr>
              <w:t>表4-</w:t>
            </w:r>
            <w:r>
              <w:rPr>
                <w:rFonts w:hint="eastAsia" w:cs="Times New Roman"/>
                <w:b/>
                <w:color w:val="auto"/>
                <w:sz w:val="21"/>
                <w:szCs w:val="21"/>
                <w:highlight w:val="none"/>
                <w:u w:val="none" w:color="auto"/>
                <w:lang w:val="en-US" w:eastAsia="zh-CN"/>
              </w:rPr>
              <w:t>13</w:t>
            </w:r>
            <w:r>
              <w:rPr>
                <w:rFonts w:hint="eastAsia" w:ascii="Times New Roman" w:hAnsi="Times New Roman" w:eastAsia="宋体" w:cs="Times New Roman"/>
                <w:b/>
                <w:color w:val="auto"/>
                <w:sz w:val="21"/>
                <w:szCs w:val="21"/>
                <w:highlight w:val="none"/>
                <w:u w:val="none" w:color="auto"/>
                <w:lang w:val="en-US" w:eastAsia="zh-CN"/>
              </w:rPr>
              <w:t xml:space="preserve"> 项目“三同时”及环保投资一览表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65"/>
              <w:gridCol w:w="2550"/>
              <w:gridCol w:w="1065"/>
              <w:gridCol w:w="2697"/>
            </w:tblGrid>
            <w:tr w14:paraId="5635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shd w:val="clear" w:color="auto" w:fill="auto"/>
                  <w:vAlign w:val="center"/>
                </w:tcPr>
                <w:p w14:paraId="3C6D748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r>
                    <w:rPr>
                      <w:rFonts w:hint="default" w:ascii="Times New Roman" w:hAnsi="Times New Roman" w:eastAsia="宋体" w:cs="Times New Roman"/>
                      <w:caps w:val="0"/>
                      <w:color w:val="auto"/>
                      <w:kern w:val="0"/>
                      <w:sz w:val="21"/>
                      <w:szCs w:val="21"/>
                      <w:u w:val="none" w:color="auto"/>
                    </w:rPr>
                    <w:t>实施阶段</w:t>
                  </w:r>
                </w:p>
              </w:tc>
              <w:tc>
                <w:tcPr>
                  <w:tcW w:w="1065" w:type="dxa"/>
                  <w:shd w:val="clear" w:color="auto" w:fill="auto"/>
                  <w:vAlign w:val="center"/>
                </w:tcPr>
                <w:p w14:paraId="3BFBDB2F">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r>
                    <w:rPr>
                      <w:rFonts w:hint="default" w:ascii="Times New Roman" w:hAnsi="Times New Roman" w:eastAsia="宋体" w:cs="Times New Roman"/>
                      <w:caps w:val="0"/>
                      <w:color w:val="auto"/>
                      <w:kern w:val="0"/>
                      <w:sz w:val="21"/>
                      <w:szCs w:val="21"/>
                      <w:u w:val="none" w:color="auto"/>
                    </w:rPr>
                    <w:t>项目名称</w:t>
                  </w:r>
                </w:p>
              </w:tc>
              <w:tc>
                <w:tcPr>
                  <w:tcW w:w="2550" w:type="dxa"/>
                  <w:shd w:val="clear" w:color="auto" w:fill="auto"/>
                  <w:vAlign w:val="center"/>
                </w:tcPr>
                <w:p w14:paraId="4D12CA4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r>
                    <w:rPr>
                      <w:rFonts w:hint="default" w:ascii="Times New Roman" w:hAnsi="Times New Roman" w:eastAsia="宋体" w:cs="Times New Roman"/>
                      <w:caps w:val="0"/>
                      <w:color w:val="auto"/>
                      <w:kern w:val="0"/>
                      <w:sz w:val="21"/>
                      <w:szCs w:val="21"/>
                      <w:u w:val="none" w:color="auto"/>
                    </w:rPr>
                    <w:t>建设内容</w:t>
                  </w:r>
                </w:p>
              </w:tc>
              <w:tc>
                <w:tcPr>
                  <w:tcW w:w="1065" w:type="dxa"/>
                  <w:shd w:val="clear" w:color="auto" w:fill="auto"/>
                  <w:vAlign w:val="center"/>
                </w:tcPr>
                <w:p w14:paraId="7A85F1A4">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r>
                    <w:rPr>
                      <w:rFonts w:hint="eastAsia" w:ascii="Times New Roman" w:hAnsi="Times New Roman" w:eastAsia="宋体" w:cs="Times New Roman"/>
                      <w:caps w:val="0"/>
                      <w:color w:val="auto"/>
                      <w:kern w:val="0"/>
                      <w:sz w:val="21"/>
                      <w:szCs w:val="21"/>
                      <w:u w:val="none" w:color="auto"/>
                    </w:rPr>
                    <w:t>环保投资（万元）</w:t>
                  </w:r>
                </w:p>
              </w:tc>
              <w:tc>
                <w:tcPr>
                  <w:tcW w:w="2697" w:type="dxa"/>
                  <w:shd w:val="clear" w:color="auto" w:fill="auto"/>
                  <w:vAlign w:val="center"/>
                </w:tcPr>
                <w:p w14:paraId="45C9B27E">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r>
                    <w:rPr>
                      <w:rFonts w:hint="default" w:ascii="Times New Roman" w:hAnsi="Times New Roman" w:eastAsia="宋体" w:cs="Times New Roman"/>
                      <w:caps w:val="0"/>
                      <w:color w:val="auto"/>
                      <w:kern w:val="0"/>
                      <w:sz w:val="21"/>
                      <w:szCs w:val="21"/>
                      <w:u w:val="none" w:color="auto"/>
                    </w:rPr>
                    <w:t>验收标准</w:t>
                  </w:r>
                </w:p>
              </w:tc>
            </w:tr>
            <w:tr w14:paraId="75A4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shd w:val="clear" w:color="auto" w:fill="auto"/>
                  <w:vAlign w:val="center"/>
                </w:tcPr>
                <w:p w14:paraId="1A65AEDB">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37FD7C67">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7DAE8E53">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7C9A95CA">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4D746298">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17ABAEFE">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6DB904C1">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4268D954">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233BD109">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aps w:val="0"/>
                      <w:color w:val="auto"/>
                      <w:kern w:val="0"/>
                      <w:sz w:val="21"/>
                      <w:szCs w:val="21"/>
                      <w:u w:val="none" w:color="auto"/>
                    </w:rPr>
                  </w:pPr>
                </w:p>
                <w:p w14:paraId="69AB93A2">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r>
                    <w:rPr>
                      <w:rFonts w:hint="eastAsia" w:ascii="Times New Roman" w:hAnsi="Times New Roman" w:eastAsia="宋体" w:cs="Times New Roman"/>
                      <w:caps w:val="0"/>
                      <w:color w:val="auto"/>
                      <w:kern w:val="0"/>
                      <w:sz w:val="21"/>
                      <w:szCs w:val="21"/>
                      <w:u w:val="none" w:color="auto"/>
                    </w:rPr>
                    <w:t>运营期</w:t>
                  </w:r>
                </w:p>
              </w:tc>
              <w:tc>
                <w:tcPr>
                  <w:tcW w:w="1065" w:type="dxa"/>
                  <w:shd w:val="clear" w:color="auto" w:fill="auto"/>
                  <w:vAlign w:val="center"/>
                </w:tcPr>
                <w:p w14:paraId="1E5017BE">
                  <w:pPr>
                    <w:keepNext w:val="0"/>
                    <w:keepLines w:val="0"/>
                    <w:suppressLineNumbers w:val="0"/>
                    <w:snapToGrid w:val="0"/>
                    <w:spacing w:before="0" w:beforeAutospacing="0" w:after="0" w:afterAutospacing="0" w:line="240" w:lineRule="auto"/>
                    <w:ind w:left="-108" w:right="-108"/>
                    <w:jc w:val="center"/>
                    <w:rPr>
                      <w:rFonts w:hint="default" w:ascii="Times New Roman" w:hAnsi="Times New Roman" w:eastAsia="宋体" w:cs="Times New Roman"/>
                      <w:caps w:val="0"/>
                      <w:color w:val="auto"/>
                      <w:sz w:val="21"/>
                      <w:szCs w:val="21"/>
                      <w:u w:val="none" w:color="auto"/>
                    </w:rPr>
                  </w:pPr>
                  <w:r>
                    <w:rPr>
                      <w:rFonts w:hint="default" w:ascii="Times New Roman" w:hAnsi="Times New Roman" w:eastAsia="宋体" w:cs="Times New Roman"/>
                      <w:caps w:val="0"/>
                      <w:color w:val="auto"/>
                      <w:sz w:val="21"/>
                      <w:szCs w:val="21"/>
                      <w:u w:val="none" w:color="auto"/>
                    </w:rPr>
                    <w:t>废水治理</w:t>
                  </w:r>
                </w:p>
              </w:tc>
              <w:tc>
                <w:tcPr>
                  <w:tcW w:w="2550" w:type="dxa"/>
                  <w:shd w:val="clear" w:color="auto" w:fill="auto"/>
                  <w:vAlign w:val="center"/>
                </w:tcPr>
                <w:p w14:paraId="3C5371EC">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rPr>
                  </w:pPr>
                  <w:r>
                    <w:rPr>
                      <w:rFonts w:hint="default" w:ascii="Times New Roman" w:hAnsi="Times New Roman" w:eastAsia="宋体" w:cs="Times New Roman"/>
                      <w:caps w:val="0"/>
                      <w:color w:val="auto"/>
                      <w:sz w:val="21"/>
                      <w:szCs w:val="21"/>
                      <w:u w:val="none" w:color="auto"/>
                      <w:lang w:val="en-US" w:eastAsia="zh-CN"/>
                    </w:rPr>
                    <w:t>化粪池</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含油污水处理站</w:t>
                  </w:r>
                  <w:r>
                    <w:rPr>
                      <w:rFonts w:hint="default" w:ascii="Times New Roman" w:hAnsi="Times New Roman" w:eastAsia="宋体" w:cs="Times New Roman"/>
                      <w:caps w:val="0"/>
                      <w:color w:val="auto"/>
                      <w:sz w:val="21"/>
                      <w:szCs w:val="21"/>
                      <w:u w:val="none" w:color="auto"/>
                      <w:lang w:eastAsia="zh-CN"/>
                    </w:rPr>
                    <w:t>（</w:t>
                  </w:r>
                  <w:r>
                    <w:rPr>
                      <w:rFonts w:hint="default" w:ascii="Times New Roman" w:hAnsi="Times New Roman" w:eastAsia="宋体" w:cs="Times New Roman"/>
                      <w:caps w:val="0"/>
                      <w:color w:val="auto"/>
                      <w:sz w:val="21"/>
                      <w:szCs w:val="21"/>
                      <w:u w:val="none" w:color="auto"/>
                      <w:lang w:val="en-US" w:eastAsia="zh-CN"/>
                    </w:rPr>
                    <w:t>依托</w:t>
                  </w:r>
                  <w:r>
                    <w:rPr>
                      <w:rFonts w:hint="eastAsia" w:ascii="Times New Roman" w:hAnsi="Times New Roman" w:eastAsia="宋体" w:cs="Times New Roman"/>
                      <w:caps w:val="0"/>
                      <w:color w:val="auto"/>
                      <w:sz w:val="21"/>
                      <w:szCs w:val="21"/>
                      <w:u w:val="none" w:color="auto"/>
                      <w:lang w:val="en-US" w:eastAsia="zh-CN"/>
                    </w:rPr>
                    <w:t>现有</w:t>
                  </w:r>
                  <w:r>
                    <w:rPr>
                      <w:rFonts w:hint="default" w:ascii="Times New Roman" w:hAnsi="Times New Roman" w:eastAsia="宋体" w:cs="Times New Roman"/>
                      <w:caps w:val="0"/>
                      <w:color w:val="auto"/>
                      <w:sz w:val="21"/>
                      <w:szCs w:val="21"/>
                      <w:u w:val="none" w:color="auto"/>
                      <w:lang w:eastAsia="zh-CN"/>
                    </w:rPr>
                    <w:t>）</w:t>
                  </w:r>
                </w:p>
              </w:tc>
              <w:tc>
                <w:tcPr>
                  <w:tcW w:w="1065" w:type="dxa"/>
                  <w:shd w:val="clear" w:color="auto" w:fill="auto"/>
                  <w:vAlign w:val="center"/>
                </w:tcPr>
                <w:p w14:paraId="04DB7C57">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aps w:val="0"/>
                      <w:color w:val="auto"/>
                      <w:sz w:val="21"/>
                      <w:szCs w:val="21"/>
                      <w:u w:val="none" w:color="auto"/>
                      <w:lang w:eastAsia="zh-CN"/>
                    </w:rPr>
                  </w:pPr>
                  <w:r>
                    <w:rPr>
                      <w:rFonts w:hint="eastAsia" w:ascii="Times New Roman" w:hAnsi="Times New Roman" w:eastAsia="宋体" w:cs="Times New Roman"/>
                      <w:caps w:val="0"/>
                      <w:color w:val="auto"/>
                      <w:sz w:val="21"/>
                      <w:szCs w:val="21"/>
                      <w:u w:val="none" w:color="auto"/>
                      <w:lang w:val="en-US" w:eastAsia="zh-CN"/>
                    </w:rPr>
                    <w:t>0</w:t>
                  </w:r>
                </w:p>
              </w:tc>
              <w:tc>
                <w:tcPr>
                  <w:tcW w:w="2697" w:type="dxa"/>
                  <w:shd w:val="clear" w:color="auto" w:fill="auto"/>
                  <w:vAlign w:val="center"/>
                </w:tcPr>
                <w:p w14:paraId="00E530AB">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生活污水达到《污水综合排放标准》（GB8978-1996）三级标准及大榄坪污水处理厂纳管水质要求、含油污水达到《城市污水再生利用-城市杂用水水质》（GB/T18920-2020）“城市绿化、道路清扫、消防、建筑施工”用水标准和《城市污水再生利用工业用水水质标准》（GB/T19923-2024）“洗涤用水”用水标准</w:t>
                  </w:r>
                </w:p>
              </w:tc>
            </w:tr>
            <w:tr w14:paraId="340B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780" w:type="dxa"/>
                  <w:vMerge w:val="continue"/>
                  <w:shd w:val="clear" w:color="auto" w:fill="auto"/>
                  <w:vAlign w:val="center"/>
                </w:tcPr>
                <w:p w14:paraId="695F7457">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p>
              </w:tc>
              <w:tc>
                <w:tcPr>
                  <w:tcW w:w="1065" w:type="dxa"/>
                  <w:shd w:val="clear" w:color="auto" w:fill="auto"/>
                  <w:vAlign w:val="center"/>
                </w:tcPr>
                <w:p w14:paraId="376F054A">
                  <w:pPr>
                    <w:keepNext w:val="0"/>
                    <w:keepLines w:val="0"/>
                    <w:suppressLineNumbers w:val="0"/>
                    <w:snapToGrid w:val="0"/>
                    <w:spacing w:before="0" w:beforeAutospacing="0" w:after="0" w:afterAutospacing="0" w:line="240" w:lineRule="auto"/>
                    <w:ind w:left="-108" w:right="-108"/>
                    <w:jc w:val="center"/>
                    <w:rPr>
                      <w:rFonts w:hint="default" w:ascii="Times New Roman" w:hAnsi="Times New Roman" w:eastAsia="宋体" w:cs="Times New Roman"/>
                      <w:caps w:val="0"/>
                      <w:color w:val="auto"/>
                      <w:sz w:val="21"/>
                      <w:szCs w:val="21"/>
                      <w:u w:val="none" w:color="auto"/>
                    </w:rPr>
                  </w:pPr>
                  <w:r>
                    <w:rPr>
                      <w:rFonts w:hint="eastAsia" w:ascii="Times New Roman" w:hAnsi="Times New Roman" w:eastAsia="宋体" w:cs="Times New Roman"/>
                      <w:caps w:val="0"/>
                      <w:color w:val="auto"/>
                      <w:sz w:val="21"/>
                      <w:szCs w:val="21"/>
                      <w:u w:val="none" w:color="auto"/>
                    </w:rPr>
                    <w:t>废气治理</w:t>
                  </w:r>
                </w:p>
              </w:tc>
              <w:tc>
                <w:tcPr>
                  <w:tcW w:w="2550" w:type="dxa"/>
                  <w:shd w:val="clear" w:color="auto" w:fill="auto"/>
                  <w:vAlign w:val="center"/>
                </w:tcPr>
                <w:p w14:paraId="79346755">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en-US"/>
                    </w:rPr>
                  </w:pPr>
                  <w:r>
                    <w:rPr>
                      <w:rFonts w:hint="eastAsia" w:ascii="Times New Roman" w:hAnsi="Times New Roman" w:eastAsia="宋体" w:cs="Times New Roman"/>
                      <w:caps w:val="0"/>
                      <w:color w:val="auto"/>
                      <w:sz w:val="21"/>
                      <w:szCs w:val="21"/>
                      <w:u w:val="none" w:color="auto"/>
                      <w:lang w:val="en-US" w:eastAsia="zh-CN"/>
                    </w:rPr>
                    <w:t>使用合格运输车辆，加强车辆及装卸机械设备的维修保养（依托现有）</w:t>
                  </w:r>
                </w:p>
              </w:tc>
              <w:tc>
                <w:tcPr>
                  <w:tcW w:w="1065" w:type="dxa"/>
                  <w:shd w:val="clear" w:color="auto" w:fill="auto"/>
                  <w:vAlign w:val="center"/>
                </w:tcPr>
                <w:p w14:paraId="3377EDE2">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aps w:val="0"/>
                      <w:color w:val="auto"/>
                      <w:sz w:val="21"/>
                      <w:szCs w:val="21"/>
                      <w:u w:val="none" w:color="auto"/>
                      <w:lang w:eastAsia="zh-CN"/>
                    </w:rPr>
                  </w:pPr>
                  <w:r>
                    <w:rPr>
                      <w:rFonts w:hint="eastAsia" w:ascii="Times New Roman" w:hAnsi="Times New Roman" w:eastAsia="宋体" w:cs="Times New Roman"/>
                      <w:caps w:val="0"/>
                      <w:color w:val="auto"/>
                      <w:sz w:val="21"/>
                      <w:szCs w:val="21"/>
                      <w:u w:val="none" w:color="auto"/>
                      <w:lang w:val="en-US" w:eastAsia="zh-CN"/>
                    </w:rPr>
                    <w:t>0</w:t>
                  </w:r>
                </w:p>
              </w:tc>
              <w:tc>
                <w:tcPr>
                  <w:tcW w:w="2697" w:type="dxa"/>
                  <w:shd w:val="clear" w:color="auto" w:fill="auto"/>
                  <w:vAlign w:val="center"/>
                </w:tcPr>
                <w:p w14:paraId="4EE67D8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《大气污染物综合排放标准》（GB16297-1996）表2二级标准值</w:t>
                  </w:r>
                </w:p>
              </w:tc>
            </w:tr>
            <w:tr w14:paraId="6AC2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shd w:val="clear" w:color="auto" w:fill="auto"/>
                  <w:vAlign w:val="center"/>
                </w:tcPr>
                <w:p w14:paraId="2E32296D">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p>
              </w:tc>
              <w:tc>
                <w:tcPr>
                  <w:tcW w:w="1065" w:type="dxa"/>
                  <w:shd w:val="clear" w:color="auto" w:fill="auto"/>
                  <w:vAlign w:val="center"/>
                </w:tcPr>
                <w:p w14:paraId="72647D78">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zh-CN"/>
                    </w:rPr>
                  </w:pPr>
                  <w:r>
                    <w:rPr>
                      <w:rFonts w:hint="default" w:ascii="Times New Roman" w:hAnsi="Times New Roman" w:eastAsia="宋体" w:cs="Times New Roman"/>
                      <w:caps w:val="0"/>
                      <w:color w:val="auto"/>
                      <w:sz w:val="21"/>
                      <w:szCs w:val="21"/>
                      <w:u w:val="none" w:color="auto"/>
                    </w:rPr>
                    <w:t>噪声防治</w:t>
                  </w:r>
                </w:p>
              </w:tc>
              <w:tc>
                <w:tcPr>
                  <w:tcW w:w="2550" w:type="dxa"/>
                  <w:shd w:val="clear" w:color="auto" w:fill="auto"/>
                  <w:vAlign w:val="center"/>
                </w:tcPr>
                <w:p w14:paraId="3C2BB6B6">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zh-CN"/>
                    </w:rPr>
                    <w:t>选用低噪声设备；加强设备的日常检修</w:t>
                  </w:r>
                  <w:r>
                    <w:rPr>
                      <w:rFonts w:hint="eastAsia" w:ascii="Times New Roman" w:hAnsi="Times New Roman" w:eastAsia="宋体" w:cs="Times New Roman"/>
                      <w:caps w:val="0"/>
                      <w:color w:val="auto"/>
                      <w:sz w:val="21"/>
                      <w:szCs w:val="21"/>
                      <w:u w:val="none" w:color="auto"/>
                      <w:lang w:val="en-US" w:eastAsia="zh-CN"/>
                    </w:rPr>
                    <w:t>保养（依托现有）</w:t>
                  </w:r>
                </w:p>
              </w:tc>
              <w:tc>
                <w:tcPr>
                  <w:tcW w:w="1065" w:type="dxa"/>
                  <w:shd w:val="clear" w:color="auto" w:fill="auto"/>
                  <w:vAlign w:val="center"/>
                </w:tcPr>
                <w:p w14:paraId="64540AC8">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aps w:val="0"/>
                      <w:color w:val="auto"/>
                      <w:sz w:val="21"/>
                      <w:szCs w:val="21"/>
                      <w:u w:val="none" w:color="auto"/>
                      <w:lang w:eastAsia="zh-CN"/>
                    </w:rPr>
                  </w:pPr>
                  <w:r>
                    <w:rPr>
                      <w:rFonts w:hint="eastAsia" w:ascii="Times New Roman" w:hAnsi="Times New Roman" w:eastAsia="宋体" w:cs="Times New Roman"/>
                      <w:caps w:val="0"/>
                      <w:color w:val="auto"/>
                      <w:sz w:val="21"/>
                      <w:szCs w:val="21"/>
                      <w:u w:val="none" w:color="auto"/>
                      <w:lang w:val="en-US" w:eastAsia="zh-CN"/>
                    </w:rPr>
                    <w:t>0</w:t>
                  </w:r>
                </w:p>
              </w:tc>
              <w:tc>
                <w:tcPr>
                  <w:tcW w:w="2697" w:type="dxa"/>
                  <w:shd w:val="clear" w:color="auto" w:fill="auto"/>
                  <w:vAlign w:val="center"/>
                </w:tcPr>
                <w:p w14:paraId="035F976A">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rPr>
                    <w:t>运营期厂界噪声</w:t>
                  </w:r>
                  <w:r>
                    <w:rPr>
                      <w:rFonts w:hint="eastAsia" w:ascii="Times New Roman" w:hAnsi="Times New Roman" w:eastAsia="宋体" w:cs="Times New Roman"/>
                      <w:caps w:val="0"/>
                      <w:color w:val="auto"/>
                      <w:sz w:val="21"/>
                      <w:szCs w:val="21"/>
                      <w:u w:val="none" w:color="auto"/>
                      <w:lang w:val="en-US" w:eastAsia="zh-CN"/>
                    </w:rPr>
                    <w:t>执行《工业企业</w:t>
                  </w:r>
                  <w:r>
                    <w:rPr>
                      <w:rFonts w:hint="eastAsia" w:cs="Times New Roman"/>
                      <w:caps w:val="0"/>
                      <w:color w:val="auto"/>
                      <w:sz w:val="21"/>
                      <w:szCs w:val="21"/>
                      <w:u w:val="none" w:color="auto"/>
                      <w:lang w:val="en-US" w:eastAsia="zh-CN"/>
                    </w:rPr>
                    <w:t>厂</w:t>
                  </w:r>
                  <w:r>
                    <w:rPr>
                      <w:rFonts w:hint="eastAsia" w:ascii="Times New Roman" w:hAnsi="Times New Roman" w:eastAsia="宋体" w:cs="Times New Roman"/>
                      <w:caps w:val="0"/>
                      <w:color w:val="auto"/>
                      <w:sz w:val="21"/>
                      <w:szCs w:val="21"/>
                      <w:u w:val="none" w:color="auto"/>
                      <w:lang w:val="en-US" w:eastAsia="zh-CN"/>
                    </w:rPr>
                    <w:t>界环境噪声排放标准》（GB12348-2008）3类标准</w:t>
                  </w:r>
                </w:p>
              </w:tc>
            </w:tr>
            <w:tr w14:paraId="20FB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shd w:val="clear" w:color="auto" w:fill="auto"/>
                  <w:vAlign w:val="center"/>
                </w:tcPr>
                <w:p w14:paraId="4FC5EAA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p>
              </w:tc>
              <w:tc>
                <w:tcPr>
                  <w:tcW w:w="1065" w:type="dxa"/>
                  <w:shd w:val="clear" w:color="auto" w:fill="auto"/>
                  <w:vAlign w:val="center"/>
                </w:tcPr>
                <w:p w14:paraId="1DF3803B">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rPr>
                  </w:pPr>
                  <w:r>
                    <w:rPr>
                      <w:rFonts w:hint="default" w:ascii="Times New Roman" w:hAnsi="Times New Roman" w:eastAsia="宋体" w:cs="Times New Roman"/>
                      <w:caps w:val="0"/>
                      <w:color w:val="auto"/>
                      <w:sz w:val="21"/>
                      <w:szCs w:val="21"/>
                      <w:u w:val="none" w:color="auto"/>
                    </w:rPr>
                    <w:t>固废处置</w:t>
                  </w:r>
                </w:p>
              </w:tc>
              <w:tc>
                <w:tcPr>
                  <w:tcW w:w="2550" w:type="dxa"/>
                  <w:shd w:val="clear" w:color="auto" w:fill="auto"/>
                  <w:vAlign w:val="center"/>
                </w:tcPr>
                <w:p w14:paraId="25910488">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rPr>
                  </w:pPr>
                  <w:r>
                    <w:rPr>
                      <w:rFonts w:hint="eastAsia" w:ascii="Times New Roman" w:hAnsi="Times New Roman" w:eastAsia="宋体" w:cs="Times New Roman"/>
                      <w:caps w:val="0"/>
                      <w:color w:val="auto"/>
                      <w:sz w:val="21"/>
                      <w:szCs w:val="21"/>
                      <w:u w:val="none" w:color="auto"/>
                    </w:rPr>
                    <w:t>生活垃圾收集桶</w:t>
                  </w:r>
                  <w:r>
                    <w:rPr>
                      <w:rFonts w:hint="eastAsia" w:ascii="Times New Roman" w:hAnsi="Times New Roman" w:eastAsia="宋体" w:cs="Times New Roman"/>
                      <w:caps w:val="0"/>
                      <w:color w:val="auto"/>
                      <w:sz w:val="21"/>
                      <w:szCs w:val="21"/>
                      <w:u w:val="none" w:color="auto"/>
                      <w:lang w:eastAsia="zh-CN"/>
                    </w:rPr>
                    <w:t>、</w:t>
                  </w:r>
                  <w:r>
                    <w:rPr>
                      <w:rFonts w:hint="eastAsia" w:ascii="Times New Roman" w:hAnsi="Times New Roman" w:eastAsia="宋体" w:cs="Times New Roman"/>
                      <w:caps w:val="0"/>
                      <w:color w:val="auto"/>
                      <w:sz w:val="21"/>
                      <w:szCs w:val="21"/>
                      <w:u w:val="none" w:color="auto"/>
                      <w:lang w:val="en-US" w:eastAsia="zh-CN"/>
                    </w:rPr>
                    <w:t>危险废物收集在</w:t>
                  </w:r>
                  <w:r>
                    <w:rPr>
                      <w:rFonts w:hint="eastAsia" w:ascii="Times New Roman" w:hAnsi="Times New Roman" w:eastAsia="宋体" w:cs="Times New Roman"/>
                      <w:caps w:val="0"/>
                      <w:color w:val="auto"/>
                      <w:sz w:val="21"/>
                      <w:szCs w:val="21"/>
                      <w:u w:val="none" w:color="auto"/>
                      <w:lang w:eastAsia="zh-CN"/>
                    </w:rPr>
                    <w:t>暂存间，</w:t>
                  </w:r>
                  <w:r>
                    <w:rPr>
                      <w:rFonts w:hint="eastAsia" w:ascii="Times New Roman" w:hAnsi="Times New Roman" w:eastAsia="宋体" w:cs="Times New Roman"/>
                      <w:caps w:val="0"/>
                      <w:color w:val="auto"/>
                      <w:sz w:val="21"/>
                      <w:szCs w:val="21"/>
                      <w:u w:val="none" w:color="auto"/>
                      <w:lang w:val="en-US" w:eastAsia="zh-CN"/>
                    </w:rPr>
                    <w:t>定期委托处理（依托现有）</w:t>
                  </w:r>
                </w:p>
              </w:tc>
              <w:tc>
                <w:tcPr>
                  <w:tcW w:w="1065" w:type="dxa"/>
                  <w:shd w:val="clear" w:color="auto" w:fill="auto"/>
                  <w:vAlign w:val="center"/>
                </w:tcPr>
                <w:p w14:paraId="0597EECE">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caps w:val="0"/>
                      <w:color w:val="auto"/>
                      <w:sz w:val="21"/>
                      <w:szCs w:val="21"/>
                      <w:u w:val="none" w:color="auto"/>
                      <w:lang w:eastAsia="zh-CN"/>
                    </w:rPr>
                  </w:pPr>
                  <w:r>
                    <w:rPr>
                      <w:rFonts w:hint="eastAsia" w:ascii="Times New Roman" w:hAnsi="Times New Roman" w:eastAsia="宋体" w:cs="Times New Roman"/>
                      <w:caps w:val="0"/>
                      <w:color w:val="auto"/>
                      <w:sz w:val="21"/>
                      <w:szCs w:val="21"/>
                      <w:u w:val="none" w:color="auto"/>
                      <w:lang w:val="en-US" w:eastAsia="zh-CN"/>
                    </w:rPr>
                    <w:t>0</w:t>
                  </w:r>
                </w:p>
              </w:tc>
              <w:tc>
                <w:tcPr>
                  <w:tcW w:w="2697" w:type="dxa"/>
                  <w:shd w:val="clear" w:color="auto" w:fill="auto"/>
                  <w:vAlign w:val="center"/>
                </w:tcPr>
                <w:p w14:paraId="7476A081">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bCs/>
                      <w:caps w:val="0"/>
                      <w:color w:val="auto"/>
                      <w:sz w:val="21"/>
                      <w:szCs w:val="21"/>
                      <w:u w:val="none" w:color="auto"/>
                    </w:rPr>
                    <w:t>生活垃圾收集桶</w:t>
                  </w:r>
                  <w:r>
                    <w:rPr>
                      <w:rFonts w:hint="eastAsia" w:ascii="Times New Roman" w:hAnsi="Times New Roman" w:eastAsia="宋体" w:cs="Times New Roman"/>
                      <w:bCs/>
                      <w:caps w:val="0"/>
                      <w:color w:val="auto"/>
                      <w:sz w:val="21"/>
                      <w:szCs w:val="21"/>
                      <w:u w:val="none" w:color="auto"/>
                      <w:lang w:eastAsia="zh-CN"/>
                    </w:rPr>
                    <w:t>、</w:t>
                  </w:r>
                  <w:r>
                    <w:rPr>
                      <w:rFonts w:hint="eastAsia" w:ascii="Times New Roman" w:hAnsi="Times New Roman" w:eastAsia="宋体" w:cs="Times New Roman"/>
                      <w:bCs/>
                      <w:caps w:val="0"/>
                      <w:color w:val="auto"/>
                      <w:sz w:val="21"/>
                      <w:szCs w:val="21"/>
                      <w:u w:val="none" w:color="auto"/>
                      <w:lang w:val="en-US" w:eastAsia="zh-CN"/>
                    </w:rPr>
                    <w:t>危险废物收集在</w:t>
                  </w:r>
                  <w:r>
                    <w:rPr>
                      <w:rFonts w:hint="eastAsia" w:ascii="Times New Roman" w:hAnsi="Times New Roman" w:eastAsia="宋体" w:cs="Times New Roman"/>
                      <w:bCs/>
                      <w:caps w:val="0"/>
                      <w:color w:val="auto"/>
                      <w:sz w:val="21"/>
                      <w:szCs w:val="21"/>
                      <w:u w:val="none" w:color="auto"/>
                      <w:lang w:eastAsia="zh-CN"/>
                    </w:rPr>
                    <w:t>暂存间，</w:t>
                  </w:r>
                  <w:r>
                    <w:rPr>
                      <w:rFonts w:hint="eastAsia" w:ascii="Times New Roman" w:hAnsi="Times New Roman" w:eastAsia="宋体" w:cs="Times New Roman"/>
                      <w:bCs/>
                      <w:caps w:val="0"/>
                      <w:color w:val="auto"/>
                      <w:sz w:val="21"/>
                      <w:szCs w:val="21"/>
                      <w:u w:val="none" w:color="auto"/>
                      <w:lang w:val="en-US" w:eastAsia="zh-CN"/>
                    </w:rPr>
                    <w:t>定期委托处理</w:t>
                  </w:r>
                </w:p>
              </w:tc>
            </w:tr>
            <w:tr w14:paraId="79F9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shd w:val="clear" w:color="auto" w:fill="auto"/>
                  <w:vAlign w:val="center"/>
                </w:tcPr>
                <w:p w14:paraId="7237FCD9">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aps w:val="0"/>
                      <w:color w:val="auto"/>
                      <w:kern w:val="0"/>
                      <w:sz w:val="21"/>
                      <w:szCs w:val="21"/>
                      <w:u w:val="none" w:color="auto"/>
                    </w:rPr>
                  </w:pPr>
                </w:p>
              </w:tc>
              <w:tc>
                <w:tcPr>
                  <w:tcW w:w="1065" w:type="dxa"/>
                  <w:shd w:val="clear" w:color="auto" w:fill="auto"/>
                  <w:vAlign w:val="center"/>
                </w:tcPr>
                <w:p w14:paraId="65604717">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风险防范</w:t>
                  </w:r>
                </w:p>
              </w:tc>
              <w:tc>
                <w:tcPr>
                  <w:tcW w:w="2550" w:type="dxa"/>
                  <w:shd w:val="clear" w:color="auto" w:fill="auto"/>
                  <w:vAlign w:val="center"/>
                </w:tcPr>
                <w:p w14:paraId="6C62A2CA">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纳入应急预案，增设灭火器、消防栓，加强人员培训、现场管理等</w:t>
                  </w:r>
                </w:p>
              </w:tc>
              <w:tc>
                <w:tcPr>
                  <w:tcW w:w="1065" w:type="dxa"/>
                  <w:shd w:val="clear" w:color="auto" w:fill="auto"/>
                  <w:vAlign w:val="center"/>
                </w:tcPr>
                <w:p w14:paraId="2CBC64E0">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3</w:t>
                  </w:r>
                </w:p>
              </w:tc>
              <w:tc>
                <w:tcPr>
                  <w:tcW w:w="2697" w:type="dxa"/>
                  <w:shd w:val="clear" w:color="auto" w:fill="auto"/>
                  <w:vAlign w:val="center"/>
                </w:tcPr>
                <w:p w14:paraId="0247D58C">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bCs/>
                      <w:caps w:val="0"/>
                      <w:color w:val="auto"/>
                      <w:sz w:val="21"/>
                      <w:szCs w:val="21"/>
                      <w:u w:val="none" w:color="auto"/>
                    </w:rPr>
                  </w:pPr>
                  <w:r>
                    <w:rPr>
                      <w:rFonts w:hint="eastAsia" w:ascii="Times New Roman" w:hAnsi="Times New Roman" w:eastAsia="宋体" w:cs="Times New Roman"/>
                      <w:bCs/>
                      <w:caps w:val="0"/>
                      <w:color w:val="auto"/>
                      <w:sz w:val="21"/>
                      <w:szCs w:val="21"/>
                      <w:u w:val="none" w:color="auto"/>
                      <w:lang w:val="en-US" w:eastAsia="zh-CN"/>
                    </w:rPr>
                    <w:t>纳入应急预案，增设灭火器、消防栓，加强人员培训、现场管理等</w:t>
                  </w:r>
                </w:p>
              </w:tc>
            </w:tr>
            <w:tr w14:paraId="1110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5" w:type="dxa"/>
                  <w:gridSpan w:val="3"/>
                  <w:shd w:val="clear" w:color="auto" w:fill="auto"/>
                  <w:vAlign w:val="center"/>
                </w:tcPr>
                <w:p w14:paraId="5E64F051">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rPr>
                  </w:pPr>
                  <w:r>
                    <w:rPr>
                      <w:rFonts w:hint="eastAsia" w:ascii="Times New Roman" w:hAnsi="Times New Roman" w:eastAsia="宋体" w:cs="Times New Roman"/>
                      <w:caps w:val="0"/>
                      <w:color w:val="auto"/>
                      <w:sz w:val="21"/>
                      <w:szCs w:val="21"/>
                      <w:u w:val="none" w:color="auto"/>
                    </w:rPr>
                    <w:t>合计</w:t>
                  </w:r>
                </w:p>
              </w:tc>
              <w:tc>
                <w:tcPr>
                  <w:tcW w:w="1065" w:type="dxa"/>
                  <w:shd w:val="clear" w:color="auto" w:fill="auto"/>
                  <w:vAlign w:val="center"/>
                </w:tcPr>
                <w:p w14:paraId="2A3BDA35">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eastAsia="宋体" w:cs="Times New Roman"/>
                      <w:caps w:val="0"/>
                      <w:color w:val="auto"/>
                      <w:sz w:val="21"/>
                      <w:szCs w:val="21"/>
                      <w:u w:val="none" w:color="auto"/>
                      <w:lang w:val="en-US" w:eastAsia="zh-CN"/>
                    </w:rPr>
                  </w:pPr>
                  <w:r>
                    <w:rPr>
                      <w:rFonts w:hint="eastAsia" w:ascii="Times New Roman" w:hAnsi="Times New Roman" w:eastAsia="宋体" w:cs="Times New Roman"/>
                      <w:caps w:val="0"/>
                      <w:color w:val="auto"/>
                      <w:sz w:val="21"/>
                      <w:szCs w:val="21"/>
                      <w:u w:val="none" w:color="auto"/>
                      <w:lang w:val="en-US" w:eastAsia="zh-CN"/>
                    </w:rPr>
                    <w:t>3</w:t>
                  </w:r>
                </w:p>
              </w:tc>
              <w:tc>
                <w:tcPr>
                  <w:tcW w:w="2697" w:type="dxa"/>
                  <w:shd w:val="clear" w:color="auto" w:fill="auto"/>
                  <w:vAlign w:val="center"/>
                </w:tcPr>
                <w:p w14:paraId="53202FDB">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caps w:val="0"/>
                      <w:color w:val="auto"/>
                      <w:sz w:val="21"/>
                      <w:szCs w:val="21"/>
                      <w:u w:val="none" w:color="auto"/>
                    </w:rPr>
                  </w:pPr>
                  <w:r>
                    <w:rPr>
                      <w:rFonts w:hint="eastAsia" w:ascii="Times New Roman" w:hAnsi="Times New Roman" w:eastAsia="宋体" w:cs="Times New Roman"/>
                      <w:caps w:val="0"/>
                      <w:color w:val="auto"/>
                      <w:sz w:val="21"/>
                      <w:szCs w:val="21"/>
                      <w:u w:val="none" w:color="auto"/>
                    </w:rPr>
                    <w:t>/</w:t>
                  </w:r>
                </w:p>
              </w:tc>
            </w:tr>
          </w:tbl>
          <w:p w14:paraId="0A365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sz w:val="24"/>
                <w:highlight w:val="none"/>
                <w:u w:val="none" w:color="auto"/>
                <w:lang w:eastAsia="zh-CN"/>
              </w:rPr>
            </w:pPr>
          </w:p>
        </w:tc>
      </w:tr>
    </w:tbl>
    <w:p w14:paraId="03D07C16">
      <w:pPr>
        <w:pStyle w:val="42"/>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1ADD610">
      <w:pPr>
        <w:pStyle w:val="42"/>
        <w:jc w:val="center"/>
        <w:outlineLvl w:val="0"/>
        <w:rPr>
          <w:rFonts w:hint="default" w:ascii="Times New Roman" w:hAnsi="Times New Roman" w:eastAsia="宋体" w:cs="Times New Roman"/>
          <w:snapToGrid w:val="0"/>
          <w:color w:val="auto"/>
          <w:sz w:val="30"/>
          <w:szCs w:val="30"/>
          <w:highlight w:val="none"/>
          <w:u w:val="none" w:color="auto"/>
        </w:rPr>
      </w:pPr>
      <w:bookmarkStart w:id="12" w:name="_Toc1949"/>
      <w:r>
        <w:rPr>
          <w:rFonts w:hint="default" w:ascii="Times New Roman" w:hAnsi="Times New Roman" w:eastAsia="宋体" w:cs="Times New Roman"/>
          <w:snapToGrid w:val="0"/>
          <w:color w:val="auto"/>
          <w:sz w:val="30"/>
          <w:szCs w:val="30"/>
          <w:highlight w:val="none"/>
          <w:u w:val="none" w:color="auto"/>
        </w:rPr>
        <w:t>五、</w:t>
      </w:r>
      <w:bookmarkStart w:id="13" w:name="_Hlk54167917"/>
      <w:r>
        <w:rPr>
          <w:rFonts w:hint="default" w:ascii="Times New Roman" w:hAnsi="Times New Roman" w:eastAsia="宋体" w:cs="Times New Roman"/>
          <w:snapToGrid w:val="0"/>
          <w:color w:val="auto"/>
          <w:sz w:val="30"/>
          <w:szCs w:val="30"/>
          <w:highlight w:val="none"/>
          <w:u w:val="none" w:color="auto"/>
        </w:rPr>
        <w:t>环境保护措施监督检查清单</w:t>
      </w:r>
      <w:bookmarkEnd w:id="12"/>
      <w:bookmarkEnd w:id="13"/>
    </w:p>
    <w:tbl>
      <w:tblPr>
        <w:tblStyle w:val="46"/>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37"/>
        <w:gridCol w:w="5"/>
        <w:gridCol w:w="1404"/>
        <w:gridCol w:w="5"/>
        <w:gridCol w:w="2212"/>
        <w:gridCol w:w="5"/>
        <w:gridCol w:w="3037"/>
      </w:tblGrid>
      <w:tr w14:paraId="7645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2A21E049">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rPr>
              <w:t>内容</w:t>
            </w:r>
          </w:p>
          <w:p w14:paraId="2C97578A">
            <w:pPr>
              <w:keepNext w:val="0"/>
              <w:keepLines w:val="0"/>
              <w:widowControl/>
              <w:suppressLineNumbers w:val="0"/>
              <w:spacing w:before="0" w:beforeAutospacing="0" w:after="0" w:afterAutospacing="0" w:line="300" w:lineRule="exact"/>
              <w:ind w:left="0" w:right="400"/>
              <w:jc w:val="center"/>
              <w:rPr>
                <w:rFonts w:hint="default" w:ascii="Times New Roman" w:hAnsi="Times New Roman" w:eastAsia="宋体" w:cs="Times New Roman"/>
                <w:b/>
                <w:bCs/>
                <w:color w:val="auto"/>
                <w:kern w:val="0"/>
                <w:sz w:val="21"/>
                <w:szCs w:val="21"/>
                <w:highlight w:val="none"/>
                <w:u w:val="none" w:color="auto"/>
                <w:lang w:eastAsia="zh-CN"/>
              </w:rPr>
            </w:pPr>
            <w:r>
              <w:rPr>
                <w:rFonts w:hint="default" w:ascii="Times New Roman" w:hAnsi="Times New Roman" w:eastAsia="宋体" w:cs="Times New Roman"/>
                <w:b/>
                <w:bCs/>
                <w:color w:val="auto"/>
                <w:kern w:val="0"/>
                <w:sz w:val="21"/>
                <w:szCs w:val="21"/>
                <w:highlight w:val="none"/>
                <w:u w:val="none" w:color="auto"/>
                <w:lang w:eastAsia="zh-CN"/>
              </w:rPr>
              <w:t>要素</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4EA538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排放口</w:t>
            </w:r>
            <w:r>
              <w:rPr>
                <w:rFonts w:hint="eastAsia" w:ascii="Times New Roman" w:hAnsi="Times New Roman" w:eastAsia="宋体"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rPr>
              <w:t>编号、名称</w:t>
            </w:r>
            <w:r>
              <w:rPr>
                <w:rFonts w:hint="eastAsia" w:ascii="Times New Roman" w:hAnsi="Times New Roman" w:eastAsia="宋体" w:cs="Times New Roman"/>
                <w:b/>
                <w:bCs/>
                <w:color w:val="auto"/>
                <w:sz w:val="21"/>
                <w:szCs w:val="21"/>
                <w:highlight w:val="none"/>
                <w:u w:val="none" w:color="auto"/>
                <w:lang w:eastAsia="zh-CN"/>
              </w:rPr>
              <w:t>）</w:t>
            </w:r>
            <w:r>
              <w:rPr>
                <w:rFonts w:hint="default" w:ascii="Times New Roman" w:hAnsi="Times New Roman" w:eastAsia="宋体" w:cs="Times New Roman"/>
                <w:b/>
                <w:bCs/>
                <w:color w:val="auto"/>
                <w:sz w:val="21"/>
                <w:szCs w:val="21"/>
                <w:highlight w:val="none"/>
                <w:u w:val="none" w:color="auto"/>
              </w:rPr>
              <w:t>/污染源</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0CF75A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污染物项目</w:t>
            </w:r>
          </w:p>
        </w:tc>
        <w:tc>
          <w:tcPr>
            <w:tcW w:w="2217" w:type="dxa"/>
            <w:gridSpan w:val="2"/>
            <w:tcBorders>
              <w:top w:val="single" w:color="auto" w:sz="4" w:space="0"/>
              <w:left w:val="single" w:color="auto" w:sz="4" w:space="0"/>
              <w:bottom w:val="single" w:color="auto" w:sz="4" w:space="0"/>
              <w:right w:val="single" w:color="auto" w:sz="4" w:space="0"/>
            </w:tcBorders>
            <w:noWrap w:val="0"/>
            <w:vAlign w:val="center"/>
          </w:tcPr>
          <w:p w14:paraId="046378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环境保护措施</w:t>
            </w:r>
          </w:p>
        </w:tc>
        <w:tc>
          <w:tcPr>
            <w:tcW w:w="3042" w:type="dxa"/>
            <w:gridSpan w:val="2"/>
            <w:tcBorders>
              <w:top w:val="single" w:color="auto" w:sz="4" w:space="0"/>
              <w:left w:val="single" w:color="auto" w:sz="4" w:space="0"/>
              <w:bottom w:val="single" w:color="auto" w:sz="4" w:space="0"/>
              <w:right w:val="single" w:color="auto" w:sz="4" w:space="0"/>
            </w:tcBorders>
            <w:noWrap w:val="0"/>
            <w:vAlign w:val="center"/>
          </w:tcPr>
          <w:p w14:paraId="722635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执行标准</w:t>
            </w:r>
          </w:p>
        </w:tc>
      </w:tr>
      <w:tr w14:paraId="1E85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1150" w:type="dxa"/>
            <w:tcBorders>
              <w:top w:val="single" w:color="auto" w:sz="4" w:space="0"/>
              <w:left w:val="single" w:color="auto" w:sz="4" w:space="0"/>
              <w:right w:val="single" w:color="auto" w:sz="4" w:space="0"/>
            </w:tcBorders>
            <w:noWrap w:val="0"/>
            <w:vAlign w:val="center"/>
          </w:tcPr>
          <w:p w14:paraId="72BECE7A">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大气环境</w:t>
            </w:r>
          </w:p>
        </w:tc>
        <w:tc>
          <w:tcPr>
            <w:tcW w:w="1237" w:type="dxa"/>
            <w:tcBorders>
              <w:top w:val="single" w:color="auto" w:sz="4" w:space="0"/>
              <w:left w:val="single" w:color="auto" w:sz="4" w:space="0"/>
              <w:right w:val="single" w:color="auto" w:sz="4" w:space="0"/>
            </w:tcBorders>
            <w:noWrap w:val="0"/>
            <w:vAlign w:val="center"/>
          </w:tcPr>
          <w:p w14:paraId="47366D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项目无组织废气</w:t>
            </w:r>
          </w:p>
        </w:tc>
        <w:tc>
          <w:tcPr>
            <w:tcW w:w="1409" w:type="dxa"/>
            <w:gridSpan w:val="2"/>
            <w:tcBorders>
              <w:top w:val="single" w:color="auto" w:sz="4" w:space="0"/>
              <w:left w:val="single" w:color="auto" w:sz="4" w:space="0"/>
              <w:right w:val="single" w:color="auto" w:sz="4" w:space="0"/>
            </w:tcBorders>
            <w:noWrap w:val="0"/>
            <w:vAlign w:val="center"/>
          </w:tcPr>
          <w:p w14:paraId="5A1EA8A0">
            <w:pPr>
              <w:keepNext w:val="0"/>
              <w:keepLines w:val="0"/>
              <w:suppressLineNumbers w:val="0"/>
              <w:tabs>
                <w:tab w:val="left" w:pos="624"/>
              </w:tabs>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汽车尾气</w:t>
            </w:r>
            <w:r>
              <w:rPr>
                <w:rFonts w:hint="eastAsia" w:cs="Times New Roman"/>
                <w:color w:val="auto"/>
                <w:sz w:val="21"/>
                <w:szCs w:val="21"/>
                <w:highlight w:val="none"/>
                <w:u w:val="none" w:color="auto"/>
                <w:lang w:val="en-US" w:eastAsia="zh-CN"/>
              </w:rPr>
              <w:t>、运输扬尘</w:t>
            </w:r>
          </w:p>
        </w:tc>
        <w:tc>
          <w:tcPr>
            <w:tcW w:w="2217" w:type="dxa"/>
            <w:gridSpan w:val="2"/>
            <w:tcBorders>
              <w:top w:val="single" w:color="auto" w:sz="4" w:space="0"/>
              <w:left w:val="single" w:color="auto" w:sz="4" w:space="0"/>
              <w:right w:val="single" w:color="auto" w:sz="4" w:space="0"/>
            </w:tcBorders>
            <w:noWrap w:val="0"/>
            <w:vAlign w:val="center"/>
          </w:tcPr>
          <w:p w14:paraId="6CC968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使用合格运输车辆，加强车辆及装卸机械设备的维修保养</w:t>
            </w:r>
            <w:r>
              <w:rPr>
                <w:rFonts w:hint="eastAsia" w:cs="Times New Roman"/>
                <w:color w:val="auto"/>
                <w:kern w:val="2"/>
                <w:sz w:val="21"/>
                <w:szCs w:val="21"/>
                <w:highlight w:val="none"/>
                <w:u w:val="none" w:color="auto"/>
                <w:lang w:val="en-US" w:eastAsia="zh-CN" w:bidi="ar-SA"/>
              </w:rPr>
              <w:t>、洒水降尘</w:t>
            </w:r>
            <w:r>
              <w:rPr>
                <w:rFonts w:hint="eastAsia" w:ascii="Times New Roman" w:hAnsi="Times New Roman" w:eastAsia="宋体" w:cs="Times New Roman"/>
                <w:color w:val="auto"/>
                <w:kern w:val="2"/>
                <w:sz w:val="21"/>
                <w:szCs w:val="21"/>
                <w:highlight w:val="none"/>
                <w:u w:val="none" w:color="auto"/>
                <w:lang w:val="en-US" w:eastAsia="zh-CN" w:bidi="ar-SA"/>
              </w:rPr>
              <w:t>。</w:t>
            </w:r>
          </w:p>
        </w:tc>
        <w:tc>
          <w:tcPr>
            <w:tcW w:w="3042" w:type="dxa"/>
            <w:gridSpan w:val="2"/>
            <w:tcBorders>
              <w:top w:val="single" w:color="auto" w:sz="4" w:space="0"/>
              <w:left w:val="single" w:color="auto" w:sz="4" w:space="0"/>
              <w:right w:val="single" w:color="auto" w:sz="4" w:space="0"/>
            </w:tcBorders>
            <w:noWrap w:val="0"/>
            <w:vAlign w:val="center"/>
          </w:tcPr>
          <w:p w14:paraId="75D502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《大气污染物综合排放标准》（GB16297-1996）表2中无组织排放监控浓度限值</w:t>
            </w:r>
          </w:p>
        </w:tc>
      </w:tr>
      <w:tr w14:paraId="5C7D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50" w:type="dxa"/>
            <w:vMerge w:val="restart"/>
            <w:tcBorders>
              <w:top w:val="single" w:color="000000" w:sz="4" w:space="0"/>
              <w:left w:val="single" w:color="auto" w:sz="4" w:space="0"/>
              <w:right w:val="single" w:color="auto" w:sz="4" w:space="0"/>
            </w:tcBorders>
            <w:noWrap w:val="0"/>
            <w:vAlign w:val="center"/>
          </w:tcPr>
          <w:p w14:paraId="3CAF7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szCs w:val="21"/>
                <w:highlight w:val="none"/>
                <w:u w:val="none" w:color="auto"/>
              </w:rPr>
              <w:t>地表水环境</w:t>
            </w:r>
          </w:p>
        </w:tc>
        <w:tc>
          <w:tcPr>
            <w:tcW w:w="1242" w:type="dxa"/>
            <w:gridSpan w:val="2"/>
            <w:tcBorders>
              <w:top w:val="single" w:color="000000" w:sz="4" w:space="0"/>
              <w:left w:val="single" w:color="auto" w:sz="4" w:space="0"/>
              <w:bottom w:val="single" w:color="auto" w:sz="4" w:space="0"/>
              <w:right w:val="single" w:color="auto" w:sz="4" w:space="0"/>
            </w:tcBorders>
            <w:noWrap w:val="0"/>
            <w:vAlign w:val="center"/>
          </w:tcPr>
          <w:p w14:paraId="5A8C6CC7">
            <w:pPr>
              <w:pStyle w:val="144"/>
              <w:keepNext w:val="0"/>
              <w:keepLines w:val="0"/>
              <w:suppressLineNumbers w:val="0"/>
              <w:spacing w:before="68" w:beforeAutospacing="0" w:after="0" w:afterAutospacing="0" w:line="229" w:lineRule="auto"/>
              <w:ind w:left="0" w:leftChars="0" w:right="55" w:rightChars="0" w:firstLine="0" w:firstLineChars="0"/>
              <w:jc w:val="center"/>
              <w:rPr>
                <w:rFonts w:hint="eastAsia" w:ascii="Times New Roman" w:hAnsi="Times New Roman" w:eastAsia="宋体" w:cs="Times New Roman"/>
                <w:color w:val="auto"/>
                <w:kern w:val="0"/>
                <w:sz w:val="21"/>
                <w:szCs w:val="21"/>
                <w:highlight w:val="none"/>
                <w:u w:val="none" w:color="auto"/>
                <w:lang w:eastAsia="zh-CN"/>
              </w:rPr>
            </w:pPr>
            <w:r>
              <w:rPr>
                <w:rFonts w:hint="eastAsia" w:ascii="Times New Roman" w:hAnsi="Times New Roman" w:eastAsia="宋体" w:cs="Times New Roman"/>
                <w:color w:val="auto"/>
                <w:spacing w:val="-1"/>
                <w:highlight w:val="none"/>
                <w:u w:val="none" w:color="auto"/>
                <w:lang w:val="en-US" w:eastAsia="zh-CN"/>
              </w:rPr>
              <w:t>生活污水</w:t>
            </w:r>
          </w:p>
        </w:tc>
        <w:tc>
          <w:tcPr>
            <w:tcW w:w="1409" w:type="dxa"/>
            <w:gridSpan w:val="2"/>
            <w:tcBorders>
              <w:top w:val="single" w:color="000000" w:sz="4" w:space="0"/>
              <w:left w:val="single" w:color="auto" w:sz="4" w:space="0"/>
              <w:bottom w:val="single" w:color="auto" w:sz="4" w:space="0"/>
              <w:right w:val="single" w:color="auto" w:sz="4" w:space="0"/>
            </w:tcBorders>
            <w:noWrap w:val="0"/>
            <w:vAlign w:val="center"/>
          </w:tcPr>
          <w:p w14:paraId="30B469EC">
            <w:pPr>
              <w:pStyle w:val="144"/>
              <w:keepNext w:val="0"/>
              <w:keepLines w:val="0"/>
              <w:suppressLineNumbers w:val="0"/>
              <w:spacing w:before="78" w:beforeAutospacing="0" w:after="0" w:afterAutospacing="0" w:line="181" w:lineRule="auto"/>
              <w:ind w:left="315" w:right="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2"/>
                <w:highlight w:val="none"/>
                <w:u w:val="none" w:color="auto"/>
              </w:rPr>
              <w:t>COD、</w:t>
            </w:r>
          </w:p>
          <w:p w14:paraId="5DEEC78D">
            <w:pPr>
              <w:pStyle w:val="144"/>
              <w:keepNext w:val="0"/>
              <w:keepLines w:val="0"/>
              <w:suppressLineNumbers w:val="0"/>
              <w:spacing w:before="29" w:beforeAutospacing="0" w:after="0" w:afterAutospacing="0" w:line="229" w:lineRule="auto"/>
              <w:ind w:left="114" w:right="139" w:firstLine="54"/>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2"/>
                <w:highlight w:val="none"/>
                <w:u w:val="none" w:color="auto"/>
              </w:rPr>
              <w:t>BOD</w:t>
            </w:r>
            <w:r>
              <w:rPr>
                <w:rFonts w:hint="default" w:ascii="Times New Roman" w:hAnsi="Times New Roman" w:eastAsia="宋体" w:cs="Times New Roman"/>
                <w:color w:val="auto"/>
                <w:spacing w:val="-2"/>
                <w:position w:val="-1"/>
                <w:sz w:val="13"/>
                <w:szCs w:val="13"/>
                <w:highlight w:val="none"/>
                <w:u w:val="none" w:color="auto"/>
              </w:rPr>
              <w:t>5</w:t>
            </w:r>
            <w:r>
              <w:rPr>
                <w:rFonts w:hint="default" w:ascii="Times New Roman" w:hAnsi="Times New Roman" w:eastAsia="宋体" w:cs="Times New Roman"/>
                <w:color w:val="auto"/>
                <w:spacing w:val="-2"/>
                <w:highlight w:val="none"/>
                <w:u w:val="none" w:color="auto"/>
              </w:rPr>
              <w:t>、氨</w:t>
            </w:r>
            <w:r>
              <w:rPr>
                <w:rFonts w:hint="default" w:ascii="Times New Roman" w:hAnsi="Times New Roman" w:eastAsia="宋体" w:cs="Times New Roman"/>
                <w:color w:val="auto"/>
                <w:spacing w:val="-7"/>
                <w:highlight w:val="none"/>
                <w:u w:val="none" w:color="auto"/>
              </w:rPr>
              <w:t>氮、总氮、</w:t>
            </w:r>
          </w:p>
          <w:p w14:paraId="31DF224F">
            <w:pPr>
              <w:pStyle w:val="144"/>
              <w:keepNext w:val="0"/>
              <w:keepLines w:val="0"/>
              <w:suppressLineNumbers w:val="0"/>
              <w:spacing w:before="23" w:beforeAutospacing="0" w:after="0" w:afterAutospacing="0" w:line="198" w:lineRule="auto"/>
              <w:ind w:left="215" w:leftChars="0" w:right="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spacing w:val="-3"/>
                <w:highlight w:val="none"/>
                <w:u w:val="none" w:color="auto"/>
              </w:rPr>
              <w:t>总磷、SS</w:t>
            </w:r>
          </w:p>
        </w:tc>
        <w:tc>
          <w:tcPr>
            <w:tcW w:w="2217" w:type="dxa"/>
            <w:gridSpan w:val="2"/>
            <w:tcBorders>
              <w:top w:val="single" w:color="000000" w:sz="4" w:space="0"/>
              <w:left w:val="single" w:color="auto" w:sz="4" w:space="0"/>
              <w:bottom w:val="single" w:color="auto" w:sz="4" w:space="0"/>
              <w:right w:val="single" w:color="auto" w:sz="4" w:space="0"/>
            </w:tcBorders>
            <w:noWrap w:val="0"/>
            <w:vAlign w:val="center"/>
          </w:tcPr>
          <w:p w14:paraId="69814A9D">
            <w:pPr>
              <w:pStyle w:val="144"/>
              <w:keepNext w:val="0"/>
              <w:keepLines w:val="0"/>
              <w:suppressLineNumbers w:val="0"/>
              <w:spacing w:before="68" w:beforeAutospacing="0" w:after="0" w:afterAutospacing="0" w:line="229" w:lineRule="auto"/>
              <w:ind w:left="0" w:right="181" w:rightChars="0"/>
              <w:jc w:val="center"/>
              <w:rPr>
                <w:rFonts w:hint="eastAsia"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highlight w:val="none"/>
                <w:u w:val="none" w:color="auto"/>
              </w:rPr>
              <w:t>化粪池预处理后排入市政污水管网，最</w:t>
            </w:r>
            <w:r>
              <w:rPr>
                <w:rFonts w:hint="default" w:ascii="Times New Roman" w:hAnsi="Times New Roman" w:eastAsia="宋体" w:cs="Times New Roman"/>
                <w:color w:val="auto"/>
                <w:spacing w:val="-1"/>
                <w:highlight w:val="none"/>
                <w:u w:val="none" w:color="auto"/>
              </w:rPr>
              <w:t>终</w:t>
            </w:r>
            <w:r>
              <w:rPr>
                <w:rFonts w:hint="default" w:ascii="Times New Roman" w:hAnsi="Times New Roman" w:eastAsia="宋体" w:cs="Times New Roman"/>
                <w:caps w:val="0"/>
                <w:color w:val="auto"/>
                <w:kern w:val="2"/>
                <w:sz w:val="21"/>
                <w:szCs w:val="21"/>
                <w:highlight w:val="none"/>
                <w:u w:val="none" w:color="auto"/>
                <w:lang w:val="en-US" w:eastAsia="zh-CN"/>
              </w:rPr>
              <w:t>排入大榄坪污水处理厂</w:t>
            </w:r>
            <w:r>
              <w:rPr>
                <w:rFonts w:hint="eastAsia" w:ascii="Times New Roman" w:hAnsi="Times New Roman" w:eastAsia="宋体" w:cs="Times New Roman"/>
                <w:color w:val="auto"/>
                <w:u w:val="none" w:color="auto"/>
                <w:lang w:eastAsia="zh-CN"/>
              </w:rPr>
              <w:t>。</w:t>
            </w:r>
          </w:p>
        </w:tc>
        <w:tc>
          <w:tcPr>
            <w:tcW w:w="3037" w:type="dxa"/>
            <w:tcBorders>
              <w:top w:val="single" w:color="000000" w:sz="4" w:space="0"/>
              <w:left w:val="single" w:color="auto" w:sz="4" w:space="0"/>
              <w:bottom w:val="single" w:color="auto" w:sz="4" w:space="0"/>
              <w:right w:val="single" w:color="auto" w:sz="4" w:space="0"/>
            </w:tcBorders>
            <w:noWrap w:val="0"/>
            <w:vAlign w:val="center"/>
          </w:tcPr>
          <w:p w14:paraId="6CB72C96">
            <w:pPr>
              <w:pStyle w:val="144"/>
              <w:keepNext w:val="0"/>
              <w:keepLines w:val="0"/>
              <w:suppressLineNumbers w:val="0"/>
              <w:spacing w:before="175" w:beforeAutospacing="0" w:after="0" w:afterAutospacing="0" w:line="234" w:lineRule="auto"/>
              <w:ind w:left="0" w:leftChars="0" w:right="79" w:rightChars="0" w:firstLine="0" w:firstLineChars="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2"/>
                <w:sz w:val="21"/>
                <w:szCs w:val="21"/>
                <w:highlight w:val="none"/>
                <w:u w:val="none" w:color="auto"/>
                <w:lang w:val="en-US" w:eastAsia="zh-CN" w:bidi="ar-SA"/>
              </w:rPr>
              <w:t>《污水综合排放标准》（DB12/356-2018）（三级）</w:t>
            </w:r>
            <w:r>
              <w:rPr>
                <w:rFonts w:hint="eastAsia" w:ascii="Times New Roman" w:hAnsi="Times New Roman" w:eastAsia="宋体" w:cs="Times New Roman"/>
                <w:b w:val="0"/>
                <w:bCs w:val="0"/>
                <w:color w:val="auto"/>
                <w:sz w:val="21"/>
                <w:szCs w:val="21"/>
                <w:highlight w:val="none"/>
                <w:u w:val="none" w:color="auto"/>
                <w:lang w:val="en-US" w:eastAsia="zh-CN"/>
              </w:rPr>
              <w:t>及</w:t>
            </w:r>
            <w:r>
              <w:rPr>
                <w:rFonts w:hint="eastAsia" w:ascii="Times New Roman" w:hAnsi="Times New Roman" w:eastAsia="宋体" w:cs="Times New Roman"/>
                <w:b w:val="0"/>
                <w:bCs w:val="0"/>
                <w:color w:val="auto"/>
                <w:sz w:val="21"/>
                <w:szCs w:val="21"/>
                <w:highlight w:val="none"/>
                <w:u w:val="none" w:color="auto"/>
                <w:lang w:eastAsia="zh-CN"/>
              </w:rPr>
              <w:t>大榄坪污水处理厂</w:t>
            </w:r>
            <w:r>
              <w:rPr>
                <w:rFonts w:hint="eastAsia" w:ascii="Times New Roman" w:hAnsi="Times New Roman" w:eastAsia="宋体" w:cs="Times New Roman"/>
                <w:b w:val="0"/>
                <w:bCs w:val="0"/>
                <w:color w:val="auto"/>
                <w:sz w:val="21"/>
                <w:szCs w:val="21"/>
                <w:highlight w:val="none"/>
                <w:u w:val="none" w:color="auto"/>
                <w:lang w:val="en-US" w:eastAsia="zh-CN"/>
              </w:rPr>
              <w:t>进水水质要求</w:t>
            </w:r>
            <w:r>
              <w:rPr>
                <w:rFonts w:hint="default" w:ascii="Times New Roman" w:hAnsi="Times New Roman" w:eastAsia="宋体" w:cs="Times New Roman"/>
                <w:caps w:val="0"/>
                <w:color w:val="auto"/>
                <w:sz w:val="21"/>
                <w:szCs w:val="21"/>
                <w:highlight w:val="none"/>
                <w:u w:val="none" w:color="auto"/>
                <w:lang w:eastAsia="zh-CN"/>
              </w:rPr>
              <w:t>，</w:t>
            </w:r>
            <w:r>
              <w:rPr>
                <w:rFonts w:hint="default" w:ascii="Times New Roman" w:hAnsi="Times New Roman" w:eastAsia="宋体" w:cs="Times New Roman"/>
                <w:caps w:val="0"/>
                <w:color w:val="auto"/>
                <w:sz w:val="21"/>
                <w:szCs w:val="21"/>
                <w:highlight w:val="none"/>
                <w:u w:val="none" w:color="auto"/>
                <w:lang w:val="en-US" w:eastAsia="zh-CN"/>
              </w:rPr>
              <w:t>接入</w:t>
            </w:r>
            <w:r>
              <w:rPr>
                <w:rFonts w:hint="default" w:ascii="Times New Roman" w:hAnsi="Times New Roman" w:eastAsia="宋体" w:cs="Times New Roman"/>
                <w:caps w:val="0"/>
                <w:color w:val="auto"/>
                <w:sz w:val="21"/>
                <w:szCs w:val="21"/>
                <w:highlight w:val="none"/>
                <w:u w:val="none" w:color="auto"/>
              </w:rPr>
              <w:t>大榄坪污水处理厂。</w:t>
            </w:r>
          </w:p>
        </w:tc>
      </w:tr>
      <w:tr w14:paraId="2949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50" w:type="dxa"/>
            <w:vMerge w:val="continue"/>
            <w:tcBorders>
              <w:left w:val="single" w:color="auto" w:sz="4" w:space="0"/>
              <w:right w:val="single" w:color="auto" w:sz="4" w:space="0"/>
            </w:tcBorders>
            <w:noWrap w:val="0"/>
            <w:vAlign w:val="center"/>
          </w:tcPr>
          <w:p w14:paraId="54535C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u w:val="none" w:color="auto"/>
              </w:rPr>
            </w:pPr>
          </w:p>
        </w:tc>
        <w:tc>
          <w:tcPr>
            <w:tcW w:w="1242" w:type="dxa"/>
            <w:gridSpan w:val="2"/>
            <w:tcBorders>
              <w:top w:val="single" w:color="000000" w:sz="4" w:space="0"/>
              <w:left w:val="single" w:color="auto" w:sz="4" w:space="0"/>
              <w:bottom w:val="single" w:color="auto" w:sz="4" w:space="0"/>
              <w:right w:val="single" w:color="auto" w:sz="4" w:space="0"/>
            </w:tcBorders>
            <w:noWrap w:val="0"/>
            <w:vAlign w:val="center"/>
          </w:tcPr>
          <w:p w14:paraId="3B46C30F">
            <w:pPr>
              <w:pStyle w:val="144"/>
              <w:keepNext w:val="0"/>
              <w:keepLines w:val="0"/>
              <w:suppressLineNumbers w:val="0"/>
              <w:spacing w:before="68" w:beforeAutospacing="0" w:after="0" w:afterAutospacing="0" w:line="229" w:lineRule="auto"/>
              <w:ind w:left="0" w:leftChars="0" w:right="55" w:rightChars="0" w:firstLine="0" w:firstLineChars="0"/>
              <w:jc w:val="center"/>
              <w:rPr>
                <w:rFonts w:hint="default" w:ascii="Times New Roman" w:hAnsi="Times New Roman" w:eastAsia="宋体" w:cs="Times New Roman"/>
                <w:color w:val="auto"/>
                <w:spacing w:val="-1"/>
                <w:highlight w:val="none"/>
                <w:u w:val="none" w:color="auto"/>
                <w:lang w:val="en-US" w:eastAsia="zh-CN"/>
              </w:rPr>
            </w:pPr>
            <w:r>
              <w:rPr>
                <w:rFonts w:hint="eastAsia" w:ascii="Times New Roman" w:hAnsi="Times New Roman" w:eastAsia="宋体" w:cs="Times New Roman"/>
                <w:color w:val="auto"/>
                <w:spacing w:val="-1"/>
                <w:highlight w:val="none"/>
                <w:u w:val="none" w:color="auto"/>
                <w:lang w:val="en-US" w:eastAsia="zh-CN"/>
              </w:rPr>
              <w:t>含油废水</w:t>
            </w:r>
          </w:p>
        </w:tc>
        <w:tc>
          <w:tcPr>
            <w:tcW w:w="1409" w:type="dxa"/>
            <w:gridSpan w:val="2"/>
            <w:tcBorders>
              <w:top w:val="single" w:color="000000" w:sz="4" w:space="0"/>
              <w:left w:val="single" w:color="auto" w:sz="4" w:space="0"/>
              <w:bottom w:val="single" w:color="auto" w:sz="4" w:space="0"/>
              <w:right w:val="single" w:color="auto" w:sz="4" w:space="0"/>
            </w:tcBorders>
            <w:noWrap w:val="0"/>
            <w:vAlign w:val="center"/>
          </w:tcPr>
          <w:p w14:paraId="693B6D57">
            <w:pPr>
              <w:pStyle w:val="144"/>
              <w:keepNext w:val="0"/>
              <w:keepLines w:val="0"/>
              <w:suppressLineNumbers w:val="0"/>
              <w:spacing w:before="78" w:beforeAutospacing="0" w:after="0" w:afterAutospacing="0" w:line="181" w:lineRule="auto"/>
              <w:ind w:left="0" w:right="0"/>
              <w:jc w:val="center"/>
              <w:rPr>
                <w:rFonts w:hint="default" w:ascii="Times New Roman" w:hAnsi="Times New Roman" w:eastAsia="宋体" w:cs="Times New Roman"/>
                <w:color w:val="auto"/>
                <w:spacing w:val="-3"/>
                <w:highlight w:val="none"/>
                <w:u w:val="none" w:color="auto"/>
              </w:rPr>
            </w:pPr>
            <w:r>
              <w:rPr>
                <w:rFonts w:hint="default" w:ascii="Times New Roman" w:hAnsi="Times New Roman" w:eastAsia="宋体" w:cs="Times New Roman"/>
                <w:color w:val="auto"/>
                <w:spacing w:val="-2"/>
                <w:highlight w:val="none"/>
                <w:u w:val="none" w:color="auto"/>
              </w:rPr>
              <w:t>COD、BOD</w:t>
            </w:r>
            <w:r>
              <w:rPr>
                <w:rFonts w:hint="default" w:ascii="Times New Roman" w:hAnsi="Times New Roman" w:eastAsia="宋体" w:cs="Times New Roman"/>
                <w:color w:val="auto"/>
                <w:spacing w:val="-2"/>
                <w:highlight w:val="none"/>
                <w:u w:val="none" w:color="auto"/>
                <w:vertAlign w:val="subscript"/>
              </w:rPr>
              <w:t>5</w:t>
            </w:r>
            <w:r>
              <w:rPr>
                <w:rFonts w:hint="default" w:ascii="Times New Roman" w:hAnsi="Times New Roman" w:eastAsia="宋体" w:cs="Times New Roman"/>
                <w:color w:val="auto"/>
                <w:spacing w:val="-2"/>
                <w:highlight w:val="none"/>
                <w:u w:val="none" w:color="auto"/>
              </w:rPr>
              <w:t>、氨氮、</w:t>
            </w:r>
            <w:r>
              <w:rPr>
                <w:rFonts w:hint="eastAsia" w:ascii="Times New Roman" w:hAnsi="Times New Roman" w:eastAsia="宋体" w:cs="Times New Roman"/>
                <w:color w:val="auto"/>
                <w:spacing w:val="-2"/>
                <w:highlight w:val="none"/>
                <w:u w:val="none" w:color="auto"/>
                <w:lang w:val="en-US" w:eastAsia="zh-CN"/>
              </w:rPr>
              <w:t>石油类</w:t>
            </w:r>
            <w:r>
              <w:rPr>
                <w:rFonts w:hint="default" w:ascii="Times New Roman" w:hAnsi="Times New Roman" w:eastAsia="宋体" w:cs="Times New Roman"/>
                <w:color w:val="auto"/>
                <w:spacing w:val="-2"/>
                <w:highlight w:val="none"/>
                <w:u w:val="none" w:color="auto"/>
              </w:rPr>
              <w:t>、SS</w:t>
            </w:r>
          </w:p>
        </w:tc>
        <w:tc>
          <w:tcPr>
            <w:tcW w:w="2217" w:type="dxa"/>
            <w:gridSpan w:val="2"/>
            <w:tcBorders>
              <w:top w:val="single" w:color="000000" w:sz="4" w:space="0"/>
              <w:left w:val="single" w:color="auto" w:sz="4" w:space="0"/>
              <w:bottom w:val="single" w:color="auto" w:sz="4" w:space="0"/>
              <w:right w:val="single" w:color="auto" w:sz="4" w:space="0"/>
            </w:tcBorders>
            <w:noWrap w:val="0"/>
            <w:vAlign w:val="center"/>
          </w:tcPr>
          <w:p w14:paraId="626E8621">
            <w:pPr>
              <w:pStyle w:val="144"/>
              <w:keepNext w:val="0"/>
              <w:keepLines w:val="0"/>
              <w:suppressLineNumbers w:val="0"/>
              <w:spacing w:before="68" w:beforeAutospacing="0" w:after="0" w:afterAutospacing="0" w:line="229" w:lineRule="auto"/>
              <w:ind w:left="0" w:right="181" w:rightChars="0"/>
              <w:jc w:val="center"/>
              <w:rPr>
                <w:rFonts w:hint="default" w:ascii="Times New Roman" w:hAnsi="Times New Roman" w:eastAsia="宋体" w:cs="Times New Roman"/>
                <w:color w:val="auto"/>
                <w:highlight w:val="none"/>
                <w:u w:val="none" w:color="auto"/>
                <w:lang w:val="en-US"/>
              </w:rPr>
            </w:pPr>
            <w:r>
              <w:rPr>
                <w:rFonts w:hint="default" w:ascii="Times New Roman" w:hAnsi="Times New Roman" w:eastAsia="宋体" w:cs="Times New Roman"/>
                <w:color w:val="auto"/>
                <w:highlight w:val="none"/>
                <w:u w:val="none" w:color="auto"/>
                <w:lang w:val="en-US" w:eastAsia="zh-CN"/>
              </w:rPr>
              <w:t>2#泊位和5#泊位的含油污水处理站</w:t>
            </w:r>
            <w:r>
              <w:rPr>
                <w:rFonts w:hint="eastAsia" w:ascii="Times New Roman" w:hAnsi="Times New Roman" w:eastAsia="宋体" w:cs="Times New Roman"/>
                <w:color w:val="auto"/>
                <w:highlight w:val="none"/>
                <w:u w:val="none" w:color="auto"/>
                <w:lang w:val="en-US" w:eastAsia="zh-CN"/>
              </w:rPr>
              <w:t>，处理工艺为隔油池+混凝沉淀池+组合气浮装置</w:t>
            </w:r>
          </w:p>
        </w:tc>
        <w:tc>
          <w:tcPr>
            <w:tcW w:w="3037" w:type="dxa"/>
            <w:tcBorders>
              <w:top w:val="single" w:color="000000" w:sz="4" w:space="0"/>
              <w:left w:val="single" w:color="auto" w:sz="4" w:space="0"/>
              <w:bottom w:val="single" w:color="auto" w:sz="4" w:space="0"/>
              <w:right w:val="single" w:color="auto" w:sz="4" w:space="0"/>
            </w:tcBorders>
            <w:noWrap w:val="0"/>
            <w:vAlign w:val="center"/>
          </w:tcPr>
          <w:p w14:paraId="27FEE245">
            <w:pPr>
              <w:pStyle w:val="144"/>
              <w:keepNext w:val="0"/>
              <w:keepLines w:val="0"/>
              <w:suppressLineNumbers w:val="0"/>
              <w:spacing w:before="175" w:beforeAutospacing="0" w:after="0" w:afterAutospacing="0" w:line="234" w:lineRule="auto"/>
              <w:ind w:left="0" w:leftChars="0" w:right="79" w:rightChars="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《城市污水再生利用-城市杂用水水质》（GB/T18920-2020）“城市绿化、道路清扫、消防、建筑施工”用水标准和《城市污水再生利用工业用水水质标准》（GB/T19923-2024）“洗涤用水”用水标准</w:t>
            </w:r>
          </w:p>
        </w:tc>
      </w:tr>
      <w:tr w14:paraId="5EA4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150" w:type="dxa"/>
            <w:tcBorders>
              <w:left w:val="single" w:color="auto" w:sz="4" w:space="0"/>
              <w:right w:val="single" w:color="auto" w:sz="4" w:space="0"/>
            </w:tcBorders>
            <w:noWrap w:val="0"/>
            <w:vAlign w:val="center"/>
          </w:tcPr>
          <w:p w14:paraId="05F0238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color w:val="auto"/>
                <w:kern w:val="0"/>
                <w:sz w:val="21"/>
                <w:szCs w:val="21"/>
                <w:highlight w:val="none"/>
                <w:u w:val="none" w:color="auto"/>
                <w:lang w:eastAsia="zh-CN"/>
              </w:rPr>
              <w:t>声环境</w:t>
            </w:r>
          </w:p>
        </w:tc>
        <w:tc>
          <w:tcPr>
            <w:tcW w:w="1237" w:type="dxa"/>
            <w:tcBorders>
              <w:top w:val="single" w:color="auto" w:sz="4" w:space="0"/>
              <w:left w:val="single" w:color="auto" w:sz="4" w:space="0"/>
              <w:bottom w:val="single" w:color="auto" w:sz="4" w:space="0"/>
              <w:right w:val="single" w:color="auto" w:sz="4" w:space="0"/>
            </w:tcBorders>
            <w:noWrap w:val="0"/>
            <w:vAlign w:val="center"/>
          </w:tcPr>
          <w:p w14:paraId="73425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3"/>
                <w:highlight w:val="none"/>
                <w:u w:val="none" w:color="auto"/>
              </w:rPr>
              <w:t>设备运行</w:t>
            </w:r>
          </w:p>
        </w:tc>
        <w:tc>
          <w:tcPr>
            <w:tcW w:w="1409" w:type="dxa"/>
            <w:gridSpan w:val="2"/>
            <w:tcBorders>
              <w:top w:val="single" w:color="auto" w:sz="4" w:space="0"/>
              <w:left w:val="single" w:color="auto" w:sz="4" w:space="0"/>
              <w:bottom w:val="single" w:color="auto" w:sz="4" w:space="0"/>
              <w:right w:val="single" w:color="auto" w:sz="4" w:space="0"/>
            </w:tcBorders>
            <w:noWrap w:val="0"/>
            <w:vAlign w:val="center"/>
          </w:tcPr>
          <w:p w14:paraId="06237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lang w:val="zh-CN"/>
              </w:rPr>
            </w:pPr>
            <w:r>
              <w:rPr>
                <w:rFonts w:hint="default" w:ascii="Times New Roman" w:hAnsi="Times New Roman" w:eastAsia="宋体" w:cs="Times New Roman"/>
                <w:color w:val="auto"/>
                <w:sz w:val="21"/>
                <w:szCs w:val="21"/>
                <w:highlight w:val="none"/>
                <w:u w:val="none" w:color="auto"/>
              </w:rPr>
              <w:t>等效A声级</w:t>
            </w:r>
          </w:p>
        </w:tc>
        <w:tc>
          <w:tcPr>
            <w:tcW w:w="2217" w:type="dxa"/>
            <w:gridSpan w:val="2"/>
            <w:tcBorders>
              <w:top w:val="single" w:color="auto" w:sz="4" w:space="0"/>
              <w:left w:val="single" w:color="auto" w:sz="4" w:space="0"/>
              <w:bottom w:val="single" w:color="auto" w:sz="4" w:space="0"/>
              <w:right w:val="single" w:color="auto" w:sz="4" w:space="0"/>
            </w:tcBorders>
            <w:noWrap w:val="0"/>
            <w:vAlign w:val="center"/>
          </w:tcPr>
          <w:p w14:paraId="624FAE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aps w:val="0"/>
                <w:smallCaps w:val="0"/>
                <w:color w:val="auto"/>
                <w:sz w:val="21"/>
                <w:szCs w:val="21"/>
                <w:highlight w:val="none"/>
                <w:u w:val="none" w:color="auto"/>
                <w:lang w:val="en-US"/>
              </w:rPr>
              <w:t>做好生产设备维护工作，</w:t>
            </w:r>
            <w:r>
              <w:rPr>
                <w:rFonts w:hint="default" w:ascii="Times New Roman" w:hAnsi="Times New Roman" w:eastAsia="宋体" w:cs="Times New Roman"/>
                <w:caps w:val="0"/>
                <w:smallCaps w:val="0"/>
                <w:color w:val="auto"/>
                <w:sz w:val="21"/>
                <w:szCs w:val="21"/>
                <w:highlight w:val="none"/>
                <w:u w:val="none" w:color="auto"/>
                <w:lang w:val="en-US" w:eastAsia="zh-CN"/>
              </w:rPr>
              <w:t>选用低噪声设备</w:t>
            </w:r>
          </w:p>
        </w:tc>
        <w:tc>
          <w:tcPr>
            <w:tcW w:w="3042" w:type="dxa"/>
            <w:gridSpan w:val="2"/>
            <w:tcBorders>
              <w:top w:val="single" w:color="auto" w:sz="4" w:space="0"/>
              <w:left w:val="single" w:color="auto" w:sz="4" w:space="0"/>
              <w:right w:val="single" w:color="auto" w:sz="4" w:space="0"/>
            </w:tcBorders>
            <w:noWrap w:val="0"/>
            <w:vAlign w:val="center"/>
          </w:tcPr>
          <w:p w14:paraId="220B0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4"/>
                <w:sz w:val="21"/>
                <w:szCs w:val="21"/>
                <w:highlight w:val="none"/>
                <w:u w:val="none" w:color="auto"/>
              </w:rPr>
              <w:t>《工业企业厂界环境噪声排放标准》</w:t>
            </w:r>
            <w:r>
              <w:rPr>
                <w:rFonts w:hint="default" w:ascii="Times New Roman" w:hAnsi="Times New Roman" w:eastAsia="宋体" w:cs="Times New Roman"/>
                <w:color w:val="auto"/>
                <w:spacing w:val="4"/>
                <w:sz w:val="21"/>
                <w:szCs w:val="21"/>
                <w:highlight w:val="none"/>
                <w:u w:val="none" w:color="auto"/>
                <w:lang w:eastAsia="zh-CN"/>
              </w:rPr>
              <w:t>（</w:t>
            </w:r>
            <w:r>
              <w:rPr>
                <w:rFonts w:hint="default" w:ascii="Times New Roman" w:hAnsi="Times New Roman" w:eastAsia="宋体" w:cs="Times New Roman"/>
                <w:color w:val="auto"/>
                <w:spacing w:val="4"/>
                <w:sz w:val="21"/>
                <w:szCs w:val="21"/>
                <w:highlight w:val="none"/>
                <w:u w:val="none" w:color="auto"/>
              </w:rPr>
              <w:t>GB12348-2008</w:t>
            </w:r>
            <w:r>
              <w:rPr>
                <w:rFonts w:hint="default" w:ascii="Times New Roman" w:hAnsi="Times New Roman" w:eastAsia="宋体" w:cs="Times New Roman"/>
                <w:color w:val="auto"/>
                <w:spacing w:val="4"/>
                <w:sz w:val="21"/>
                <w:szCs w:val="21"/>
                <w:highlight w:val="none"/>
                <w:u w:val="none" w:color="auto"/>
                <w:lang w:eastAsia="zh-CN"/>
              </w:rPr>
              <w:t>）</w:t>
            </w:r>
            <w:r>
              <w:rPr>
                <w:rFonts w:hint="default" w:ascii="Times New Roman" w:hAnsi="Times New Roman" w:eastAsia="宋体" w:cs="Times New Roman"/>
                <w:color w:val="auto"/>
                <w:spacing w:val="4"/>
                <w:sz w:val="21"/>
                <w:szCs w:val="21"/>
                <w:highlight w:val="none"/>
                <w:u w:val="none" w:color="auto"/>
                <w:lang w:val="en-US" w:eastAsia="zh-CN"/>
              </w:rPr>
              <w:t>3</w:t>
            </w:r>
            <w:r>
              <w:rPr>
                <w:rFonts w:hint="default" w:ascii="Times New Roman" w:hAnsi="Times New Roman" w:eastAsia="宋体" w:cs="Times New Roman"/>
                <w:color w:val="auto"/>
                <w:spacing w:val="4"/>
                <w:sz w:val="21"/>
                <w:szCs w:val="21"/>
                <w:highlight w:val="none"/>
                <w:u w:val="none" w:color="auto"/>
              </w:rPr>
              <w:t>类</w:t>
            </w:r>
            <w:r>
              <w:rPr>
                <w:rFonts w:hint="default" w:ascii="Times New Roman" w:hAnsi="Times New Roman" w:eastAsia="宋体" w:cs="Times New Roman"/>
                <w:color w:val="auto"/>
                <w:spacing w:val="4"/>
                <w:sz w:val="21"/>
                <w:szCs w:val="21"/>
                <w:highlight w:val="none"/>
                <w:u w:val="none" w:color="auto"/>
                <w:lang w:eastAsia="zh-CN"/>
              </w:rPr>
              <w:t>标准</w:t>
            </w:r>
          </w:p>
        </w:tc>
      </w:tr>
      <w:tr w14:paraId="47A7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0" w:type="dxa"/>
            <w:vMerge w:val="restart"/>
            <w:tcBorders>
              <w:left w:val="single" w:color="auto" w:sz="4" w:space="0"/>
              <w:right w:val="single" w:color="auto" w:sz="4" w:space="0"/>
            </w:tcBorders>
            <w:noWrap w:val="0"/>
            <w:vAlign w:val="center"/>
          </w:tcPr>
          <w:p w14:paraId="6EB03BCE">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固体废物</w:t>
            </w:r>
          </w:p>
        </w:tc>
        <w:tc>
          <w:tcPr>
            <w:tcW w:w="1237" w:type="dxa"/>
            <w:tcBorders>
              <w:left w:val="single" w:color="auto" w:sz="4" w:space="0"/>
              <w:bottom w:val="single" w:color="auto" w:sz="4" w:space="0"/>
              <w:right w:val="single" w:color="auto" w:sz="4" w:space="0"/>
            </w:tcBorders>
            <w:noWrap w:val="0"/>
            <w:vAlign w:val="center"/>
          </w:tcPr>
          <w:p w14:paraId="4ED901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kern w:val="2"/>
                <w:sz w:val="21"/>
                <w:szCs w:val="21"/>
                <w:highlight w:val="none"/>
                <w:u w:val="none" w:color="auto"/>
                <w:lang w:val="en-US" w:eastAsia="zh-CN" w:bidi="ar-SA"/>
              </w:rPr>
              <w:t>危险废物暂存间</w:t>
            </w:r>
          </w:p>
        </w:tc>
        <w:tc>
          <w:tcPr>
            <w:tcW w:w="1409" w:type="dxa"/>
            <w:gridSpan w:val="2"/>
            <w:tcBorders>
              <w:left w:val="single" w:color="auto" w:sz="4" w:space="0"/>
              <w:right w:val="single" w:color="auto" w:sz="4" w:space="0"/>
            </w:tcBorders>
            <w:noWrap w:val="0"/>
            <w:vAlign w:val="center"/>
          </w:tcPr>
          <w:p w14:paraId="713A9F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危险废物</w:t>
            </w:r>
          </w:p>
        </w:tc>
        <w:tc>
          <w:tcPr>
            <w:tcW w:w="2217" w:type="dxa"/>
            <w:gridSpan w:val="2"/>
            <w:tcBorders>
              <w:left w:val="single" w:color="auto" w:sz="4" w:space="0"/>
              <w:right w:val="single" w:color="auto" w:sz="4" w:space="0"/>
            </w:tcBorders>
            <w:noWrap w:val="0"/>
            <w:vAlign w:val="center"/>
          </w:tcPr>
          <w:p w14:paraId="5FDD515D">
            <w:pPr>
              <w:keepNext w:val="0"/>
              <w:keepLines w:val="0"/>
              <w:pageBreakBefore w:val="0"/>
              <w:suppressLineNumbers w:val="0"/>
              <w:tabs>
                <w:tab w:val="left" w:pos="62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分类分区临时贮存于危废暂存</w:t>
            </w:r>
            <w:r>
              <w:rPr>
                <w:rFonts w:hint="eastAsia" w:cs="Times New Roman"/>
                <w:color w:val="auto"/>
                <w:sz w:val="21"/>
                <w:szCs w:val="21"/>
                <w:highlight w:val="none"/>
                <w:u w:val="none" w:color="auto"/>
                <w:lang w:val="en-US" w:eastAsia="zh-CN"/>
              </w:rPr>
              <w:t>库</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eastAsia="zh-CN"/>
              </w:rPr>
              <w:t>定期</w:t>
            </w:r>
            <w:r>
              <w:rPr>
                <w:rFonts w:hint="default" w:ascii="Times New Roman" w:hAnsi="Times New Roman" w:eastAsia="宋体" w:cs="Times New Roman"/>
                <w:color w:val="auto"/>
                <w:sz w:val="21"/>
                <w:szCs w:val="21"/>
                <w:highlight w:val="none"/>
                <w:u w:val="none" w:color="auto"/>
              </w:rPr>
              <w:t>委托有</w:t>
            </w:r>
            <w:r>
              <w:rPr>
                <w:rFonts w:hint="default" w:ascii="Times New Roman" w:hAnsi="Times New Roman" w:eastAsia="宋体" w:cs="Times New Roman"/>
                <w:color w:val="auto"/>
                <w:sz w:val="21"/>
                <w:szCs w:val="21"/>
                <w:highlight w:val="none"/>
                <w:u w:val="none" w:color="auto"/>
                <w:lang w:eastAsia="zh-CN"/>
              </w:rPr>
              <w:t>危险废物</w:t>
            </w:r>
            <w:r>
              <w:rPr>
                <w:rFonts w:hint="default" w:ascii="Times New Roman" w:hAnsi="Times New Roman" w:eastAsia="宋体" w:cs="Times New Roman"/>
                <w:color w:val="auto"/>
                <w:sz w:val="21"/>
                <w:szCs w:val="21"/>
                <w:highlight w:val="none"/>
                <w:u w:val="none" w:color="auto"/>
              </w:rPr>
              <w:t>处置资质的单位进行处置</w:t>
            </w:r>
          </w:p>
        </w:tc>
        <w:tc>
          <w:tcPr>
            <w:tcW w:w="3042" w:type="dxa"/>
            <w:gridSpan w:val="2"/>
            <w:tcBorders>
              <w:left w:val="single" w:color="auto" w:sz="4" w:space="0"/>
              <w:right w:val="single" w:color="auto" w:sz="4" w:space="0"/>
            </w:tcBorders>
            <w:noWrap w:val="0"/>
            <w:vAlign w:val="center"/>
          </w:tcPr>
          <w:p w14:paraId="5FFE1D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《危险废物贮存污染控制标准》（GB18597-20</w:t>
            </w:r>
            <w:r>
              <w:rPr>
                <w:rFonts w:hint="default" w:ascii="Times New Roman" w:hAnsi="Times New Roman" w:eastAsia="宋体" w:cs="Times New Roman"/>
                <w:color w:val="auto"/>
                <w:sz w:val="21"/>
                <w:szCs w:val="21"/>
                <w:highlight w:val="none"/>
                <w:u w:val="none" w:color="auto"/>
                <w:lang w:val="en-US" w:eastAsia="zh-CN"/>
              </w:rPr>
              <w:t>23</w:t>
            </w:r>
            <w:r>
              <w:rPr>
                <w:rFonts w:hint="default" w:ascii="Times New Roman" w:hAnsi="Times New Roman" w:eastAsia="宋体" w:cs="Times New Roman"/>
                <w:color w:val="auto"/>
                <w:sz w:val="21"/>
                <w:szCs w:val="21"/>
                <w:highlight w:val="none"/>
                <w:u w:val="none" w:color="auto"/>
              </w:rPr>
              <w:t>）</w:t>
            </w:r>
          </w:p>
        </w:tc>
      </w:tr>
      <w:tr w14:paraId="2999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0" w:type="dxa"/>
            <w:vMerge w:val="continue"/>
            <w:tcBorders>
              <w:left w:val="single" w:color="auto" w:sz="4" w:space="0"/>
              <w:right w:val="single" w:color="auto" w:sz="4" w:space="0"/>
            </w:tcBorders>
            <w:noWrap w:val="0"/>
            <w:vAlign w:val="center"/>
          </w:tcPr>
          <w:p w14:paraId="74EF9A12">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auto"/>
                <w:kern w:val="0"/>
                <w:sz w:val="21"/>
                <w:szCs w:val="21"/>
                <w:highlight w:val="none"/>
                <w:u w:val="none" w:color="auto"/>
              </w:rPr>
            </w:pPr>
          </w:p>
        </w:tc>
        <w:tc>
          <w:tcPr>
            <w:tcW w:w="1237" w:type="dxa"/>
            <w:tcBorders>
              <w:left w:val="single" w:color="auto" w:sz="4" w:space="0"/>
              <w:bottom w:val="single" w:color="auto" w:sz="4" w:space="0"/>
              <w:right w:val="single" w:color="auto" w:sz="4" w:space="0"/>
            </w:tcBorders>
            <w:noWrap w:val="0"/>
            <w:vAlign w:val="center"/>
          </w:tcPr>
          <w:p w14:paraId="1E30AF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生活垃圾</w:t>
            </w:r>
          </w:p>
        </w:tc>
        <w:tc>
          <w:tcPr>
            <w:tcW w:w="1409" w:type="dxa"/>
            <w:gridSpan w:val="2"/>
            <w:tcBorders>
              <w:left w:val="single" w:color="auto" w:sz="4" w:space="0"/>
              <w:right w:val="single" w:color="auto" w:sz="4" w:space="0"/>
            </w:tcBorders>
            <w:noWrap w:val="0"/>
            <w:vAlign w:val="center"/>
          </w:tcPr>
          <w:p w14:paraId="2BC116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生活垃圾</w:t>
            </w:r>
          </w:p>
        </w:tc>
        <w:tc>
          <w:tcPr>
            <w:tcW w:w="2217" w:type="dxa"/>
            <w:gridSpan w:val="2"/>
            <w:tcBorders>
              <w:left w:val="single" w:color="auto" w:sz="4" w:space="0"/>
              <w:right w:val="single" w:color="auto" w:sz="4" w:space="0"/>
            </w:tcBorders>
            <w:noWrap w:val="0"/>
            <w:vAlign w:val="center"/>
          </w:tcPr>
          <w:p w14:paraId="2F0AABD0">
            <w:pPr>
              <w:keepNext w:val="0"/>
              <w:keepLines w:val="0"/>
              <w:pageBreakBefore w:val="0"/>
              <w:suppressLineNumbers w:val="0"/>
              <w:tabs>
                <w:tab w:val="left" w:pos="624"/>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设置垃圾桶，收集后交由环卫处理</w:t>
            </w:r>
          </w:p>
        </w:tc>
        <w:tc>
          <w:tcPr>
            <w:tcW w:w="3042" w:type="dxa"/>
            <w:gridSpan w:val="2"/>
            <w:tcBorders>
              <w:left w:val="single" w:color="auto" w:sz="4" w:space="0"/>
              <w:right w:val="single" w:color="auto" w:sz="4" w:space="0"/>
            </w:tcBorders>
            <w:noWrap w:val="0"/>
            <w:vAlign w:val="center"/>
          </w:tcPr>
          <w:p w14:paraId="61530F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w:t>
            </w:r>
          </w:p>
        </w:tc>
      </w:tr>
      <w:tr w14:paraId="59AA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1FCFDB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土壤及地下水污染防治措施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19C9E3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color w:val="auto"/>
                <w:sz w:val="21"/>
                <w:szCs w:val="21"/>
                <w:highlight w:val="none"/>
                <w:u w:val="none" w:color="auto"/>
                <w:lang w:val="en-US" w:eastAsia="zh-CN"/>
              </w:rPr>
              <w:t>堆场硬化</w:t>
            </w:r>
          </w:p>
        </w:tc>
      </w:tr>
      <w:tr w14:paraId="6448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62C941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生态保护措施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09DA682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bidi="en-US"/>
              </w:rPr>
              <w:t>/</w:t>
            </w:r>
          </w:p>
        </w:tc>
      </w:tr>
      <w:tr w14:paraId="08D0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59FB8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环境风险</w:t>
            </w:r>
          </w:p>
          <w:p w14:paraId="62F2F6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防范措施</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5B3E3CC6">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1）要重点加强人员的巡检，确保巡检人员按照规程及时、严格巡检，增加危险货物集装箱堆存区域的检查频率，发生泄漏能够第一时间发现，及时采取应对措施，最大限度地减少危险货物集装箱火灾发生率。</w:t>
            </w:r>
          </w:p>
          <w:p w14:paraId="77DCA6F2">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2）要加强安全设施的可靠性，选用符合国家标准或者行业标准的安全设备设施，同时对安全设备进行经常性维护、保养，并定期检测，保证正常运转。</w:t>
            </w:r>
          </w:p>
          <w:p w14:paraId="6F1A06B5">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3）加强对员工的教育和培训，增强人员的安全意识，杜绝违章吸烟、违章用火等人员不安全行为的发生，使用防爆电器并确保防爆器可用，确保避雷器可用以及箱体接地装置安全可靠，高温天气防止箱体长时间日晒并对箱体采取降温措施，从根本上杜绝出现点火源。</w:t>
            </w:r>
          </w:p>
          <w:p w14:paraId="10005C3F">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4）应选用检验合格且在有效期内包装，包装的使用应得当，封口安全可靠，不存在盖子未拧紧或者扎口松动等情况。</w:t>
            </w:r>
          </w:p>
          <w:p w14:paraId="1F6104B4">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5）针对危险货物集装箱火灾风险事故，除了预防措施外，还应尽一切可能做好事故应急处置措施，保证消防通讯联络畅通，应急处置物资可靠，火灾发生初期迅速扑灭，最大限度地减轻火灾的损失。</w:t>
            </w:r>
          </w:p>
          <w:p w14:paraId="48A53410">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6）堆存堆场设置巡查打卡点，采取加强现场安全巡查、对锂电池集装箱定时测温等措施。</w:t>
            </w:r>
          </w:p>
          <w:p w14:paraId="08BEF92E">
            <w:pPr>
              <w:keepNext w:val="0"/>
              <w:keepLines w:val="0"/>
              <w:suppressLineNumbers w:val="0"/>
              <w:tabs>
                <w:tab w:val="left" w:pos="4200"/>
              </w:tabs>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7）公司中控室对评估货种的装卸作业过程及堆存场所应进行实时视频监控和记录，并设置不少于一个显示器画面固定用于显示该场地。</w:t>
            </w:r>
          </w:p>
          <w:p w14:paraId="27C8E252">
            <w:pPr>
              <w:keepNext w:val="0"/>
              <w:keepLines w:val="0"/>
              <w:suppressLineNumbers w:val="0"/>
              <w:adjustRightInd w:val="0"/>
              <w:snapToGrid w:val="0"/>
              <w:spacing w:before="0" w:beforeAutospacing="0" w:after="0" w:afterAutospacing="0" w:line="240" w:lineRule="auto"/>
              <w:ind w:left="0" w:right="0" w:firstLine="420" w:firstLineChars="200"/>
              <w:jc w:val="left"/>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8）在堆场周边设置标识标牌和防撞隔离墩配置。</w:t>
            </w:r>
          </w:p>
          <w:p w14:paraId="53530A80">
            <w:pPr>
              <w:keepNext w:val="0"/>
              <w:keepLines w:val="0"/>
              <w:suppressLineNumbers w:val="0"/>
              <w:adjustRightInd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Cs w:val="21"/>
                <w:highlight w:val="none"/>
                <w:u w:val="none" w:color="auto"/>
                <w:lang w:val="en-US" w:eastAsia="zh-CN"/>
              </w:rPr>
              <w:t>9）堆场在堆存锂电池等具有自燃危险性货物的集装箱时，堆场头尾应各放置1具（35kg磷酸铵盐）推车式干粉灭火器或水基灭火器和2具（4kg）干粉灭火器或水基灭火器。</w:t>
            </w:r>
          </w:p>
        </w:tc>
      </w:tr>
      <w:tr w14:paraId="6386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150" w:type="dxa"/>
            <w:tcBorders>
              <w:top w:val="single" w:color="auto" w:sz="4" w:space="0"/>
              <w:left w:val="single" w:color="auto" w:sz="4" w:space="0"/>
              <w:bottom w:val="single" w:color="auto" w:sz="4" w:space="0"/>
              <w:right w:val="single" w:color="auto" w:sz="4" w:space="0"/>
            </w:tcBorders>
            <w:noWrap w:val="0"/>
            <w:vAlign w:val="center"/>
          </w:tcPr>
          <w:p w14:paraId="3E63D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其他环境</w:t>
            </w:r>
          </w:p>
          <w:p w14:paraId="6C223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管理要求</w:t>
            </w:r>
          </w:p>
        </w:tc>
        <w:tc>
          <w:tcPr>
            <w:tcW w:w="7905" w:type="dxa"/>
            <w:gridSpan w:val="7"/>
            <w:tcBorders>
              <w:top w:val="single" w:color="auto" w:sz="4" w:space="0"/>
              <w:left w:val="single" w:color="auto" w:sz="4" w:space="0"/>
              <w:bottom w:val="single" w:color="auto" w:sz="4" w:space="0"/>
              <w:right w:val="single" w:color="auto" w:sz="4" w:space="0"/>
            </w:tcBorders>
            <w:noWrap w:val="0"/>
            <w:vAlign w:val="center"/>
          </w:tcPr>
          <w:p w14:paraId="144F86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w:t>
            </w:r>
          </w:p>
        </w:tc>
      </w:tr>
    </w:tbl>
    <w:p w14:paraId="2E1C30A2">
      <w:pPr>
        <w:pStyle w:val="42"/>
        <w:jc w:val="center"/>
        <w:outlineLvl w:val="0"/>
        <w:rPr>
          <w:rFonts w:hint="default" w:ascii="Times New Roman" w:hAnsi="Times New Roman" w:eastAsia="宋体" w:cs="Times New Roman"/>
          <w:snapToGrid w:val="0"/>
          <w:color w:val="auto"/>
          <w:sz w:val="30"/>
          <w:szCs w:val="30"/>
          <w:highlight w:val="none"/>
          <w:u w:val="none" w:color="auto"/>
        </w:rPr>
      </w:pPr>
      <w:r>
        <w:rPr>
          <w:rFonts w:hint="default" w:ascii="Times New Roman" w:hAnsi="Times New Roman" w:eastAsia="宋体" w:cs="Times New Roman"/>
          <w:snapToGrid w:val="0"/>
          <w:color w:val="auto"/>
          <w:highlight w:val="none"/>
          <w:u w:val="none" w:color="auto"/>
        </w:rPr>
        <w:br w:type="page"/>
      </w:r>
      <w:bookmarkStart w:id="14" w:name="_Toc19274"/>
      <w:r>
        <w:rPr>
          <w:rFonts w:hint="default" w:ascii="Times New Roman" w:hAnsi="Times New Roman" w:eastAsia="宋体" w:cs="Times New Roman"/>
          <w:snapToGrid w:val="0"/>
          <w:color w:val="auto"/>
          <w:sz w:val="30"/>
          <w:szCs w:val="30"/>
          <w:highlight w:val="none"/>
          <w:u w:val="none" w:color="auto"/>
        </w:rPr>
        <w:t>六、结论</w:t>
      </w:r>
      <w:bookmarkEnd w:id="14"/>
    </w:p>
    <w:tbl>
      <w:tblPr>
        <w:tblStyle w:val="46"/>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1A3C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6" w:hRule="atLeast"/>
          <w:jc w:val="center"/>
        </w:trPr>
        <w:tc>
          <w:tcPr>
            <w:tcW w:w="8865" w:type="dxa"/>
            <w:noWrap w:val="0"/>
            <w:vAlign w:val="top"/>
          </w:tcPr>
          <w:p w14:paraId="6BEA295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lang w:val="en-US" w:eastAsia="zh-CN"/>
              </w:rPr>
              <w:t>广西北部湾国际集装箱码头有限公司8类、9类固态危险货物集装箱混堆堆场项目</w:t>
            </w:r>
            <w:r>
              <w:rPr>
                <w:rFonts w:hint="default" w:ascii="Times New Roman" w:hAnsi="Times New Roman" w:eastAsia="宋体" w:cs="Times New Roman"/>
                <w:color w:val="auto"/>
                <w:sz w:val="24"/>
                <w:highlight w:val="none"/>
                <w:u w:val="none" w:color="auto"/>
              </w:rPr>
              <w:t>符合国家产业政策，选址符合当地规划。项目总</w:t>
            </w:r>
            <w:r>
              <w:rPr>
                <w:rFonts w:hint="default" w:ascii="Times New Roman" w:hAnsi="Times New Roman" w:eastAsia="宋体" w:cs="Times New Roman"/>
                <w:color w:val="auto"/>
                <w:sz w:val="24"/>
                <w:highlight w:val="none"/>
                <w:u w:val="none" w:color="auto"/>
                <w:lang w:eastAsia="zh-CN"/>
              </w:rPr>
              <w:t>平</w:t>
            </w:r>
            <w:r>
              <w:rPr>
                <w:rFonts w:hint="default" w:ascii="Times New Roman" w:hAnsi="Times New Roman" w:eastAsia="宋体" w:cs="Times New Roman"/>
                <w:color w:val="auto"/>
                <w:sz w:val="24"/>
                <w:highlight w:val="none"/>
                <w:u w:val="none" w:color="auto"/>
              </w:rPr>
              <w:t>布置合理，拟采取的污染防治措施属于可行技术，可使污染物达标排放。项目只要全面严格落实环境影响报告表和工程设计提出的环保对策及措施，严格执行“三同时”制度，确保项目产生的污染物达标排放</w:t>
            </w:r>
            <w:r>
              <w:rPr>
                <w:rFonts w:hint="default"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则本项目的建设从</w:t>
            </w:r>
            <w:r>
              <w:rPr>
                <w:rFonts w:hint="default" w:ascii="Times New Roman" w:hAnsi="Times New Roman" w:eastAsia="宋体" w:cs="Times New Roman"/>
                <w:color w:val="auto"/>
                <w:sz w:val="24"/>
                <w:highlight w:val="none"/>
                <w:u w:val="none" w:color="auto"/>
                <w:lang w:eastAsia="zh-CN"/>
              </w:rPr>
              <w:t>环境保护</w:t>
            </w:r>
            <w:r>
              <w:rPr>
                <w:rFonts w:hint="default" w:ascii="Times New Roman" w:hAnsi="Times New Roman" w:eastAsia="宋体" w:cs="Times New Roman"/>
                <w:color w:val="auto"/>
                <w:sz w:val="24"/>
                <w:highlight w:val="none"/>
                <w:u w:val="none" w:color="auto"/>
              </w:rPr>
              <w:t>角度上</w:t>
            </w:r>
            <w:r>
              <w:rPr>
                <w:rFonts w:hint="default" w:ascii="Times New Roman" w:hAnsi="Times New Roman" w:eastAsia="宋体" w:cs="Times New Roman"/>
                <w:color w:val="auto"/>
                <w:sz w:val="24"/>
                <w:highlight w:val="none"/>
                <w:u w:val="none" w:color="auto"/>
                <w:lang w:eastAsia="zh-CN"/>
              </w:rPr>
              <w:t>分析</w:t>
            </w:r>
            <w:r>
              <w:rPr>
                <w:rFonts w:hint="default" w:ascii="Times New Roman" w:hAnsi="Times New Roman" w:eastAsia="宋体" w:cs="Times New Roman"/>
                <w:color w:val="auto"/>
                <w:sz w:val="24"/>
                <w:highlight w:val="none"/>
                <w:u w:val="none" w:color="auto"/>
              </w:rPr>
              <w:t>是可行的</w:t>
            </w:r>
            <w:r>
              <w:rPr>
                <w:rFonts w:hint="default" w:ascii="Times New Roman" w:hAnsi="Times New Roman" w:eastAsia="宋体" w:cs="Times New Roman"/>
                <w:color w:val="auto"/>
                <w:sz w:val="24"/>
                <w:highlight w:val="none"/>
                <w:u w:val="none" w:color="auto"/>
                <w:lang w:eastAsia="zh-CN"/>
              </w:rPr>
              <w:t>。</w:t>
            </w:r>
          </w:p>
        </w:tc>
      </w:tr>
    </w:tbl>
    <w:p w14:paraId="4D089E3C">
      <w:pPr>
        <w:rPr>
          <w:rFonts w:hint="default" w:ascii="Times New Roman" w:hAnsi="Times New Roman" w:eastAsia="宋体" w:cs="Times New Roman"/>
          <w:color w:val="auto"/>
          <w:highlight w:val="none"/>
          <w:u w:val="none" w:color="auto"/>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A424FE2">
      <w:pPr>
        <w:pStyle w:val="42"/>
        <w:adjustRightInd w:val="0"/>
        <w:snapToGrid w:val="0"/>
        <w:spacing w:before="0" w:beforeAutospacing="0" w:after="0" w:afterAutospacing="0"/>
        <w:jc w:val="center"/>
        <w:outlineLvl w:val="9"/>
        <w:rPr>
          <w:rFonts w:hint="default" w:ascii="Times New Roman" w:hAnsi="Times New Roman" w:eastAsia="宋体" w:cs="Times New Roman"/>
          <w:b/>
          <w:bCs/>
          <w:snapToGrid w:val="0"/>
          <w:color w:val="auto"/>
          <w:sz w:val="38"/>
          <w:szCs w:val="38"/>
          <w:highlight w:val="none"/>
          <w:u w:val="none" w:color="auto"/>
        </w:rPr>
      </w:pPr>
      <w:r>
        <w:rPr>
          <w:rFonts w:hint="default" w:ascii="Times New Roman" w:hAnsi="Times New Roman" w:eastAsia="宋体" w:cs="Times New Roman"/>
          <w:b/>
          <w:bCs/>
          <w:snapToGrid w:val="0"/>
          <w:color w:val="auto"/>
          <w:sz w:val="38"/>
          <w:szCs w:val="38"/>
          <w:highlight w:val="none"/>
          <w:u w:val="none" w:color="auto"/>
        </w:rPr>
        <w:t>建设项目污染物排放量汇总表</w:t>
      </w:r>
    </w:p>
    <w:tbl>
      <w:tblPr>
        <w:tblStyle w:val="46"/>
        <w:tblW w:w="138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778"/>
        <w:gridCol w:w="1607"/>
        <w:gridCol w:w="1276"/>
        <w:gridCol w:w="1701"/>
        <w:gridCol w:w="1559"/>
        <w:gridCol w:w="1761"/>
        <w:gridCol w:w="1959"/>
        <w:gridCol w:w="1282"/>
      </w:tblGrid>
      <w:tr w14:paraId="543FC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tcBorders>
              <w:tl2br w:val="single" w:color="auto" w:sz="4" w:space="0"/>
            </w:tcBorders>
            <w:tcMar>
              <w:left w:w="28" w:type="dxa"/>
              <w:right w:w="28" w:type="dxa"/>
            </w:tcMar>
            <w:vAlign w:val="center"/>
          </w:tcPr>
          <w:p w14:paraId="17C8F0E5">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right"/>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项目</w:t>
            </w:r>
          </w:p>
          <w:p w14:paraId="4826C374">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jc w:val="left"/>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分类</w:t>
            </w:r>
          </w:p>
        </w:tc>
        <w:tc>
          <w:tcPr>
            <w:tcW w:w="1778" w:type="dxa"/>
            <w:tcMar>
              <w:left w:w="28" w:type="dxa"/>
              <w:right w:w="28" w:type="dxa"/>
            </w:tcMar>
            <w:vAlign w:val="center"/>
          </w:tcPr>
          <w:p w14:paraId="65374F9E">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污染物名称</w:t>
            </w:r>
          </w:p>
        </w:tc>
        <w:tc>
          <w:tcPr>
            <w:tcW w:w="1607" w:type="dxa"/>
            <w:tcMar>
              <w:left w:w="28" w:type="dxa"/>
              <w:right w:w="28" w:type="dxa"/>
            </w:tcMar>
            <w:vAlign w:val="center"/>
          </w:tcPr>
          <w:p w14:paraId="296CC10D">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现有工程</w:t>
            </w:r>
          </w:p>
          <w:p w14:paraId="7385157B">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排放量</w:t>
            </w:r>
            <w:r>
              <w:rPr>
                <w:rFonts w:hint="eastAsia" w:ascii="Times New Roman" w:hAnsi="Times New Roman" w:eastAsia="宋体" w:cs="Times New Roman"/>
                <w:snapToGrid w:val="0"/>
                <w:color w:val="auto"/>
                <w:spacing w:val="-6"/>
                <w:kern w:val="21"/>
                <w:sz w:val="24"/>
                <w:szCs w:val="20"/>
                <w:highlight w:val="none"/>
                <w:u w:val="none" w:color="auto"/>
                <w:lang w:eastAsia="zh-CN"/>
              </w:rPr>
              <w:t>（</w:t>
            </w:r>
            <w:r>
              <w:rPr>
                <w:rFonts w:hint="default" w:ascii="Times New Roman" w:hAnsi="Times New Roman" w:eastAsia="宋体" w:cs="Times New Roman"/>
                <w:snapToGrid w:val="0"/>
                <w:color w:val="auto"/>
                <w:spacing w:val="-6"/>
                <w:kern w:val="21"/>
                <w:sz w:val="24"/>
                <w:szCs w:val="20"/>
                <w:highlight w:val="none"/>
                <w:u w:val="none" w:color="auto"/>
              </w:rPr>
              <w:t>固体废物产生量</w:t>
            </w:r>
            <w:r>
              <w:rPr>
                <w:rFonts w:hint="eastAsia" w:ascii="Times New Roman" w:hAnsi="Times New Roman" w:eastAsia="宋体" w:cs="Times New Roman"/>
                <w:snapToGrid w:val="0"/>
                <w:color w:val="auto"/>
                <w:spacing w:val="-6"/>
                <w:kern w:val="21"/>
                <w:sz w:val="24"/>
                <w:szCs w:val="20"/>
                <w:highlight w:val="none"/>
                <w:u w:val="none" w:color="auto"/>
                <w:lang w:eastAsia="zh-CN"/>
              </w:rPr>
              <w:t>）</w:t>
            </w:r>
            <w:r>
              <w:rPr>
                <w:rFonts w:hint="default" w:ascii="Times New Roman" w:hAnsi="Times New Roman" w:eastAsia="宋体" w:cs="Times New Roman"/>
                <w:snapToGrid w:val="0"/>
                <w:color w:val="auto"/>
                <w:spacing w:val="-6"/>
                <w:kern w:val="21"/>
                <w:sz w:val="24"/>
                <w:szCs w:val="20"/>
                <w:highlight w:val="none"/>
                <w:u w:val="none" w:color="auto"/>
              </w:rPr>
              <w:fldChar w:fldCharType="begin"/>
            </w:r>
            <w:r>
              <w:rPr>
                <w:rFonts w:hint="default" w:ascii="Times New Roman" w:hAnsi="Times New Roman" w:eastAsia="宋体" w:cs="Times New Roman"/>
                <w:snapToGrid w:val="0"/>
                <w:color w:val="auto"/>
                <w:spacing w:val="-6"/>
                <w:kern w:val="21"/>
                <w:sz w:val="24"/>
                <w:szCs w:val="20"/>
                <w:highlight w:val="none"/>
                <w:u w:val="none" w:color="auto"/>
              </w:rPr>
              <w:instrText xml:space="preserve"> = 1 \* GB3 \* MERGEFORMAT </w:instrText>
            </w:r>
            <w:r>
              <w:rPr>
                <w:rFonts w:hint="default" w:ascii="Times New Roman" w:hAnsi="Times New Roman" w:eastAsia="宋体" w:cs="Times New Roman"/>
                <w:snapToGrid w:val="0"/>
                <w:color w:val="auto"/>
                <w:spacing w:val="-6"/>
                <w:kern w:val="21"/>
                <w:sz w:val="24"/>
                <w:szCs w:val="20"/>
                <w:highlight w:val="none"/>
                <w:u w:val="none" w:color="auto"/>
              </w:rPr>
              <w:fldChar w:fldCharType="separate"/>
            </w:r>
            <w:r>
              <w:rPr>
                <w:rFonts w:hint="default" w:ascii="Times New Roman" w:hAnsi="Times New Roman" w:eastAsia="宋体" w:cs="Times New Roman"/>
                <w:color w:val="auto"/>
                <w:kern w:val="2"/>
                <w:sz w:val="24"/>
                <w:szCs w:val="20"/>
                <w:highlight w:val="none"/>
                <w:u w:val="none" w:color="auto"/>
              </w:rPr>
              <w:t>①</w:t>
            </w:r>
            <w:r>
              <w:rPr>
                <w:rFonts w:hint="default" w:ascii="Times New Roman" w:hAnsi="Times New Roman" w:eastAsia="宋体" w:cs="Times New Roman"/>
                <w:snapToGrid w:val="0"/>
                <w:color w:val="auto"/>
                <w:spacing w:val="-6"/>
                <w:kern w:val="21"/>
                <w:sz w:val="24"/>
                <w:szCs w:val="20"/>
                <w:highlight w:val="none"/>
                <w:u w:val="none" w:color="auto"/>
              </w:rPr>
              <w:fldChar w:fldCharType="end"/>
            </w:r>
          </w:p>
        </w:tc>
        <w:tc>
          <w:tcPr>
            <w:tcW w:w="1276" w:type="dxa"/>
            <w:tcMar>
              <w:left w:w="28" w:type="dxa"/>
              <w:right w:w="28" w:type="dxa"/>
            </w:tcMar>
            <w:vAlign w:val="center"/>
          </w:tcPr>
          <w:p w14:paraId="31B66B0A">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现有工程</w:t>
            </w:r>
          </w:p>
          <w:p w14:paraId="0D6320FA">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许可排放量</w:t>
            </w:r>
          </w:p>
          <w:p w14:paraId="57E79878">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fldChar w:fldCharType="begin"/>
            </w:r>
            <w:r>
              <w:rPr>
                <w:rFonts w:hint="default" w:ascii="Times New Roman" w:hAnsi="Times New Roman" w:eastAsia="宋体" w:cs="Times New Roman"/>
                <w:snapToGrid w:val="0"/>
                <w:color w:val="auto"/>
                <w:spacing w:val="-6"/>
                <w:kern w:val="21"/>
                <w:sz w:val="24"/>
                <w:szCs w:val="20"/>
                <w:highlight w:val="none"/>
                <w:u w:val="none" w:color="auto"/>
              </w:rPr>
              <w:instrText xml:space="preserve"> = 2 \* GB3 \* MERGEFORMAT </w:instrText>
            </w:r>
            <w:r>
              <w:rPr>
                <w:rFonts w:hint="default" w:ascii="Times New Roman" w:hAnsi="Times New Roman" w:eastAsia="宋体" w:cs="Times New Roman"/>
                <w:snapToGrid w:val="0"/>
                <w:color w:val="auto"/>
                <w:spacing w:val="-6"/>
                <w:kern w:val="21"/>
                <w:sz w:val="24"/>
                <w:szCs w:val="20"/>
                <w:highlight w:val="none"/>
                <w:u w:val="none" w:color="auto"/>
              </w:rPr>
              <w:fldChar w:fldCharType="separate"/>
            </w:r>
            <w:r>
              <w:rPr>
                <w:rFonts w:hint="default" w:ascii="Times New Roman" w:hAnsi="Times New Roman" w:eastAsia="宋体" w:cs="Times New Roman"/>
                <w:snapToGrid w:val="0"/>
                <w:color w:val="auto"/>
                <w:spacing w:val="-6"/>
                <w:kern w:val="21"/>
                <w:sz w:val="24"/>
                <w:szCs w:val="20"/>
                <w:highlight w:val="none"/>
                <w:u w:val="none" w:color="auto"/>
              </w:rPr>
              <w:t>②</w:t>
            </w:r>
            <w:r>
              <w:rPr>
                <w:rFonts w:hint="default" w:ascii="Times New Roman" w:hAnsi="Times New Roman" w:eastAsia="宋体" w:cs="Times New Roman"/>
                <w:snapToGrid w:val="0"/>
                <w:color w:val="auto"/>
                <w:spacing w:val="-6"/>
                <w:kern w:val="21"/>
                <w:sz w:val="24"/>
                <w:szCs w:val="20"/>
                <w:highlight w:val="none"/>
                <w:u w:val="none" w:color="auto"/>
              </w:rPr>
              <w:fldChar w:fldCharType="end"/>
            </w:r>
          </w:p>
        </w:tc>
        <w:tc>
          <w:tcPr>
            <w:tcW w:w="1701" w:type="dxa"/>
            <w:tcMar>
              <w:left w:w="28" w:type="dxa"/>
              <w:right w:w="28" w:type="dxa"/>
            </w:tcMar>
            <w:vAlign w:val="center"/>
          </w:tcPr>
          <w:p w14:paraId="7DFE37DD">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在建工程</w:t>
            </w:r>
          </w:p>
          <w:p w14:paraId="7B7A16B4">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排放量</w:t>
            </w:r>
            <w:r>
              <w:rPr>
                <w:rFonts w:hint="eastAsia" w:ascii="Times New Roman" w:hAnsi="Times New Roman" w:eastAsia="宋体" w:cs="Times New Roman"/>
                <w:snapToGrid w:val="0"/>
                <w:color w:val="auto"/>
                <w:spacing w:val="-6"/>
                <w:kern w:val="21"/>
                <w:sz w:val="24"/>
                <w:szCs w:val="20"/>
                <w:highlight w:val="none"/>
                <w:u w:val="none" w:color="auto"/>
                <w:lang w:eastAsia="zh-CN"/>
              </w:rPr>
              <w:t>（</w:t>
            </w:r>
            <w:r>
              <w:rPr>
                <w:rFonts w:hint="default" w:ascii="Times New Roman" w:hAnsi="Times New Roman" w:eastAsia="宋体" w:cs="Times New Roman"/>
                <w:snapToGrid w:val="0"/>
                <w:color w:val="auto"/>
                <w:spacing w:val="-6"/>
                <w:kern w:val="21"/>
                <w:sz w:val="24"/>
                <w:szCs w:val="20"/>
                <w:highlight w:val="none"/>
                <w:u w:val="none" w:color="auto"/>
              </w:rPr>
              <w:t>固体废物产生量</w:t>
            </w:r>
            <w:r>
              <w:rPr>
                <w:rFonts w:hint="eastAsia" w:ascii="Times New Roman" w:hAnsi="Times New Roman" w:eastAsia="宋体" w:cs="Times New Roman"/>
                <w:snapToGrid w:val="0"/>
                <w:color w:val="auto"/>
                <w:spacing w:val="-6"/>
                <w:kern w:val="21"/>
                <w:sz w:val="24"/>
                <w:szCs w:val="20"/>
                <w:highlight w:val="none"/>
                <w:u w:val="none" w:color="auto"/>
                <w:lang w:eastAsia="zh-CN"/>
              </w:rPr>
              <w:t>）</w:t>
            </w:r>
            <w:r>
              <w:rPr>
                <w:rFonts w:hint="default" w:ascii="Times New Roman" w:hAnsi="Times New Roman" w:eastAsia="宋体" w:cs="Times New Roman"/>
                <w:snapToGrid w:val="0"/>
                <w:color w:val="auto"/>
                <w:spacing w:val="-6"/>
                <w:kern w:val="21"/>
                <w:sz w:val="24"/>
                <w:szCs w:val="20"/>
                <w:highlight w:val="none"/>
                <w:u w:val="none" w:color="auto"/>
              </w:rPr>
              <w:fldChar w:fldCharType="begin"/>
            </w:r>
            <w:r>
              <w:rPr>
                <w:rFonts w:hint="default" w:ascii="Times New Roman" w:hAnsi="Times New Roman" w:eastAsia="宋体" w:cs="Times New Roman"/>
                <w:snapToGrid w:val="0"/>
                <w:color w:val="auto"/>
                <w:spacing w:val="-6"/>
                <w:kern w:val="21"/>
                <w:sz w:val="24"/>
                <w:szCs w:val="20"/>
                <w:highlight w:val="none"/>
                <w:u w:val="none" w:color="auto"/>
              </w:rPr>
              <w:instrText xml:space="preserve"> = 3 \* GB3 \* MERGEFORMAT </w:instrText>
            </w:r>
            <w:r>
              <w:rPr>
                <w:rFonts w:hint="default" w:ascii="Times New Roman" w:hAnsi="Times New Roman" w:eastAsia="宋体" w:cs="Times New Roman"/>
                <w:snapToGrid w:val="0"/>
                <w:color w:val="auto"/>
                <w:spacing w:val="-6"/>
                <w:kern w:val="21"/>
                <w:sz w:val="24"/>
                <w:szCs w:val="20"/>
                <w:highlight w:val="none"/>
                <w:u w:val="none" w:color="auto"/>
              </w:rPr>
              <w:fldChar w:fldCharType="separate"/>
            </w:r>
            <w:r>
              <w:rPr>
                <w:rFonts w:hint="default" w:ascii="Times New Roman" w:hAnsi="Times New Roman" w:eastAsia="宋体" w:cs="Times New Roman"/>
                <w:color w:val="auto"/>
                <w:kern w:val="2"/>
                <w:sz w:val="24"/>
                <w:szCs w:val="20"/>
                <w:highlight w:val="none"/>
                <w:u w:val="none" w:color="auto"/>
              </w:rPr>
              <w:t>③</w:t>
            </w:r>
            <w:r>
              <w:rPr>
                <w:rFonts w:hint="default" w:ascii="Times New Roman" w:hAnsi="Times New Roman" w:eastAsia="宋体" w:cs="Times New Roman"/>
                <w:snapToGrid w:val="0"/>
                <w:color w:val="auto"/>
                <w:spacing w:val="-6"/>
                <w:kern w:val="21"/>
                <w:sz w:val="24"/>
                <w:szCs w:val="20"/>
                <w:highlight w:val="none"/>
                <w:u w:val="none" w:color="auto"/>
              </w:rPr>
              <w:fldChar w:fldCharType="end"/>
            </w:r>
          </w:p>
        </w:tc>
        <w:tc>
          <w:tcPr>
            <w:tcW w:w="1559" w:type="dxa"/>
            <w:tcMar>
              <w:left w:w="28" w:type="dxa"/>
              <w:right w:w="28" w:type="dxa"/>
            </w:tcMar>
            <w:vAlign w:val="center"/>
          </w:tcPr>
          <w:p w14:paraId="52D0B4F5">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本项目</w:t>
            </w:r>
          </w:p>
          <w:p w14:paraId="7F70151E">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排放量</w:t>
            </w:r>
            <w:r>
              <w:rPr>
                <w:rFonts w:hint="eastAsia" w:ascii="Times New Roman" w:hAnsi="Times New Roman" w:eastAsia="宋体" w:cs="Times New Roman"/>
                <w:snapToGrid w:val="0"/>
                <w:color w:val="auto"/>
                <w:spacing w:val="-6"/>
                <w:kern w:val="21"/>
                <w:sz w:val="24"/>
                <w:szCs w:val="20"/>
                <w:highlight w:val="none"/>
                <w:u w:val="none" w:color="auto"/>
                <w:lang w:eastAsia="zh-CN"/>
              </w:rPr>
              <w:t>（</w:t>
            </w:r>
            <w:r>
              <w:rPr>
                <w:rFonts w:hint="default" w:ascii="Times New Roman" w:hAnsi="Times New Roman" w:eastAsia="宋体" w:cs="Times New Roman"/>
                <w:snapToGrid w:val="0"/>
                <w:color w:val="auto"/>
                <w:spacing w:val="-6"/>
                <w:kern w:val="21"/>
                <w:sz w:val="24"/>
                <w:szCs w:val="20"/>
                <w:highlight w:val="none"/>
                <w:u w:val="none" w:color="auto"/>
              </w:rPr>
              <w:t>固体废物产生量</w:t>
            </w:r>
            <w:r>
              <w:rPr>
                <w:rFonts w:hint="eastAsia" w:ascii="Times New Roman" w:hAnsi="Times New Roman" w:eastAsia="宋体" w:cs="Times New Roman"/>
                <w:snapToGrid w:val="0"/>
                <w:color w:val="auto"/>
                <w:spacing w:val="-6"/>
                <w:kern w:val="21"/>
                <w:sz w:val="24"/>
                <w:szCs w:val="20"/>
                <w:highlight w:val="none"/>
                <w:u w:val="none" w:color="auto"/>
                <w:lang w:eastAsia="zh-CN"/>
              </w:rPr>
              <w:t>）</w:t>
            </w:r>
            <w:r>
              <w:rPr>
                <w:rFonts w:hint="default" w:ascii="Times New Roman" w:hAnsi="Times New Roman" w:eastAsia="宋体" w:cs="Times New Roman"/>
                <w:snapToGrid w:val="0"/>
                <w:color w:val="auto"/>
                <w:spacing w:val="-6"/>
                <w:kern w:val="21"/>
                <w:sz w:val="24"/>
                <w:szCs w:val="20"/>
                <w:highlight w:val="none"/>
                <w:u w:val="none" w:color="auto"/>
              </w:rPr>
              <w:fldChar w:fldCharType="begin"/>
            </w:r>
            <w:r>
              <w:rPr>
                <w:rFonts w:hint="default" w:ascii="Times New Roman" w:hAnsi="Times New Roman" w:eastAsia="宋体" w:cs="Times New Roman"/>
                <w:snapToGrid w:val="0"/>
                <w:color w:val="auto"/>
                <w:spacing w:val="-6"/>
                <w:kern w:val="21"/>
                <w:sz w:val="24"/>
                <w:szCs w:val="20"/>
                <w:highlight w:val="none"/>
                <w:u w:val="none" w:color="auto"/>
              </w:rPr>
              <w:instrText xml:space="preserve"> = 4 \* GB3 \* MERGEFORMAT </w:instrText>
            </w:r>
            <w:r>
              <w:rPr>
                <w:rFonts w:hint="default" w:ascii="Times New Roman" w:hAnsi="Times New Roman" w:eastAsia="宋体" w:cs="Times New Roman"/>
                <w:snapToGrid w:val="0"/>
                <w:color w:val="auto"/>
                <w:spacing w:val="-6"/>
                <w:kern w:val="21"/>
                <w:sz w:val="24"/>
                <w:szCs w:val="20"/>
                <w:highlight w:val="none"/>
                <w:u w:val="none" w:color="auto"/>
              </w:rPr>
              <w:fldChar w:fldCharType="separate"/>
            </w:r>
            <w:r>
              <w:rPr>
                <w:rFonts w:hint="default" w:ascii="Times New Roman" w:hAnsi="Times New Roman" w:eastAsia="宋体" w:cs="Times New Roman"/>
                <w:color w:val="auto"/>
                <w:kern w:val="2"/>
                <w:sz w:val="24"/>
                <w:szCs w:val="20"/>
                <w:highlight w:val="none"/>
                <w:u w:val="none" w:color="auto"/>
              </w:rPr>
              <w:t>④</w:t>
            </w:r>
            <w:r>
              <w:rPr>
                <w:rFonts w:hint="default" w:ascii="Times New Roman" w:hAnsi="Times New Roman" w:eastAsia="宋体" w:cs="Times New Roman"/>
                <w:snapToGrid w:val="0"/>
                <w:color w:val="auto"/>
                <w:spacing w:val="-6"/>
                <w:kern w:val="21"/>
                <w:sz w:val="24"/>
                <w:szCs w:val="20"/>
                <w:highlight w:val="none"/>
                <w:u w:val="none" w:color="auto"/>
              </w:rPr>
              <w:fldChar w:fldCharType="end"/>
            </w:r>
          </w:p>
        </w:tc>
        <w:tc>
          <w:tcPr>
            <w:tcW w:w="1761" w:type="dxa"/>
            <w:tcMar>
              <w:left w:w="28" w:type="dxa"/>
              <w:right w:w="28" w:type="dxa"/>
            </w:tcMar>
            <w:vAlign w:val="center"/>
          </w:tcPr>
          <w:p w14:paraId="12A3449B">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16"/>
                <w:kern w:val="21"/>
                <w:sz w:val="24"/>
                <w:szCs w:val="20"/>
                <w:highlight w:val="none"/>
                <w:u w:val="none" w:color="auto"/>
              </w:rPr>
            </w:pPr>
            <w:r>
              <w:rPr>
                <w:rFonts w:hint="default" w:ascii="Times New Roman" w:hAnsi="Times New Roman" w:eastAsia="宋体" w:cs="Times New Roman"/>
                <w:snapToGrid w:val="0"/>
                <w:color w:val="auto"/>
                <w:spacing w:val="-16"/>
                <w:kern w:val="21"/>
                <w:sz w:val="24"/>
                <w:szCs w:val="20"/>
                <w:highlight w:val="none"/>
                <w:u w:val="none" w:color="auto"/>
              </w:rPr>
              <w:t>以新带老削减量</w:t>
            </w:r>
          </w:p>
          <w:p w14:paraId="7B783ABC">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16"/>
                <w:kern w:val="21"/>
                <w:sz w:val="24"/>
                <w:szCs w:val="20"/>
                <w:highlight w:val="none"/>
                <w:u w:val="none" w:color="auto"/>
              </w:rPr>
            </w:pPr>
            <w:r>
              <w:rPr>
                <w:rFonts w:hint="eastAsia" w:ascii="Times New Roman" w:hAnsi="Times New Roman" w:eastAsia="宋体" w:cs="Times New Roman"/>
                <w:snapToGrid w:val="0"/>
                <w:color w:val="auto"/>
                <w:spacing w:val="-16"/>
                <w:kern w:val="21"/>
                <w:sz w:val="24"/>
                <w:szCs w:val="20"/>
                <w:highlight w:val="none"/>
                <w:u w:val="none" w:color="auto"/>
                <w:lang w:eastAsia="zh-CN"/>
              </w:rPr>
              <w:t>（</w:t>
            </w:r>
            <w:r>
              <w:rPr>
                <w:rFonts w:hint="default" w:ascii="Times New Roman" w:hAnsi="Times New Roman" w:eastAsia="宋体" w:cs="Times New Roman"/>
                <w:snapToGrid w:val="0"/>
                <w:color w:val="auto"/>
                <w:spacing w:val="-16"/>
                <w:kern w:val="21"/>
                <w:sz w:val="24"/>
                <w:szCs w:val="20"/>
                <w:highlight w:val="none"/>
                <w:u w:val="none" w:color="auto"/>
              </w:rPr>
              <w:t>新建项目不填</w:t>
            </w:r>
            <w:r>
              <w:rPr>
                <w:rFonts w:hint="eastAsia" w:ascii="Times New Roman" w:hAnsi="Times New Roman" w:eastAsia="宋体" w:cs="Times New Roman"/>
                <w:snapToGrid w:val="0"/>
                <w:color w:val="auto"/>
                <w:spacing w:val="-16"/>
                <w:kern w:val="21"/>
                <w:sz w:val="24"/>
                <w:szCs w:val="20"/>
                <w:highlight w:val="none"/>
                <w:u w:val="none" w:color="auto"/>
                <w:lang w:eastAsia="zh-CN"/>
              </w:rPr>
              <w:t>）</w:t>
            </w:r>
            <w:r>
              <w:rPr>
                <w:rFonts w:hint="default" w:ascii="Times New Roman" w:hAnsi="Times New Roman" w:eastAsia="宋体" w:cs="Times New Roman"/>
                <w:snapToGrid w:val="0"/>
                <w:color w:val="auto"/>
                <w:spacing w:val="-16"/>
                <w:kern w:val="21"/>
                <w:sz w:val="24"/>
                <w:szCs w:val="20"/>
                <w:highlight w:val="none"/>
                <w:u w:val="none" w:color="auto"/>
              </w:rPr>
              <w:fldChar w:fldCharType="begin"/>
            </w:r>
            <w:r>
              <w:rPr>
                <w:rFonts w:hint="default" w:ascii="Times New Roman" w:hAnsi="Times New Roman" w:eastAsia="宋体" w:cs="Times New Roman"/>
                <w:snapToGrid w:val="0"/>
                <w:color w:val="auto"/>
                <w:spacing w:val="-16"/>
                <w:kern w:val="21"/>
                <w:sz w:val="24"/>
                <w:szCs w:val="20"/>
                <w:highlight w:val="none"/>
                <w:u w:val="none" w:color="auto"/>
              </w:rPr>
              <w:instrText xml:space="preserve"> = 5 \* GB3 \* MERGEFORMAT </w:instrText>
            </w:r>
            <w:r>
              <w:rPr>
                <w:rFonts w:hint="default" w:ascii="Times New Roman" w:hAnsi="Times New Roman" w:eastAsia="宋体" w:cs="Times New Roman"/>
                <w:snapToGrid w:val="0"/>
                <w:color w:val="auto"/>
                <w:spacing w:val="-16"/>
                <w:kern w:val="21"/>
                <w:sz w:val="24"/>
                <w:szCs w:val="20"/>
                <w:highlight w:val="none"/>
                <w:u w:val="none" w:color="auto"/>
              </w:rPr>
              <w:fldChar w:fldCharType="separate"/>
            </w:r>
            <w:r>
              <w:rPr>
                <w:rFonts w:hint="default" w:ascii="Times New Roman" w:hAnsi="Times New Roman" w:eastAsia="宋体" w:cs="Times New Roman"/>
                <w:color w:val="auto"/>
                <w:kern w:val="2"/>
                <w:sz w:val="24"/>
                <w:szCs w:val="20"/>
                <w:highlight w:val="none"/>
                <w:u w:val="none" w:color="auto"/>
              </w:rPr>
              <w:t>⑤</w:t>
            </w:r>
            <w:r>
              <w:rPr>
                <w:rFonts w:hint="default" w:ascii="Times New Roman" w:hAnsi="Times New Roman" w:eastAsia="宋体" w:cs="Times New Roman"/>
                <w:snapToGrid w:val="0"/>
                <w:color w:val="auto"/>
                <w:spacing w:val="-16"/>
                <w:kern w:val="21"/>
                <w:sz w:val="24"/>
                <w:szCs w:val="20"/>
                <w:highlight w:val="none"/>
                <w:u w:val="none" w:color="auto"/>
              </w:rPr>
              <w:fldChar w:fldCharType="end"/>
            </w:r>
          </w:p>
        </w:tc>
        <w:tc>
          <w:tcPr>
            <w:tcW w:w="1959" w:type="dxa"/>
            <w:tcMar>
              <w:left w:w="28" w:type="dxa"/>
              <w:right w:w="28" w:type="dxa"/>
            </w:tcMar>
            <w:vAlign w:val="center"/>
          </w:tcPr>
          <w:p w14:paraId="3B23A524">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16"/>
                <w:kern w:val="21"/>
                <w:sz w:val="24"/>
                <w:szCs w:val="20"/>
                <w:highlight w:val="none"/>
                <w:u w:val="none" w:color="auto"/>
              </w:rPr>
            </w:pPr>
            <w:r>
              <w:rPr>
                <w:rFonts w:hint="default" w:ascii="Times New Roman" w:hAnsi="Times New Roman" w:eastAsia="宋体" w:cs="Times New Roman"/>
                <w:snapToGrid w:val="0"/>
                <w:color w:val="auto"/>
                <w:spacing w:val="-16"/>
                <w:kern w:val="21"/>
                <w:sz w:val="24"/>
                <w:szCs w:val="20"/>
                <w:highlight w:val="none"/>
                <w:u w:val="none" w:color="auto"/>
              </w:rPr>
              <w:t>本项目建成后</w:t>
            </w:r>
          </w:p>
          <w:p w14:paraId="554BCCC1">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16"/>
                <w:kern w:val="21"/>
                <w:sz w:val="24"/>
                <w:szCs w:val="20"/>
                <w:highlight w:val="none"/>
                <w:u w:val="none" w:color="auto"/>
              </w:rPr>
            </w:pPr>
            <w:r>
              <w:rPr>
                <w:rFonts w:hint="default" w:ascii="Times New Roman" w:hAnsi="Times New Roman" w:eastAsia="宋体" w:cs="Times New Roman"/>
                <w:snapToGrid w:val="0"/>
                <w:color w:val="auto"/>
                <w:spacing w:val="-16"/>
                <w:kern w:val="21"/>
                <w:sz w:val="24"/>
                <w:szCs w:val="20"/>
                <w:highlight w:val="none"/>
                <w:u w:val="none" w:color="auto"/>
              </w:rPr>
              <w:t>全厂排放量</w:t>
            </w:r>
            <w:r>
              <w:rPr>
                <w:rFonts w:hint="eastAsia" w:ascii="Times New Roman" w:hAnsi="Times New Roman" w:eastAsia="宋体" w:cs="Times New Roman"/>
                <w:snapToGrid w:val="0"/>
                <w:color w:val="auto"/>
                <w:spacing w:val="-16"/>
                <w:kern w:val="21"/>
                <w:sz w:val="24"/>
                <w:szCs w:val="20"/>
                <w:highlight w:val="none"/>
                <w:u w:val="none" w:color="auto"/>
                <w:lang w:eastAsia="zh-CN"/>
              </w:rPr>
              <w:t>（</w:t>
            </w:r>
            <w:r>
              <w:rPr>
                <w:rFonts w:hint="default" w:ascii="Times New Roman" w:hAnsi="Times New Roman" w:eastAsia="宋体" w:cs="Times New Roman"/>
                <w:snapToGrid w:val="0"/>
                <w:color w:val="auto"/>
                <w:spacing w:val="-16"/>
                <w:kern w:val="21"/>
                <w:sz w:val="24"/>
                <w:szCs w:val="20"/>
                <w:highlight w:val="none"/>
                <w:u w:val="none" w:color="auto"/>
              </w:rPr>
              <w:t>固体废物产生量</w:t>
            </w:r>
            <w:r>
              <w:rPr>
                <w:rFonts w:hint="eastAsia" w:ascii="Times New Roman" w:hAnsi="Times New Roman" w:eastAsia="宋体" w:cs="Times New Roman"/>
                <w:snapToGrid w:val="0"/>
                <w:color w:val="auto"/>
                <w:spacing w:val="-16"/>
                <w:kern w:val="21"/>
                <w:sz w:val="24"/>
                <w:szCs w:val="20"/>
                <w:highlight w:val="none"/>
                <w:u w:val="none" w:color="auto"/>
                <w:lang w:eastAsia="zh-CN"/>
              </w:rPr>
              <w:t>）</w:t>
            </w:r>
            <w:r>
              <w:rPr>
                <w:rFonts w:hint="default" w:ascii="Times New Roman" w:hAnsi="Times New Roman" w:eastAsia="宋体" w:cs="Times New Roman"/>
                <w:snapToGrid w:val="0"/>
                <w:color w:val="auto"/>
                <w:spacing w:val="-16"/>
                <w:kern w:val="21"/>
                <w:sz w:val="24"/>
                <w:szCs w:val="20"/>
                <w:highlight w:val="none"/>
                <w:u w:val="none" w:color="auto"/>
              </w:rPr>
              <w:fldChar w:fldCharType="begin"/>
            </w:r>
            <w:r>
              <w:rPr>
                <w:rFonts w:hint="default" w:ascii="Times New Roman" w:hAnsi="Times New Roman" w:eastAsia="宋体" w:cs="Times New Roman"/>
                <w:snapToGrid w:val="0"/>
                <w:color w:val="auto"/>
                <w:spacing w:val="-16"/>
                <w:kern w:val="21"/>
                <w:sz w:val="24"/>
                <w:szCs w:val="20"/>
                <w:highlight w:val="none"/>
                <w:u w:val="none" w:color="auto"/>
              </w:rPr>
              <w:instrText xml:space="preserve"> = 6 \* GB3 \* MERGEFORMAT </w:instrText>
            </w:r>
            <w:r>
              <w:rPr>
                <w:rFonts w:hint="default" w:ascii="Times New Roman" w:hAnsi="Times New Roman" w:eastAsia="宋体" w:cs="Times New Roman"/>
                <w:snapToGrid w:val="0"/>
                <w:color w:val="auto"/>
                <w:spacing w:val="-16"/>
                <w:kern w:val="21"/>
                <w:sz w:val="24"/>
                <w:szCs w:val="20"/>
                <w:highlight w:val="none"/>
                <w:u w:val="none" w:color="auto"/>
              </w:rPr>
              <w:fldChar w:fldCharType="separate"/>
            </w:r>
            <w:r>
              <w:rPr>
                <w:rFonts w:hint="default" w:ascii="Times New Roman" w:hAnsi="Times New Roman" w:eastAsia="宋体" w:cs="Times New Roman"/>
                <w:color w:val="auto"/>
                <w:kern w:val="2"/>
                <w:sz w:val="24"/>
                <w:szCs w:val="20"/>
                <w:highlight w:val="none"/>
                <w:u w:val="none" w:color="auto"/>
              </w:rPr>
              <w:t>⑥</w:t>
            </w:r>
            <w:r>
              <w:rPr>
                <w:rFonts w:hint="default" w:ascii="Times New Roman" w:hAnsi="Times New Roman" w:eastAsia="宋体" w:cs="Times New Roman"/>
                <w:snapToGrid w:val="0"/>
                <w:color w:val="auto"/>
                <w:spacing w:val="-16"/>
                <w:kern w:val="21"/>
                <w:sz w:val="24"/>
                <w:szCs w:val="20"/>
                <w:highlight w:val="none"/>
                <w:u w:val="none" w:color="auto"/>
              </w:rPr>
              <w:fldChar w:fldCharType="end"/>
            </w:r>
          </w:p>
        </w:tc>
        <w:tc>
          <w:tcPr>
            <w:tcW w:w="1282" w:type="dxa"/>
            <w:tcMar>
              <w:left w:w="28" w:type="dxa"/>
              <w:right w:w="28" w:type="dxa"/>
            </w:tcMar>
            <w:vAlign w:val="center"/>
          </w:tcPr>
          <w:p w14:paraId="160B2ED4">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t>变化量</w:t>
            </w:r>
          </w:p>
          <w:p w14:paraId="24386C25">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spacing w:val="-6"/>
                <w:kern w:val="21"/>
                <w:sz w:val="24"/>
                <w:szCs w:val="20"/>
                <w:highlight w:val="none"/>
                <w:u w:val="none" w:color="auto"/>
              </w:rPr>
            </w:pPr>
            <w:r>
              <w:rPr>
                <w:rFonts w:hint="default" w:ascii="Times New Roman" w:hAnsi="Times New Roman" w:eastAsia="宋体" w:cs="Times New Roman"/>
                <w:snapToGrid w:val="0"/>
                <w:color w:val="auto"/>
                <w:spacing w:val="-6"/>
                <w:kern w:val="21"/>
                <w:sz w:val="24"/>
                <w:szCs w:val="20"/>
                <w:highlight w:val="none"/>
                <w:u w:val="none" w:color="auto"/>
              </w:rPr>
              <w:fldChar w:fldCharType="begin"/>
            </w:r>
            <w:r>
              <w:rPr>
                <w:rFonts w:hint="default" w:ascii="Times New Roman" w:hAnsi="Times New Roman" w:eastAsia="宋体" w:cs="Times New Roman"/>
                <w:snapToGrid w:val="0"/>
                <w:color w:val="auto"/>
                <w:spacing w:val="-6"/>
                <w:kern w:val="21"/>
                <w:sz w:val="24"/>
                <w:szCs w:val="20"/>
                <w:highlight w:val="none"/>
                <w:u w:val="none" w:color="auto"/>
              </w:rPr>
              <w:instrText xml:space="preserve"> = 7 \* GB3 \* MERGEFORMAT </w:instrText>
            </w:r>
            <w:r>
              <w:rPr>
                <w:rFonts w:hint="default" w:ascii="Times New Roman" w:hAnsi="Times New Roman" w:eastAsia="宋体" w:cs="Times New Roman"/>
                <w:snapToGrid w:val="0"/>
                <w:color w:val="auto"/>
                <w:spacing w:val="-6"/>
                <w:kern w:val="21"/>
                <w:sz w:val="24"/>
                <w:szCs w:val="20"/>
                <w:highlight w:val="none"/>
                <w:u w:val="none" w:color="auto"/>
              </w:rPr>
              <w:fldChar w:fldCharType="separate"/>
            </w:r>
            <w:r>
              <w:rPr>
                <w:rFonts w:hint="default" w:ascii="Times New Roman" w:hAnsi="Times New Roman" w:eastAsia="宋体" w:cs="Times New Roman"/>
                <w:color w:val="auto"/>
                <w:kern w:val="2"/>
                <w:sz w:val="24"/>
                <w:szCs w:val="20"/>
                <w:highlight w:val="none"/>
                <w:u w:val="none" w:color="auto"/>
              </w:rPr>
              <w:t>⑦</w:t>
            </w:r>
            <w:r>
              <w:rPr>
                <w:rFonts w:hint="default" w:ascii="Times New Roman" w:hAnsi="Times New Roman" w:eastAsia="宋体" w:cs="Times New Roman"/>
                <w:snapToGrid w:val="0"/>
                <w:color w:val="auto"/>
                <w:spacing w:val="-6"/>
                <w:kern w:val="21"/>
                <w:sz w:val="24"/>
                <w:szCs w:val="20"/>
                <w:highlight w:val="none"/>
                <w:u w:val="none" w:color="auto"/>
              </w:rPr>
              <w:fldChar w:fldCharType="end"/>
            </w:r>
          </w:p>
        </w:tc>
      </w:tr>
      <w:tr w14:paraId="442AC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00BA9111">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r>
              <w:rPr>
                <w:rFonts w:hint="default" w:ascii="Times New Roman" w:hAnsi="Times New Roman" w:eastAsia="宋体" w:cs="Times New Roman"/>
                <w:snapToGrid w:val="0"/>
                <w:color w:val="auto"/>
                <w:kern w:val="21"/>
                <w:sz w:val="24"/>
                <w:szCs w:val="20"/>
                <w:highlight w:val="none"/>
                <w:u w:val="none" w:color="auto"/>
              </w:rPr>
              <w:t>废气</w:t>
            </w:r>
          </w:p>
        </w:tc>
        <w:tc>
          <w:tcPr>
            <w:tcW w:w="1778" w:type="dxa"/>
            <w:shd w:val="clear" w:color="auto" w:fill="auto"/>
            <w:vAlign w:val="center"/>
          </w:tcPr>
          <w:p w14:paraId="3B23BB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TSP</w:t>
            </w:r>
          </w:p>
        </w:tc>
        <w:tc>
          <w:tcPr>
            <w:tcW w:w="1607" w:type="dxa"/>
            <w:shd w:val="clear" w:color="auto" w:fill="auto"/>
            <w:vAlign w:val="center"/>
          </w:tcPr>
          <w:p w14:paraId="52136D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0.023</w:t>
            </w:r>
          </w:p>
        </w:tc>
        <w:tc>
          <w:tcPr>
            <w:tcW w:w="1276" w:type="dxa"/>
            <w:vAlign w:val="center"/>
          </w:tcPr>
          <w:p w14:paraId="13AD2C0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19F191A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0C832502">
            <w:pPr>
              <w:keepNext w:val="0"/>
              <w:keepLines w:val="0"/>
              <w:suppressLineNumbers w:val="0"/>
              <w:adjustRightInd w:val="0"/>
              <w:snapToGrid w:val="0"/>
              <w:spacing w:before="40" w:beforeAutospacing="0" w:after="40" w:afterAutospacing="0" w:line="280" w:lineRule="exact"/>
              <w:ind w:left="0" w:leftChars="0" w:right="0" w:rightChars="0"/>
              <w:jc w:val="center"/>
              <w:rPr>
                <w:rFonts w:hint="default"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0C269E9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6F396A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0.023</w:t>
            </w:r>
          </w:p>
        </w:tc>
        <w:tc>
          <w:tcPr>
            <w:tcW w:w="1282" w:type="dxa"/>
            <w:vAlign w:val="center"/>
          </w:tcPr>
          <w:p w14:paraId="52556F14">
            <w:pPr>
              <w:keepNext w:val="0"/>
              <w:keepLines w:val="0"/>
              <w:suppressLineNumbers w:val="0"/>
              <w:adjustRightInd w:val="0"/>
              <w:snapToGrid w:val="0"/>
              <w:spacing w:before="40" w:beforeAutospacing="0" w:after="40" w:afterAutospacing="0" w:line="280" w:lineRule="exact"/>
              <w:ind w:left="0" w:leftChars="0" w:right="0" w:rightChars="0"/>
              <w:jc w:val="center"/>
              <w:rPr>
                <w:rFonts w:hint="default"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r>
      <w:tr w14:paraId="4FA3C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319DAC45">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22FD3DF3">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PM</w:t>
            </w:r>
            <w:r>
              <w:rPr>
                <w:rFonts w:hint="default" w:ascii="Times New Roman" w:hAnsi="Times New Roman" w:eastAsia="宋体" w:cs="Times New Roman"/>
                <w:caps w:val="0"/>
                <w:color w:val="auto"/>
                <w:kern w:val="2"/>
                <w:szCs w:val="21"/>
                <w:highlight w:val="none"/>
                <w:u w:val="none" w:color="auto"/>
                <w:vertAlign w:val="subscript"/>
              </w:rPr>
              <w:t>2.5</w:t>
            </w:r>
          </w:p>
        </w:tc>
        <w:tc>
          <w:tcPr>
            <w:tcW w:w="1607" w:type="dxa"/>
            <w:shd w:val="clear" w:color="auto" w:fill="auto"/>
            <w:vAlign w:val="center"/>
          </w:tcPr>
          <w:p w14:paraId="1A3B95A2">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276" w:type="dxa"/>
            <w:vAlign w:val="center"/>
          </w:tcPr>
          <w:p w14:paraId="591402F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76DC77D6">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06F1C138">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4D3ECFC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34BA4BD1">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282" w:type="dxa"/>
            <w:vAlign w:val="center"/>
          </w:tcPr>
          <w:p w14:paraId="10EC9F82">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3424D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60248BA8">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12A324C6">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PM</w:t>
            </w:r>
            <w:r>
              <w:rPr>
                <w:rFonts w:hint="eastAsia" w:ascii="Times New Roman" w:hAnsi="Times New Roman" w:eastAsia="宋体" w:cs="Times New Roman"/>
                <w:caps w:val="0"/>
                <w:color w:val="auto"/>
                <w:kern w:val="2"/>
                <w:szCs w:val="21"/>
                <w:highlight w:val="none"/>
                <w:u w:val="none" w:color="auto"/>
                <w:vertAlign w:val="subscript"/>
                <w:lang w:val="en-US" w:eastAsia="zh-CN"/>
              </w:rPr>
              <w:t>10</w:t>
            </w:r>
          </w:p>
        </w:tc>
        <w:tc>
          <w:tcPr>
            <w:tcW w:w="1607" w:type="dxa"/>
            <w:shd w:val="clear" w:color="auto" w:fill="auto"/>
            <w:vAlign w:val="center"/>
          </w:tcPr>
          <w:p w14:paraId="305DAFDB">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276" w:type="dxa"/>
            <w:vAlign w:val="center"/>
          </w:tcPr>
          <w:p w14:paraId="4BDA770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5D4CF3A6">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6DCE5046">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59F1EF3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3E6777BA">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0.715</w:t>
            </w:r>
          </w:p>
        </w:tc>
        <w:tc>
          <w:tcPr>
            <w:tcW w:w="1282" w:type="dxa"/>
            <w:vAlign w:val="center"/>
          </w:tcPr>
          <w:p w14:paraId="218D394C">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246A7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493B325">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07518E92">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SO</w:t>
            </w:r>
            <w:r>
              <w:rPr>
                <w:rFonts w:hint="default" w:ascii="Times New Roman" w:hAnsi="Times New Roman" w:eastAsia="宋体" w:cs="Times New Roman"/>
                <w:caps w:val="0"/>
                <w:color w:val="auto"/>
                <w:kern w:val="2"/>
                <w:szCs w:val="21"/>
                <w:highlight w:val="none"/>
                <w:u w:val="none" w:color="auto"/>
                <w:vertAlign w:val="subscript"/>
              </w:rPr>
              <w:t>2</w:t>
            </w:r>
          </w:p>
        </w:tc>
        <w:tc>
          <w:tcPr>
            <w:tcW w:w="1607" w:type="dxa"/>
            <w:shd w:val="clear" w:color="auto" w:fill="auto"/>
            <w:vAlign w:val="center"/>
          </w:tcPr>
          <w:p w14:paraId="3883F4FA">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0.838</w:t>
            </w:r>
          </w:p>
        </w:tc>
        <w:tc>
          <w:tcPr>
            <w:tcW w:w="1276" w:type="dxa"/>
            <w:vAlign w:val="center"/>
          </w:tcPr>
          <w:p w14:paraId="0981A37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4D8EF5C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48488FDF">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5D6F311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510D8F02">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0.838</w:t>
            </w:r>
          </w:p>
        </w:tc>
        <w:tc>
          <w:tcPr>
            <w:tcW w:w="1282" w:type="dxa"/>
            <w:vAlign w:val="center"/>
          </w:tcPr>
          <w:p w14:paraId="270E913A">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32A8C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53DC39E">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3FCE51BB">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NO</w:t>
            </w:r>
            <w:r>
              <w:rPr>
                <w:rFonts w:hint="default" w:ascii="Times New Roman" w:hAnsi="Times New Roman" w:eastAsia="宋体" w:cs="Times New Roman"/>
                <w:caps w:val="0"/>
                <w:color w:val="auto"/>
                <w:kern w:val="2"/>
                <w:szCs w:val="21"/>
                <w:highlight w:val="none"/>
                <w:u w:val="none" w:color="auto"/>
                <w:vertAlign w:val="subscript"/>
              </w:rPr>
              <w:t>x</w:t>
            </w:r>
          </w:p>
        </w:tc>
        <w:tc>
          <w:tcPr>
            <w:tcW w:w="1607" w:type="dxa"/>
            <w:shd w:val="clear" w:color="auto" w:fill="auto"/>
            <w:vAlign w:val="center"/>
          </w:tcPr>
          <w:p w14:paraId="2371FECB">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11.214</w:t>
            </w:r>
          </w:p>
        </w:tc>
        <w:tc>
          <w:tcPr>
            <w:tcW w:w="1276" w:type="dxa"/>
            <w:vAlign w:val="center"/>
          </w:tcPr>
          <w:p w14:paraId="42B31F3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23AAAF7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57BB4959">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3CE04A4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6F49A235">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11.214</w:t>
            </w:r>
          </w:p>
        </w:tc>
        <w:tc>
          <w:tcPr>
            <w:tcW w:w="1282" w:type="dxa"/>
            <w:vAlign w:val="center"/>
          </w:tcPr>
          <w:p w14:paraId="6C852691">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47905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798484A1">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17013085">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HC</w:t>
            </w:r>
          </w:p>
        </w:tc>
        <w:tc>
          <w:tcPr>
            <w:tcW w:w="1607" w:type="dxa"/>
            <w:shd w:val="clear" w:color="auto" w:fill="auto"/>
            <w:vAlign w:val="center"/>
          </w:tcPr>
          <w:p w14:paraId="735CFEB4">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1.16</w:t>
            </w:r>
          </w:p>
        </w:tc>
        <w:tc>
          <w:tcPr>
            <w:tcW w:w="1276" w:type="dxa"/>
            <w:vAlign w:val="center"/>
          </w:tcPr>
          <w:p w14:paraId="2F3B2E0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7ED9E14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68013B86">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225B79E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38ACC1D8">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1.16</w:t>
            </w:r>
          </w:p>
        </w:tc>
        <w:tc>
          <w:tcPr>
            <w:tcW w:w="1282" w:type="dxa"/>
            <w:vAlign w:val="center"/>
          </w:tcPr>
          <w:p w14:paraId="4B6A8238">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2F906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2C34710">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4FAC352E">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0"/>
                <w:sz w:val="21"/>
                <w:szCs w:val="21"/>
                <w:highlight w:val="none"/>
                <w:u w:val="none" w:color="auto"/>
                <w:lang w:val="en-US" w:eastAsia="zh-CN" w:bidi="ar-SA"/>
              </w:rPr>
            </w:pPr>
            <w:r>
              <w:rPr>
                <w:rFonts w:hint="default" w:ascii="Times New Roman" w:hAnsi="Times New Roman" w:eastAsia="宋体" w:cs="Times New Roman"/>
                <w:caps w:val="0"/>
                <w:color w:val="auto"/>
                <w:kern w:val="2"/>
                <w:szCs w:val="21"/>
                <w:highlight w:val="none"/>
                <w:u w:val="none" w:color="auto"/>
              </w:rPr>
              <w:t>CO</w:t>
            </w:r>
          </w:p>
        </w:tc>
        <w:tc>
          <w:tcPr>
            <w:tcW w:w="1607" w:type="dxa"/>
            <w:shd w:val="clear" w:color="auto" w:fill="auto"/>
            <w:vAlign w:val="center"/>
          </w:tcPr>
          <w:p w14:paraId="0B5E066F">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3.666</w:t>
            </w:r>
          </w:p>
        </w:tc>
        <w:tc>
          <w:tcPr>
            <w:tcW w:w="1276" w:type="dxa"/>
            <w:vAlign w:val="center"/>
          </w:tcPr>
          <w:p w14:paraId="27CB9321">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118FA36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0B6909F6">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235D2183">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108D7BED">
            <w:pPr>
              <w:pStyle w:val="149"/>
              <w:keepNext w:val="0"/>
              <w:keepLines w:val="0"/>
              <w:suppressLineNumbers w:val="0"/>
              <w:wordWrap/>
              <w:snapToGrid w:val="0"/>
              <w:spacing w:before="0" w:beforeAutospacing="0" w:after="0" w:afterAutospacing="0" w:line="240" w:lineRule="exact"/>
              <w:ind w:left="0" w:right="0" w:firstLine="0" w:firstLineChars="0"/>
              <w:rPr>
                <w:rFonts w:hint="default" w:ascii="Times New Roman" w:hAnsi="Times New Roman" w:eastAsia="宋体" w:cs="Times New Roman"/>
                <w:caps w:val="0"/>
                <w:color w:val="auto"/>
                <w:kern w:val="2"/>
                <w:sz w:val="21"/>
                <w:szCs w:val="21"/>
                <w:highlight w:val="none"/>
                <w:u w:val="none" w:color="auto"/>
                <w:lang w:val="en-US" w:eastAsia="zh-CN" w:bidi="ar-SA"/>
              </w:rPr>
            </w:pPr>
            <w:r>
              <w:rPr>
                <w:rFonts w:hint="eastAsia" w:ascii="Times New Roman" w:hAnsi="Times New Roman" w:eastAsia="宋体" w:cs="Times New Roman"/>
                <w:caps w:val="0"/>
                <w:color w:val="auto"/>
                <w:kern w:val="2"/>
                <w:szCs w:val="21"/>
                <w:highlight w:val="none"/>
                <w:u w:val="none" w:color="auto"/>
                <w:lang w:val="en-US" w:eastAsia="zh-CN"/>
              </w:rPr>
              <w:t>3.666</w:t>
            </w:r>
          </w:p>
        </w:tc>
        <w:tc>
          <w:tcPr>
            <w:tcW w:w="1282" w:type="dxa"/>
            <w:vAlign w:val="center"/>
          </w:tcPr>
          <w:p w14:paraId="3C72D15A">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4587C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08C0D4A3">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7D424430">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非甲烷总烃</w:t>
            </w:r>
          </w:p>
        </w:tc>
        <w:tc>
          <w:tcPr>
            <w:tcW w:w="1607" w:type="dxa"/>
            <w:shd w:val="clear" w:color="auto" w:fill="auto"/>
            <w:vAlign w:val="center"/>
          </w:tcPr>
          <w:p w14:paraId="6BC675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0.253</w:t>
            </w:r>
          </w:p>
        </w:tc>
        <w:tc>
          <w:tcPr>
            <w:tcW w:w="1276" w:type="dxa"/>
            <w:vAlign w:val="center"/>
          </w:tcPr>
          <w:p w14:paraId="097545CF">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644AA01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7DA3E561">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0FDF36A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572815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0.253</w:t>
            </w:r>
          </w:p>
        </w:tc>
        <w:tc>
          <w:tcPr>
            <w:tcW w:w="1282" w:type="dxa"/>
            <w:vAlign w:val="center"/>
          </w:tcPr>
          <w:p w14:paraId="0A2EDDE7">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4A561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8852C4D">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498A62C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二甲苯</w:t>
            </w:r>
          </w:p>
        </w:tc>
        <w:tc>
          <w:tcPr>
            <w:tcW w:w="1607" w:type="dxa"/>
            <w:shd w:val="clear" w:color="auto" w:fill="auto"/>
            <w:vAlign w:val="center"/>
          </w:tcPr>
          <w:p w14:paraId="3EFD54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0.084</w:t>
            </w:r>
          </w:p>
        </w:tc>
        <w:tc>
          <w:tcPr>
            <w:tcW w:w="1276" w:type="dxa"/>
            <w:vAlign w:val="center"/>
          </w:tcPr>
          <w:p w14:paraId="1282D87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710F4691">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50426841">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347F2AD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538AEA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0.084</w:t>
            </w:r>
          </w:p>
        </w:tc>
        <w:tc>
          <w:tcPr>
            <w:tcW w:w="1282" w:type="dxa"/>
            <w:vAlign w:val="center"/>
          </w:tcPr>
          <w:p w14:paraId="6B731CE2">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28B6A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0551460">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132C23C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 w:val="0"/>
                <w:bCs/>
                <w:color w:val="auto"/>
                <w:spacing w:val="0"/>
                <w:w w:val="100"/>
                <w:sz w:val="21"/>
                <w:szCs w:val="21"/>
                <w:u w:val="none" w:color="auto"/>
                <w:lang w:val="en-US" w:eastAsia="zh-CN"/>
              </w:rPr>
              <w:t>甲苯</w:t>
            </w:r>
          </w:p>
        </w:tc>
        <w:tc>
          <w:tcPr>
            <w:tcW w:w="1607" w:type="dxa"/>
            <w:shd w:val="clear" w:color="auto" w:fill="auto"/>
            <w:vAlign w:val="center"/>
          </w:tcPr>
          <w:p w14:paraId="7F8D38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0.034</w:t>
            </w:r>
          </w:p>
        </w:tc>
        <w:tc>
          <w:tcPr>
            <w:tcW w:w="1276" w:type="dxa"/>
            <w:vAlign w:val="center"/>
          </w:tcPr>
          <w:p w14:paraId="49B744C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65D0C06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41373FEC">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5425F29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7CB67C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0.034</w:t>
            </w:r>
          </w:p>
        </w:tc>
        <w:tc>
          <w:tcPr>
            <w:tcW w:w="1282" w:type="dxa"/>
            <w:vAlign w:val="center"/>
          </w:tcPr>
          <w:p w14:paraId="289D982E">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4BA9F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2FB0CB66">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r>
              <w:rPr>
                <w:rFonts w:hint="default" w:ascii="Times New Roman" w:hAnsi="Times New Roman" w:eastAsia="宋体" w:cs="Times New Roman"/>
                <w:snapToGrid w:val="0"/>
                <w:color w:val="auto"/>
                <w:kern w:val="21"/>
                <w:sz w:val="24"/>
                <w:szCs w:val="20"/>
                <w:highlight w:val="none"/>
                <w:u w:val="none" w:color="auto"/>
              </w:rPr>
              <w:t>废水</w:t>
            </w:r>
          </w:p>
        </w:tc>
        <w:tc>
          <w:tcPr>
            <w:tcW w:w="1778" w:type="dxa"/>
            <w:vAlign w:val="center"/>
          </w:tcPr>
          <w:p w14:paraId="55DAEDC6">
            <w:pPr>
              <w:pStyle w:val="127"/>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水量</w:t>
            </w:r>
          </w:p>
        </w:tc>
        <w:tc>
          <w:tcPr>
            <w:tcW w:w="1607" w:type="dxa"/>
            <w:vAlign w:val="center"/>
          </w:tcPr>
          <w:p w14:paraId="312D2D9C">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aps w:val="0"/>
                <w:color w:val="auto"/>
                <w:spacing w:val="-10"/>
                <w:sz w:val="21"/>
                <w:szCs w:val="21"/>
                <w:highlight w:val="none"/>
                <w:u w:val="none" w:color="auto"/>
                <w:lang w:val="en-US" w:eastAsia="zh-CN"/>
              </w:rPr>
              <w:t>4445.4</w:t>
            </w:r>
          </w:p>
        </w:tc>
        <w:tc>
          <w:tcPr>
            <w:tcW w:w="1276" w:type="dxa"/>
            <w:vAlign w:val="center"/>
          </w:tcPr>
          <w:p w14:paraId="59666CE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03F6DB3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7BF3C41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eastAsia" w:ascii="Times New Roman" w:hAnsi="Times New Roman" w:eastAsia="宋体" w:cs="Times New Roman"/>
                <w:caps w:val="0"/>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02BE3066">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39BEC1A1">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snapToGrid w:val="0"/>
                <w:color w:val="auto"/>
                <w:kern w:val="21"/>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4445.4</w:t>
            </w:r>
          </w:p>
        </w:tc>
        <w:tc>
          <w:tcPr>
            <w:tcW w:w="1282" w:type="dxa"/>
            <w:vAlign w:val="center"/>
          </w:tcPr>
          <w:p w14:paraId="67EE172E">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eastAsia" w:ascii="Times New Roman" w:hAnsi="Times New Roman" w:eastAsia="宋体" w:cs="Times New Roman"/>
                <w:caps w:val="0"/>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6616A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64EC174B">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vAlign w:val="center"/>
          </w:tcPr>
          <w:p w14:paraId="0EA4B14A">
            <w:pPr>
              <w:pStyle w:val="127"/>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color w:val="auto"/>
                <w:szCs w:val="21"/>
                <w:highlight w:val="none"/>
                <w:u w:val="none" w:color="auto"/>
              </w:rPr>
              <w:t>COD</w:t>
            </w:r>
          </w:p>
        </w:tc>
        <w:tc>
          <w:tcPr>
            <w:tcW w:w="1607" w:type="dxa"/>
            <w:vAlign w:val="center"/>
          </w:tcPr>
          <w:p w14:paraId="7D6DCACD">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aps w:val="0"/>
                <w:color w:val="auto"/>
                <w:spacing w:val="-10"/>
                <w:sz w:val="21"/>
                <w:szCs w:val="21"/>
                <w:highlight w:val="none"/>
                <w:u w:val="none" w:color="auto"/>
                <w:lang w:val="en-US" w:eastAsia="zh-CN"/>
              </w:rPr>
              <w:t>0.888</w:t>
            </w:r>
          </w:p>
        </w:tc>
        <w:tc>
          <w:tcPr>
            <w:tcW w:w="1276" w:type="dxa"/>
            <w:vAlign w:val="center"/>
          </w:tcPr>
          <w:p w14:paraId="7B0098B1">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65F313E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4BE01DF3">
            <w:pPr>
              <w:keepNext w:val="0"/>
              <w:keepLines w:val="0"/>
              <w:suppressLineNumbers w:val="0"/>
              <w:adjustRightInd w:val="0"/>
              <w:snapToGrid w:val="0"/>
              <w:spacing w:before="40" w:beforeAutospacing="0" w:after="40" w:afterAutospacing="0" w:line="280" w:lineRule="exact"/>
              <w:ind w:left="0" w:leftChars="0" w:right="0" w:rightChars="0"/>
              <w:jc w:val="center"/>
              <w:rPr>
                <w:rFonts w:hint="default" w:ascii="Times New Roman" w:hAnsi="Times New Roman" w:eastAsia="宋体" w:cs="Times New Roman"/>
                <w:color w:val="auto"/>
                <w:kern w:val="0"/>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34DF1CE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3CCB6005">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0.888</w:t>
            </w:r>
          </w:p>
        </w:tc>
        <w:tc>
          <w:tcPr>
            <w:tcW w:w="1282" w:type="dxa"/>
            <w:vAlign w:val="center"/>
          </w:tcPr>
          <w:p w14:paraId="6006782E">
            <w:pPr>
              <w:keepNext w:val="0"/>
              <w:keepLines w:val="0"/>
              <w:suppressLineNumbers w:val="0"/>
              <w:adjustRightInd w:val="0"/>
              <w:snapToGrid w:val="0"/>
              <w:spacing w:before="40" w:beforeAutospacing="0" w:after="40" w:afterAutospacing="0" w:line="280" w:lineRule="exact"/>
              <w:ind w:left="0" w:leftChars="0" w:right="0" w:rightChars="0"/>
              <w:jc w:val="center"/>
              <w:rPr>
                <w:rFonts w:hint="default" w:ascii="Times New Roman" w:hAnsi="Times New Roman" w:eastAsia="宋体" w:cs="Times New Roman"/>
                <w:color w:val="auto"/>
                <w:kern w:val="0"/>
                <w:szCs w:val="21"/>
                <w:highlight w:val="none"/>
                <w:u w:val="none" w:color="auto"/>
                <w:lang w:eastAsia="zh-CN" w:bidi="ar"/>
              </w:rPr>
            </w:pPr>
            <w:r>
              <w:rPr>
                <w:rFonts w:hint="eastAsia" w:ascii="Times New Roman" w:hAnsi="Times New Roman" w:eastAsia="宋体" w:cs="Times New Roman"/>
                <w:color w:val="auto"/>
                <w:sz w:val="21"/>
                <w:szCs w:val="21"/>
                <w:highlight w:val="none"/>
                <w:u w:val="none" w:color="auto"/>
                <w:lang w:val="en-US" w:eastAsia="zh-CN"/>
              </w:rPr>
              <w:t>0</w:t>
            </w:r>
          </w:p>
        </w:tc>
      </w:tr>
      <w:tr w14:paraId="7F6B3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FACB30E">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vAlign w:val="center"/>
          </w:tcPr>
          <w:p w14:paraId="1D30983D">
            <w:pPr>
              <w:pStyle w:val="127"/>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color w:val="auto"/>
                <w:szCs w:val="21"/>
                <w:highlight w:val="none"/>
                <w:u w:val="none" w:color="auto"/>
              </w:rPr>
              <w:t>NH</w:t>
            </w:r>
            <w:r>
              <w:rPr>
                <w:rFonts w:hint="default" w:ascii="Times New Roman" w:hAnsi="Times New Roman" w:eastAsia="宋体" w:cs="Times New Roman"/>
                <w:color w:val="auto"/>
                <w:szCs w:val="21"/>
                <w:highlight w:val="none"/>
                <w:u w:val="none" w:color="auto"/>
                <w:vertAlign w:val="subscript"/>
              </w:rPr>
              <w:t>3</w:t>
            </w:r>
            <w:r>
              <w:rPr>
                <w:rFonts w:hint="default" w:ascii="Times New Roman" w:hAnsi="Times New Roman" w:eastAsia="宋体" w:cs="Times New Roman"/>
                <w:color w:val="auto"/>
                <w:szCs w:val="21"/>
                <w:highlight w:val="none"/>
                <w:u w:val="none" w:color="auto"/>
              </w:rPr>
              <w:t>-N</w:t>
            </w:r>
          </w:p>
        </w:tc>
        <w:tc>
          <w:tcPr>
            <w:tcW w:w="1607" w:type="dxa"/>
            <w:vAlign w:val="center"/>
          </w:tcPr>
          <w:p w14:paraId="16DF46E2">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aps w:val="0"/>
                <w:color w:val="auto"/>
                <w:spacing w:val="-10"/>
                <w:sz w:val="21"/>
                <w:szCs w:val="21"/>
                <w:highlight w:val="none"/>
                <w:u w:val="none" w:color="auto"/>
                <w:lang w:val="en-US" w:eastAsia="zh-CN"/>
              </w:rPr>
              <w:t>0.130</w:t>
            </w:r>
          </w:p>
        </w:tc>
        <w:tc>
          <w:tcPr>
            <w:tcW w:w="1276" w:type="dxa"/>
            <w:vAlign w:val="center"/>
          </w:tcPr>
          <w:p w14:paraId="631536C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vAlign w:val="center"/>
          </w:tcPr>
          <w:p w14:paraId="66CF1D5C">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vAlign w:val="center"/>
          </w:tcPr>
          <w:p w14:paraId="1093D510">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2D08F29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56B1AAA3">
            <w:pPr>
              <w:keepNext w:val="0"/>
              <w:keepLines w:val="0"/>
              <w:suppressLineNumbers w:val="0"/>
              <w:snapToGrid w:val="0"/>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snapToGrid w:val="0"/>
                <w:color w:val="auto"/>
                <w:kern w:val="21"/>
                <w:sz w:val="21"/>
                <w:szCs w:val="21"/>
                <w:highlight w:val="none"/>
                <w:u w:val="none" w:color="auto"/>
                <w:lang w:val="en-US" w:eastAsia="zh-CN" w:bidi="ar-SA"/>
              </w:rPr>
            </w:pPr>
            <w:r>
              <w:rPr>
                <w:rFonts w:hint="eastAsia" w:ascii="Times New Roman" w:hAnsi="Times New Roman" w:eastAsia="宋体" w:cs="Times New Roman"/>
                <w:caps w:val="0"/>
                <w:color w:val="auto"/>
                <w:spacing w:val="-10"/>
                <w:sz w:val="21"/>
                <w:szCs w:val="21"/>
                <w:highlight w:val="none"/>
                <w:u w:val="none" w:color="auto"/>
                <w:lang w:val="en-US" w:eastAsia="zh-CN"/>
              </w:rPr>
              <w:t>0.130</w:t>
            </w:r>
          </w:p>
        </w:tc>
        <w:tc>
          <w:tcPr>
            <w:tcW w:w="1282" w:type="dxa"/>
            <w:vAlign w:val="center"/>
          </w:tcPr>
          <w:p w14:paraId="2AE04994">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color w:val="auto"/>
                <w:kern w:val="0"/>
                <w:szCs w:val="21"/>
                <w:highlight w:val="none"/>
                <w:u w:val="none" w:color="auto"/>
                <w:lang w:eastAsia="zh-CN" w:bidi="ar"/>
              </w:rPr>
            </w:pPr>
            <w:r>
              <w:rPr>
                <w:rFonts w:hint="eastAsia" w:ascii="Times New Roman" w:hAnsi="Times New Roman" w:eastAsia="宋体" w:cs="Times New Roman"/>
                <w:color w:val="auto"/>
                <w:sz w:val="21"/>
                <w:szCs w:val="21"/>
                <w:highlight w:val="none"/>
                <w:u w:val="none" w:color="auto"/>
                <w:lang w:val="en-US" w:eastAsia="zh-CN"/>
              </w:rPr>
              <w:t>0</w:t>
            </w:r>
          </w:p>
        </w:tc>
      </w:tr>
      <w:tr w14:paraId="700F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1F1CFEC8">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r>
              <w:rPr>
                <w:rFonts w:hint="default" w:ascii="Times New Roman" w:hAnsi="Times New Roman" w:eastAsia="宋体" w:cs="Times New Roman"/>
                <w:snapToGrid w:val="0"/>
                <w:color w:val="auto"/>
                <w:kern w:val="21"/>
                <w:sz w:val="24"/>
                <w:szCs w:val="20"/>
                <w:highlight w:val="none"/>
                <w:u w:val="none" w:color="auto"/>
              </w:rPr>
              <w:t>一般</w:t>
            </w:r>
          </w:p>
          <w:p w14:paraId="0C6A7E26">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r>
              <w:rPr>
                <w:rFonts w:hint="default" w:ascii="Times New Roman" w:hAnsi="Times New Roman" w:eastAsia="宋体" w:cs="Times New Roman"/>
                <w:snapToGrid w:val="0"/>
                <w:color w:val="auto"/>
                <w:kern w:val="21"/>
                <w:sz w:val="24"/>
                <w:szCs w:val="20"/>
                <w:highlight w:val="none"/>
                <w:u w:val="none" w:color="auto"/>
              </w:rPr>
              <w:t>固体</w:t>
            </w:r>
          </w:p>
          <w:p w14:paraId="468FA486">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r>
              <w:rPr>
                <w:rFonts w:hint="default" w:ascii="Times New Roman" w:hAnsi="Times New Roman" w:eastAsia="宋体" w:cs="Times New Roman"/>
                <w:snapToGrid w:val="0"/>
                <w:color w:val="auto"/>
                <w:kern w:val="21"/>
                <w:sz w:val="24"/>
                <w:szCs w:val="20"/>
                <w:highlight w:val="none"/>
                <w:u w:val="none" w:color="auto"/>
              </w:rPr>
              <w:t>废物</w:t>
            </w:r>
          </w:p>
        </w:tc>
        <w:tc>
          <w:tcPr>
            <w:tcW w:w="1778" w:type="dxa"/>
            <w:shd w:val="clear" w:color="auto" w:fill="auto"/>
            <w:vAlign w:val="center"/>
          </w:tcPr>
          <w:p w14:paraId="1AEEA9C6">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leftChars="0" w:right="0" w:rightChars="0"/>
              <w:jc w:val="center"/>
              <w:textAlignment w:val="auto"/>
              <w:rPr>
                <w:rFonts w:hint="default" w:ascii="Times New Roman" w:hAnsi="Times New Roman" w:eastAsia="宋体" w:cs="Times New Roman"/>
                <w:snapToGrid w:val="0"/>
                <w:color w:val="auto"/>
                <w:kern w:val="21"/>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生活垃圾</w:t>
            </w:r>
          </w:p>
        </w:tc>
        <w:tc>
          <w:tcPr>
            <w:tcW w:w="1607" w:type="dxa"/>
            <w:shd w:val="clear" w:color="auto" w:fill="auto"/>
            <w:vAlign w:val="center"/>
          </w:tcPr>
          <w:p w14:paraId="69555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25.34</w:t>
            </w:r>
          </w:p>
        </w:tc>
        <w:tc>
          <w:tcPr>
            <w:tcW w:w="1276" w:type="dxa"/>
            <w:shd w:val="clear" w:color="auto" w:fill="auto"/>
            <w:vAlign w:val="center"/>
          </w:tcPr>
          <w:p w14:paraId="4EC7C70B">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u w:val="none" w:color="auto"/>
                <w:lang w:val="en-US" w:eastAsia="zh-CN" w:bidi="ar-SA"/>
              </w:rPr>
            </w:pPr>
            <w:r>
              <w:rPr>
                <w:rFonts w:hint="default" w:ascii="Times New Roman" w:hAnsi="Times New Roman" w:eastAsia="宋体" w:cs="Times New Roman"/>
                <w:snapToGrid w:val="0"/>
                <w:color w:val="auto"/>
                <w:kern w:val="21"/>
                <w:szCs w:val="21"/>
                <w:highlight w:val="none"/>
                <w:u w:val="none" w:color="auto"/>
              </w:rPr>
              <w:t>/</w:t>
            </w:r>
          </w:p>
        </w:tc>
        <w:tc>
          <w:tcPr>
            <w:tcW w:w="1701" w:type="dxa"/>
            <w:shd w:val="clear" w:color="auto" w:fill="auto"/>
            <w:vAlign w:val="center"/>
          </w:tcPr>
          <w:p w14:paraId="7B713F62">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u w:val="none" w:color="auto"/>
                <w:lang w:val="en-US" w:eastAsia="zh-CN" w:bidi="ar-SA"/>
              </w:rPr>
            </w:pPr>
            <w:r>
              <w:rPr>
                <w:rFonts w:hint="default" w:ascii="Times New Roman" w:hAnsi="Times New Roman" w:eastAsia="宋体" w:cs="Times New Roman"/>
                <w:snapToGrid w:val="0"/>
                <w:color w:val="auto"/>
                <w:kern w:val="21"/>
                <w:szCs w:val="21"/>
                <w:highlight w:val="none"/>
                <w:u w:val="none" w:color="auto"/>
              </w:rPr>
              <w:t>/</w:t>
            </w:r>
          </w:p>
        </w:tc>
        <w:tc>
          <w:tcPr>
            <w:tcW w:w="1559" w:type="dxa"/>
            <w:shd w:val="clear" w:color="auto" w:fill="auto"/>
            <w:vAlign w:val="center"/>
          </w:tcPr>
          <w:p w14:paraId="31514170">
            <w:pPr>
              <w:keepNext w:val="0"/>
              <w:keepLines w:val="0"/>
              <w:suppressLineNumbers w:val="0"/>
              <w:adjustRightInd w:val="0"/>
              <w:snapToGrid w:val="0"/>
              <w:spacing w:before="40" w:beforeAutospacing="0" w:after="40" w:afterAutospacing="0" w:line="280" w:lineRule="exact"/>
              <w:ind w:left="0" w:leftChars="0" w:right="0" w:rightChars="0"/>
              <w:jc w:val="center"/>
              <w:rPr>
                <w:rFonts w:hint="default" w:ascii="Times New Roman" w:hAnsi="Times New Roman" w:eastAsia="宋体" w:cs="Times New Roman"/>
                <w:color w:val="auto"/>
                <w:kern w:val="0"/>
                <w:sz w:val="21"/>
                <w:szCs w:val="21"/>
                <w:highlight w:val="none"/>
                <w:u w:val="none" w:color="auto"/>
                <w:lang w:val="en-US" w:eastAsia="zh-CN" w:bidi="ar"/>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shd w:val="clear" w:color="auto" w:fill="auto"/>
            <w:vAlign w:val="center"/>
          </w:tcPr>
          <w:p w14:paraId="71E9D1AA">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615EE5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25.34</w:t>
            </w:r>
          </w:p>
        </w:tc>
        <w:tc>
          <w:tcPr>
            <w:tcW w:w="1282" w:type="dxa"/>
            <w:shd w:val="clear" w:color="auto" w:fill="auto"/>
            <w:vAlign w:val="center"/>
          </w:tcPr>
          <w:p w14:paraId="5265B8C1">
            <w:pPr>
              <w:keepNext w:val="0"/>
              <w:keepLines w:val="0"/>
              <w:suppressLineNumbers w:val="0"/>
              <w:adjustRightInd w:val="0"/>
              <w:snapToGrid w:val="0"/>
              <w:spacing w:before="40" w:beforeAutospacing="0" w:after="40" w:afterAutospacing="0" w:line="280" w:lineRule="exact"/>
              <w:ind w:left="0" w:leftChars="0" w:right="0" w:rightChars="0"/>
              <w:jc w:val="center"/>
              <w:rPr>
                <w:rFonts w:hint="default" w:ascii="Times New Roman" w:hAnsi="Times New Roman" w:eastAsia="宋体" w:cs="Times New Roman"/>
                <w:snapToGrid w:val="0"/>
                <w:color w:val="auto"/>
                <w:kern w:val="21"/>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w:t>
            </w:r>
          </w:p>
        </w:tc>
      </w:tr>
      <w:tr w14:paraId="2F552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D3E14E0">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p>
        </w:tc>
        <w:tc>
          <w:tcPr>
            <w:tcW w:w="1778" w:type="dxa"/>
            <w:shd w:val="clear" w:color="auto" w:fill="auto"/>
            <w:vAlign w:val="center"/>
          </w:tcPr>
          <w:p w14:paraId="77EF9F0D">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leftChars="0" w:right="0" w:right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废木屑、废焊丝、废木料、包装材料等</w:t>
            </w:r>
          </w:p>
        </w:tc>
        <w:tc>
          <w:tcPr>
            <w:tcW w:w="1607" w:type="dxa"/>
            <w:shd w:val="clear" w:color="auto" w:fill="auto"/>
            <w:vAlign w:val="center"/>
          </w:tcPr>
          <w:p w14:paraId="75F11E81">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37.6</w:t>
            </w:r>
          </w:p>
        </w:tc>
        <w:tc>
          <w:tcPr>
            <w:tcW w:w="1276" w:type="dxa"/>
            <w:shd w:val="clear" w:color="auto" w:fill="auto"/>
            <w:vAlign w:val="center"/>
          </w:tcPr>
          <w:p w14:paraId="0CB2FE0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701" w:type="dxa"/>
            <w:shd w:val="clear" w:color="auto" w:fill="auto"/>
            <w:vAlign w:val="center"/>
          </w:tcPr>
          <w:p w14:paraId="539B13C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default" w:ascii="Times New Roman" w:hAnsi="Times New Roman" w:eastAsia="宋体" w:cs="Times New Roman"/>
                <w:snapToGrid w:val="0"/>
                <w:color w:val="auto"/>
                <w:kern w:val="21"/>
                <w:szCs w:val="21"/>
                <w:highlight w:val="none"/>
                <w:u w:val="none" w:color="auto"/>
              </w:rPr>
              <w:t>/</w:t>
            </w:r>
          </w:p>
        </w:tc>
        <w:tc>
          <w:tcPr>
            <w:tcW w:w="1559" w:type="dxa"/>
            <w:shd w:val="clear" w:color="auto" w:fill="auto"/>
            <w:vAlign w:val="center"/>
          </w:tcPr>
          <w:p w14:paraId="4025BD9F">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shd w:val="clear" w:color="auto" w:fill="auto"/>
            <w:vAlign w:val="center"/>
          </w:tcPr>
          <w:p w14:paraId="056E8C0D">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6A1FF4D0">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37.6</w:t>
            </w:r>
          </w:p>
        </w:tc>
        <w:tc>
          <w:tcPr>
            <w:tcW w:w="1282" w:type="dxa"/>
            <w:shd w:val="clear" w:color="auto" w:fill="auto"/>
            <w:vAlign w:val="center"/>
          </w:tcPr>
          <w:p w14:paraId="5B7F20EA">
            <w:pPr>
              <w:keepNext w:val="0"/>
              <w:keepLines w:val="0"/>
              <w:suppressLineNumbers w:val="0"/>
              <w:adjustRightInd w:val="0"/>
              <w:snapToGrid w:val="0"/>
              <w:spacing w:before="40" w:beforeAutospacing="0" w:after="40" w:afterAutospacing="0" w:line="280" w:lineRule="exact"/>
              <w:ind w:left="0" w:leftChars="0" w:right="0" w:right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r>
      <w:tr w14:paraId="323FD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Align w:val="center"/>
          </w:tcPr>
          <w:p w14:paraId="08B3970C">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r>
              <w:rPr>
                <w:rFonts w:hint="default" w:ascii="Times New Roman" w:hAnsi="Times New Roman" w:eastAsia="宋体" w:cs="Times New Roman"/>
                <w:snapToGrid w:val="0"/>
                <w:color w:val="auto"/>
                <w:kern w:val="21"/>
                <w:sz w:val="24"/>
                <w:szCs w:val="20"/>
                <w:highlight w:val="none"/>
                <w:u w:val="none" w:color="auto"/>
              </w:rPr>
              <w:t>危险</w:t>
            </w:r>
          </w:p>
          <w:p w14:paraId="158D07AB">
            <w:pPr>
              <w:pStyle w:val="82"/>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default" w:ascii="Times New Roman" w:hAnsi="Times New Roman" w:eastAsia="宋体" w:cs="Times New Roman"/>
                <w:snapToGrid w:val="0"/>
                <w:color w:val="auto"/>
                <w:kern w:val="21"/>
                <w:sz w:val="24"/>
                <w:szCs w:val="20"/>
                <w:highlight w:val="none"/>
                <w:u w:val="none" w:color="auto"/>
              </w:rPr>
            </w:pPr>
            <w:r>
              <w:rPr>
                <w:rFonts w:hint="default" w:ascii="Times New Roman" w:hAnsi="Times New Roman" w:eastAsia="宋体" w:cs="Times New Roman"/>
                <w:snapToGrid w:val="0"/>
                <w:color w:val="auto"/>
                <w:kern w:val="21"/>
                <w:sz w:val="24"/>
                <w:szCs w:val="20"/>
                <w:highlight w:val="none"/>
                <w:u w:val="none" w:color="auto"/>
              </w:rPr>
              <w:t>废物</w:t>
            </w:r>
          </w:p>
        </w:tc>
        <w:tc>
          <w:tcPr>
            <w:tcW w:w="1778" w:type="dxa"/>
            <w:vAlign w:val="center"/>
          </w:tcPr>
          <w:p w14:paraId="61455C8F">
            <w:pPr>
              <w:keepNext w:val="0"/>
              <w:keepLines w:val="0"/>
              <w:pageBreakBefore w:val="0"/>
              <w:widowControl w:val="0"/>
              <w:suppressLineNumbers w:val="0"/>
              <w:kinsoku/>
              <w:wordWrap/>
              <w:overflowPunct/>
              <w:topLinePunct w:val="0"/>
              <w:autoSpaceDE/>
              <w:autoSpaceDN/>
              <w:bidi w:val="0"/>
              <w:adjustRightInd/>
              <w:snapToGrid/>
              <w:spacing w:before="63" w:beforeLines="20" w:beforeAutospacing="0" w:after="63" w:afterLines="20" w:afterAutospacing="0" w:line="264" w:lineRule="auto"/>
              <w:ind w:left="0" w:right="0"/>
              <w:jc w:val="center"/>
              <w:textAlignment w:val="auto"/>
              <w:rPr>
                <w:rFonts w:hint="default" w:ascii="Times New Roman" w:hAnsi="Times New Roman" w:eastAsia="宋体" w:cs="Times New Roman"/>
                <w:snapToGrid w:val="0"/>
                <w:color w:val="auto"/>
                <w:kern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废矿物油</w:t>
            </w:r>
            <w:r>
              <w:rPr>
                <w:rFonts w:hint="eastAsia" w:ascii="Times New Roman" w:hAnsi="Times New Roman" w:eastAsia="宋体" w:cs="Times New Roman"/>
                <w:color w:val="auto"/>
                <w:sz w:val="21"/>
                <w:szCs w:val="21"/>
                <w:highlight w:val="none"/>
                <w:u w:val="none" w:color="auto"/>
                <w:lang w:val="en-US" w:eastAsia="zh-CN"/>
              </w:rPr>
              <w:t>、含油抹布等</w:t>
            </w:r>
          </w:p>
        </w:tc>
        <w:tc>
          <w:tcPr>
            <w:tcW w:w="1607" w:type="dxa"/>
            <w:shd w:val="clear" w:color="auto" w:fill="auto"/>
            <w:vAlign w:val="center"/>
          </w:tcPr>
          <w:p w14:paraId="69301F6B">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bCs/>
                <w:caps w:val="0"/>
                <w:color w:val="auto"/>
                <w:sz w:val="21"/>
                <w:szCs w:val="21"/>
                <w:highlight w:val="none"/>
                <w:u w:val="none" w:color="auto"/>
                <w:lang w:val="en-US" w:eastAsia="zh-CN"/>
              </w:rPr>
              <w:t>65.845</w:t>
            </w:r>
          </w:p>
        </w:tc>
        <w:tc>
          <w:tcPr>
            <w:tcW w:w="1276" w:type="dxa"/>
            <w:vAlign w:val="center"/>
          </w:tcPr>
          <w:p w14:paraId="10527A20">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lang w:val="en-US" w:eastAsia="zh-CN"/>
              </w:rPr>
            </w:pPr>
            <w:r>
              <w:rPr>
                <w:rFonts w:hint="default" w:ascii="Times New Roman" w:hAnsi="Times New Roman" w:eastAsia="宋体" w:cs="Times New Roman"/>
                <w:snapToGrid w:val="0"/>
                <w:color w:val="auto"/>
                <w:kern w:val="21"/>
                <w:szCs w:val="21"/>
                <w:highlight w:val="none"/>
                <w:u w:val="none" w:color="auto"/>
                <w:lang w:val="en-US" w:eastAsia="zh-CN"/>
              </w:rPr>
              <w:t>/</w:t>
            </w:r>
          </w:p>
        </w:tc>
        <w:tc>
          <w:tcPr>
            <w:tcW w:w="1701" w:type="dxa"/>
            <w:vAlign w:val="center"/>
          </w:tcPr>
          <w:p w14:paraId="1E90FA5D">
            <w:pPr>
              <w:keepNext w:val="0"/>
              <w:keepLines w:val="0"/>
              <w:pageBreakBefore w:val="0"/>
              <w:widowControl w:val="0"/>
              <w:suppressLineNumbers w:val="0"/>
              <w:tabs>
                <w:tab w:val="left" w:pos="6593"/>
              </w:tabs>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lang w:val="en-US" w:eastAsia="zh-CN"/>
              </w:rPr>
            </w:pPr>
            <w:r>
              <w:rPr>
                <w:rFonts w:hint="default" w:ascii="Times New Roman" w:hAnsi="Times New Roman" w:eastAsia="宋体" w:cs="Times New Roman"/>
                <w:snapToGrid w:val="0"/>
                <w:color w:val="auto"/>
                <w:kern w:val="21"/>
                <w:szCs w:val="21"/>
                <w:highlight w:val="none"/>
                <w:u w:val="none" w:color="auto"/>
                <w:lang w:val="en-US" w:eastAsia="zh-CN"/>
              </w:rPr>
              <w:t>/</w:t>
            </w:r>
          </w:p>
        </w:tc>
        <w:tc>
          <w:tcPr>
            <w:tcW w:w="1559" w:type="dxa"/>
            <w:vAlign w:val="center"/>
          </w:tcPr>
          <w:p w14:paraId="3FE3B225">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w:t>
            </w:r>
          </w:p>
        </w:tc>
        <w:tc>
          <w:tcPr>
            <w:tcW w:w="1761" w:type="dxa"/>
            <w:vAlign w:val="center"/>
          </w:tcPr>
          <w:p w14:paraId="427C62C7">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right="0" w:firstLine="0" w:firstLineChars="0"/>
              <w:jc w:val="center"/>
              <w:textAlignment w:val="auto"/>
              <w:rPr>
                <w:rFonts w:hint="default" w:ascii="Times New Roman" w:hAnsi="Times New Roman" w:eastAsia="宋体" w:cs="Times New Roman"/>
                <w:snapToGrid w:val="0"/>
                <w:color w:val="auto"/>
                <w:kern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0</w:t>
            </w:r>
          </w:p>
        </w:tc>
        <w:tc>
          <w:tcPr>
            <w:tcW w:w="1959" w:type="dxa"/>
            <w:shd w:val="clear" w:color="auto" w:fill="auto"/>
            <w:vAlign w:val="center"/>
          </w:tcPr>
          <w:p w14:paraId="2EE18FE3">
            <w:pPr>
              <w:keepNext w:val="0"/>
              <w:keepLines w:val="0"/>
              <w:suppressLineNumbers w:val="0"/>
              <w:autoSpaceDE w:val="0"/>
              <w:autoSpaceDN w:val="0"/>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bCs/>
                <w:caps w:val="0"/>
                <w:color w:val="auto"/>
                <w:sz w:val="21"/>
                <w:szCs w:val="21"/>
                <w:highlight w:val="none"/>
                <w:u w:val="none" w:color="auto"/>
                <w:lang w:val="en-US" w:eastAsia="zh-CN"/>
              </w:rPr>
              <w:t>65.845</w:t>
            </w:r>
          </w:p>
        </w:tc>
        <w:tc>
          <w:tcPr>
            <w:tcW w:w="1282" w:type="dxa"/>
            <w:vAlign w:val="center"/>
          </w:tcPr>
          <w:p w14:paraId="60AB8ED8">
            <w:pPr>
              <w:keepNext w:val="0"/>
              <w:keepLines w:val="0"/>
              <w:pageBreakBefore w:val="0"/>
              <w:widowControl w:val="0"/>
              <w:suppressLineNumbers w:val="0"/>
              <w:kinsoku/>
              <w:wordWrap/>
              <w:overflowPunct/>
              <w:topLinePunct w:val="0"/>
              <w:autoSpaceDE/>
              <w:autoSpaceDN/>
              <w:bidi w:val="0"/>
              <w:spacing w:before="60" w:beforeAutospacing="0" w:after="60" w:afterAutospacing="0" w:line="240" w:lineRule="exact"/>
              <w:ind w:left="0" w:leftChars="0" w:right="0" w:rightChars="0" w:firstLine="0" w:firstLineChars="0"/>
              <w:jc w:val="center"/>
              <w:textAlignment w:val="auto"/>
              <w:rPr>
                <w:rFonts w:hint="default" w:ascii="Times New Roman" w:hAnsi="Times New Roman" w:eastAsia="宋体" w:cs="Times New Roman"/>
                <w:snapToGrid w:val="0"/>
                <w:color w:val="auto"/>
                <w:kern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0</w:t>
            </w:r>
          </w:p>
        </w:tc>
      </w:tr>
    </w:tbl>
    <w:p w14:paraId="73D4964B">
      <w:pPr>
        <w:pStyle w:val="45"/>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snapToGrid w:val="0"/>
          <w:color w:val="auto"/>
          <w:kern w:val="21"/>
          <w:szCs w:val="21"/>
          <w:highlight w:val="none"/>
          <w:u w:val="none" w:color="auto"/>
        </w:rPr>
        <w:t>注：</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6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⑥</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1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①</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3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③</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4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④</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5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⑤</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7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⑦</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6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⑥</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1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①</w:t>
      </w:r>
      <w:r>
        <w:rPr>
          <w:rFonts w:hint="default" w:ascii="Times New Roman" w:hAnsi="Times New Roman" w:eastAsia="宋体" w:cs="Times New Roman"/>
          <w:snapToGrid w:val="0"/>
          <w:color w:val="auto"/>
          <w:spacing w:val="-6"/>
          <w:kern w:val="21"/>
          <w:szCs w:val="21"/>
          <w:highlight w:val="none"/>
          <w:u w:val="none" w:color="auto"/>
        </w:rPr>
        <w:fldChar w:fldCharType="end"/>
      </w:r>
    </w:p>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華康細圓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Arial Unicode MS">
    <w:altName w:val="宋体"/>
    <w:panose1 w:val="020B0604020202020204"/>
    <w:charset w:val="86"/>
    <w:family w:val="roman"/>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auto"/>
    <w:pitch w:val="default"/>
    <w:sig w:usb0="E00002FF" w:usb1="420024FF" w:usb2="00000000" w:usb3="00000000" w:csb0="2000019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0B0BD">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1974">
    <w:pPr>
      <w:pStyle w:val="28"/>
      <w:framePr w:wrap="around" w:vAnchor="text" w:hAnchor="margin" w:xAlign="center" w:y="1"/>
      <w:rPr>
        <w:rFonts w:hint="eastAsia" w:eastAsia="宋体"/>
        <w:lang w:eastAsia="zh-CN"/>
      </w:rPr>
    </w:pPr>
    <w:r>
      <w:fldChar w:fldCharType="begin"/>
    </w:r>
    <w:r>
      <w:rPr>
        <w:rStyle w:val="50"/>
      </w:rPr>
      <w:instrText xml:space="preserve">PAGE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00D">
    <w:pPr>
      <w:pStyle w:val="28"/>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B2D2FD">
                          <w:pPr>
                            <w:pStyle w:val="2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ccd7DgAQAAwwMAAA4AAAAA&#10;AAAAAQAgAAAAHgEAAGRycy9lMm9Eb2MueG1sUEsFBgAAAAAGAAYAWQEAAHAFAAAAAA==&#10;">
              <v:fill on="f" focussize="0,0"/>
              <v:stroke on="f"/>
              <v:imagedata o:title=""/>
              <o:lock v:ext="edit" aspectratio="f"/>
              <v:textbox inset="0mm,0mm,0mm,0mm" style="mso-fit-shape-to-text:t;">
                <w:txbxContent>
                  <w:p w14:paraId="61B2D2FD">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68C5">
    <w:pPr>
      <w:pStyle w:val="28"/>
      <w:ind w:right="360" w:firstLine="360"/>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991F68">
                          <w:pPr>
                            <w:pStyle w:val="28"/>
                          </w:pPr>
                          <w:r>
                            <w:fldChar w:fldCharType="begin"/>
                          </w:r>
                          <w:r>
                            <w:instrText xml:space="preserve"> PAGE  \* MERGEFORMAT </w:instrText>
                          </w:r>
                          <w:r>
                            <w:fldChar w:fldCharType="separate"/>
                          </w:r>
                          <w:r>
                            <w:t>5</w:t>
                          </w:r>
                          <w:r>
                            <w:fldChar w:fldCharType="end"/>
                          </w:r>
                        </w:p>
                      </w:txbxContent>
                    </wps:txbx>
                    <wps:bodyPr vert="horz" wrap="none" lIns="0" tIns="0" rIns="0" bIns="0" anchor="t" anchorCtr="0" upright="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gc17wOIBAADDAwAADgAA&#10;AAAAAAABACAAAAAeAQAAZHJzL2Uyb0RvYy54bWxQSwUGAAAAAAYABgBZAQAAcgUAAAAA&#10;">
              <v:fill on="f" focussize="0,0"/>
              <v:stroke on="f"/>
              <v:imagedata o:title=""/>
              <o:lock v:ext="edit" aspectratio="f"/>
              <v:textbox inset="0mm,0mm,0mm,0mm" style="mso-fit-shape-to-text:t;">
                <w:txbxContent>
                  <w:p w14:paraId="6D991F68">
                    <w:pPr>
                      <w:pStyle w:val="2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5226E">
    <w:pPr>
      <w:pStyle w:val="28"/>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75835">
                          <w:pPr>
                            <w:pStyle w:val="28"/>
                          </w:pPr>
                          <w:r>
                            <w:fldChar w:fldCharType="begin"/>
                          </w:r>
                          <w:r>
                            <w:instrText xml:space="preserve"> PAGE  \* MERGEFORMAT </w:instrText>
                          </w:r>
                          <w:r>
                            <w:fldChar w:fldCharType="separate"/>
                          </w:r>
                          <w:r>
                            <w:t>58</w:t>
                          </w:r>
                          <w:r>
                            <w:fldChar w:fldCharType="end"/>
                          </w:r>
                        </w:p>
                      </w:txbxContent>
                    </wps:txbx>
                    <wps:bodyPr vert="horz" wrap="none" lIns="0" tIns="0" rIns="0" bIns="0" anchor="t" anchorCtr="0" upright="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TCeP4QEAAMMDAAAOAAAA&#10;AAAAAAEAIAAAAB4BAABkcnMvZTJvRG9jLnhtbFBLBQYAAAAABgAGAFkBAABxBQAAAAA=&#10;">
              <v:fill on="f" focussize="0,0"/>
              <v:stroke on="f"/>
              <v:imagedata o:title=""/>
              <o:lock v:ext="edit" aspectratio="f"/>
              <v:textbox inset="0mm,0mm,0mm,0mm" style="mso-fit-shape-to-text:t;">
                <w:txbxContent>
                  <w:p w14:paraId="1EB75835">
                    <w:pPr>
                      <w:pStyle w:val="2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B345C"/>
    <w:multiLevelType w:val="singleLevel"/>
    <w:tmpl w:val="AAAB345C"/>
    <w:lvl w:ilvl="0" w:tentative="0">
      <w:start w:val="3"/>
      <w:numFmt w:val="decimal"/>
      <w:suff w:val="nothing"/>
      <w:lvlText w:val="%1、"/>
      <w:lvlJc w:val="left"/>
    </w:lvl>
  </w:abstractNum>
  <w:abstractNum w:abstractNumId="1">
    <w:nsid w:val="00094955"/>
    <w:multiLevelType w:val="singleLevel"/>
    <w:tmpl w:val="00094955"/>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2">
    <w:nsid w:val="0B8453A8"/>
    <w:multiLevelType w:val="multilevel"/>
    <w:tmpl w:val="0B8453A8"/>
    <w:lvl w:ilvl="0" w:tentative="0">
      <w:start w:val="1"/>
      <w:numFmt w:val="chineseCounting"/>
      <w:suff w:val="nothing"/>
      <w:lvlText w:val="第%1章 "/>
      <w:lvlJc w:val="left"/>
      <w:pPr>
        <w:ind w:left="432" w:hanging="432"/>
      </w:pPr>
      <w:rPr>
        <w:rFonts w:hint="eastAsia"/>
        <w:sz w:val="32"/>
        <w:szCs w:val="32"/>
      </w:rPr>
    </w:lvl>
    <w:lvl w:ilvl="1" w:tentative="0">
      <w:start w:val="1"/>
      <w:numFmt w:val="decimal"/>
      <w:pStyle w:val="3"/>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
    <w:nsid w:val="42C270EA"/>
    <w:multiLevelType w:val="singleLevel"/>
    <w:tmpl w:val="42C270EA"/>
    <w:lvl w:ilvl="0" w:tentative="0">
      <w:start w:val="2"/>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zYzhkZjgyNTI0MTVjNTdkMmY1MmE2OTQ2NTI0ZjEifQ=="/>
    <w:docVar w:name="KSO_WPS_MARK_KEY" w:val="a6912c84-8a11-4ec2-9567-c3898aeb86f1"/>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0343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586"/>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0D11"/>
    <w:rsid w:val="0056106A"/>
    <w:rsid w:val="005719E1"/>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6F2A"/>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97E40"/>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5B4F"/>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1BBB"/>
    <w:rsid w:val="00C4409D"/>
    <w:rsid w:val="00C44682"/>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27C7"/>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32A2D"/>
    <w:rsid w:val="01062EEC"/>
    <w:rsid w:val="01213882"/>
    <w:rsid w:val="01290F7E"/>
    <w:rsid w:val="015743DF"/>
    <w:rsid w:val="015D1E09"/>
    <w:rsid w:val="01815776"/>
    <w:rsid w:val="01921178"/>
    <w:rsid w:val="01BB5A85"/>
    <w:rsid w:val="01D75643"/>
    <w:rsid w:val="01D80AB5"/>
    <w:rsid w:val="01E943A0"/>
    <w:rsid w:val="01FB2325"/>
    <w:rsid w:val="020310C3"/>
    <w:rsid w:val="020A2568"/>
    <w:rsid w:val="020B1998"/>
    <w:rsid w:val="0224187C"/>
    <w:rsid w:val="022830E2"/>
    <w:rsid w:val="02673100"/>
    <w:rsid w:val="02697903"/>
    <w:rsid w:val="027D6A71"/>
    <w:rsid w:val="02B15F68"/>
    <w:rsid w:val="02D16876"/>
    <w:rsid w:val="02F54FC6"/>
    <w:rsid w:val="02F96569"/>
    <w:rsid w:val="02FE20CD"/>
    <w:rsid w:val="031A4A2D"/>
    <w:rsid w:val="031E20DF"/>
    <w:rsid w:val="032633D2"/>
    <w:rsid w:val="032A1114"/>
    <w:rsid w:val="033B6E7D"/>
    <w:rsid w:val="03521860"/>
    <w:rsid w:val="039447DF"/>
    <w:rsid w:val="03B409DD"/>
    <w:rsid w:val="03C1490A"/>
    <w:rsid w:val="03C54999"/>
    <w:rsid w:val="03EA7B21"/>
    <w:rsid w:val="03FB01CD"/>
    <w:rsid w:val="04020397"/>
    <w:rsid w:val="04141555"/>
    <w:rsid w:val="04166978"/>
    <w:rsid w:val="041A2F36"/>
    <w:rsid w:val="0428457E"/>
    <w:rsid w:val="043065CE"/>
    <w:rsid w:val="0451290D"/>
    <w:rsid w:val="045E7E98"/>
    <w:rsid w:val="047E1055"/>
    <w:rsid w:val="04952722"/>
    <w:rsid w:val="04973E86"/>
    <w:rsid w:val="04974587"/>
    <w:rsid w:val="049941F3"/>
    <w:rsid w:val="049D5915"/>
    <w:rsid w:val="04CB2483"/>
    <w:rsid w:val="04D37589"/>
    <w:rsid w:val="04E51CE6"/>
    <w:rsid w:val="053A13B6"/>
    <w:rsid w:val="054434B6"/>
    <w:rsid w:val="055E17DC"/>
    <w:rsid w:val="05663F59"/>
    <w:rsid w:val="056B1570"/>
    <w:rsid w:val="056D178C"/>
    <w:rsid w:val="05856AD5"/>
    <w:rsid w:val="058D47C2"/>
    <w:rsid w:val="05A84F79"/>
    <w:rsid w:val="05D60D15"/>
    <w:rsid w:val="05F83EAE"/>
    <w:rsid w:val="05FD2B10"/>
    <w:rsid w:val="060271E4"/>
    <w:rsid w:val="0615527A"/>
    <w:rsid w:val="063E7D85"/>
    <w:rsid w:val="065A5660"/>
    <w:rsid w:val="069D3059"/>
    <w:rsid w:val="06A606E5"/>
    <w:rsid w:val="06E548BD"/>
    <w:rsid w:val="06EC048E"/>
    <w:rsid w:val="06F35958"/>
    <w:rsid w:val="07146974"/>
    <w:rsid w:val="07155C37"/>
    <w:rsid w:val="0728596A"/>
    <w:rsid w:val="07293586"/>
    <w:rsid w:val="07295285"/>
    <w:rsid w:val="07385794"/>
    <w:rsid w:val="074642CA"/>
    <w:rsid w:val="074D4D2B"/>
    <w:rsid w:val="07636392"/>
    <w:rsid w:val="07770C56"/>
    <w:rsid w:val="07785AD0"/>
    <w:rsid w:val="07A70F85"/>
    <w:rsid w:val="07EA70C4"/>
    <w:rsid w:val="07F341CA"/>
    <w:rsid w:val="08057688"/>
    <w:rsid w:val="081F3244"/>
    <w:rsid w:val="083E11BD"/>
    <w:rsid w:val="08642BCB"/>
    <w:rsid w:val="08A6175E"/>
    <w:rsid w:val="08D52636"/>
    <w:rsid w:val="08E01778"/>
    <w:rsid w:val="08E13DE7"/>
    <w:rsid w:val="08EC64B1"/>
    <w:rsid w:val="08EE193E"/>
    <w:rsid w:val="08EF6C78"/>
    <w:rsid w:val="08FA3336"/>
    <w:rsid w:val="08FD4BD5"/>
    <w:rsid w:val="08FE65DD"/>
    <w:rsid w:val="090364EB"/>
    <w:rsid w:val="09073C6E"/>
    <w:rsid w:val="092217DD"/>
    <w:rsid w:val="092642FB"/>
    <w:rsid w:val="09371E95"/>
    <w:rsid w:val="093A5D1F"/>
    <w:rsid w:val="093A7294"/>
    <w:rsid w:val="09842C00"/>
    <w:rsid w:val="09930D7B"/>
    <w:rsid w:val="09A16DE9"/>
    <w:rsid w:val="09BF087B"/>
    <w:rsid w:val="09D866E1"/>
    <w:rsid w:val="09ED69F7"/>
    <w:rsid w:val="0A193C90"/>
    <w:rsid w:val="0A201326"/>
    <w:rsid w:val="0A263993"/>
    <w:rsid w:val="0A2D3AC2"/>
    <w:rsid w:val="0A33420A"/>
    <w:rsid w:val="0A375EC4"/>
    <w:rsid w:val="0A412539"/>
    <w:rsid w:val="0A474359"/>
    <w:rsid w:val="0A771075"/>
    <w:rsid w:val="0A8F2454"/>
    <w:rsid w:val="0AA755DF"/>
    <w:rsid w:val="0AB06D21"/>
    <w:rsid w:val="0AD2422A"/>
    <w:rsid w:val="0AD41965"/>
    <w:rsid w:val="0ADC1B07"/>
    <w:rsid w:val="0AED23DD"/>
    <w:rsid w:val="0B051C86"/>
    <w:rsid w:val="0B120D44"/>
    <w:rsid w:val="0B1306DF"/>
    <w:rsid w:val="0B2500C4"/>
    <w:rsid w:val="0B364E4C"/>
    <w:rsid w:val="0B36617C"/>
    <w:rsid w:val="0B602A5E"/>
    <w:rsid w:val="0BB079A9"/>
    <w:rsid w:val="0BBE064B"/>
    <w:rsid w:val="0BC17003"/>
    <w:rsid w:val="0BD27BF6"/>
    <w:rsid w:val="0BE502CE"/>
    <w:rsid w:val="0BF978D5"/>
    <w:rsid w:val="0BFD2892"/>
    <w:rsid w:val="0C05627A"/>
    <w:rsid w:val="0C0C0258"/>
    <w:rsid w:val="0C0C67CD"/>
    <w:rsid w:val="0C3B3C7D"/>
    <w:rsid w:val="0C41302A"/>
    <w:rsid w:val="0C424F35"/>
    <w:rsid w:val="0C4B09E8"/>
    <w:rsid w:val="0C855C09"/>
    <w:rsid w:val="0CA041F5"/>
    <w:rsid w:val="0CAA0BCF"/>
    <w:rsid w:val="0CAB2EAE"/>
    <w:rsid w:val="0CC55A09"/>
    <w:rsid w:val="0CCD48BE"/>
    <w:rsid w:val="0D044784"/>
    <w:rsid w:val="0D07185D"/>
    <w:rsid w:val="0D077DD0"/>
    <w:rsid w:val="0D1F38FD"/>
    <w:rsid w:val="0D2C3CDA"/>
    <w:rsid w:val="0D330BC5"/>
    <w:rsid w:val="0D3F1592"/>
    <w:rsid w:val="0D573CB8"/>
    <w:rsid w:val="0D5A168B"/>
    <w:rsid w:val="0D621C7D"/>
    <w:rsid w:val="0D705975"/>
    <w:rsid w:val="0D8238FA"/>
    <w:rsid w:val="0D9E7450"/>
    <w:rsid w:val="0DA323C4"/>
    <w:rsid w:val="0DC16DA6"/>
    <w:rsid w:val="0DDC125D"/>
    <w:rsid w:val="0DE43183"/>
    <w:rsid w:val="0DEB5B4C"/>
    <w:rsid w:val="0E43308A"/>
    <w:rsid w:val="0E456E02"/>
    <w:rsid w:val="0E580393"/>
    <w:rsid w:val="0E67321C"/>
    <w:rsid w:val="0E73034D"/>
    <w:rsid w:val="0EC3433D"/>
    <w:rsid w:val="0ECB185D"/>
    <w:rsid w:val="0F100285"/>
    <w:rsid w:val="0F13775A"/>
    <w:rsid w:val="0F246A7A"/>
    <w:rsid w:val="0F470958"/>
    <w:rsid w:val="0F5F45FE"/>
    <w:rsid w:val="0F67724C"/>
    <w:rsid w:val="0F71337B"/>
    <w:rsid w:val="0F900A8A"/>
    <w:rsid w:val="0F9A112B"/>
    <w:rsid w:val="0FDE750E"/>
    <w:rsid w:val="0FF860F6"/>
    <w:rsid w:val="0FF93847"/>
    <w:rsid w:val="1024111D"/>
    <w:rsid w:val="104355C3"/>
    <w:rsid w:val="104430E9"/>
    <w:rsid w:val="10566C01"/>
    <w:rsid w:val="10651161"/>
    <w:rsid w:val="106D2F64"/>
    <w:rsid w:val="10772B9A"/>
    <w:rsid w:val="1097590F"/>
    <w:rsid w:val="10A537BE"/>
    <w:rsid w:val="10A669FF"/>
    <w:rsid w:val="10B63710"/>
    <w:rsid w:val="10C37A4F"/>
    <w:rsid w:val="10C67A22"/>
    <w:rsid w:val="10F10820"/>
    <w:rsid w:val="111C2F7A"/>
    <w:rsid w:val="111D2249"/>
    <w:rsid w:val="113111E9"/>
    <w:rsid w:val="113E6BE1"/>
    <w:rsid w:val="1156788B"/>
    <w:rsid w:val="115B2D88"/>
    <w:rsid w:val="11665CA1"/>
    <w:rsid w:val="11673155"/>
    <w:rsid w:val="11BB562D"/>
    <w:rsid w:val="11DF30C9"/>
    <w:rsid w:val="12346837"/>
    <w:rsid w:val="12485112"/>
    <w:rsid w:val="125F11D4"/>
    <w:rsid w:val="12791770"/>
    <w:rsid w:val="1299479A"/>
    <w:rsid w:val="12A46107"/>
    <w:rsid w:val="12C777E8"/>
    <w:rsid w:val="12C81DAF"/>
    <w:rsid w:val="12CF7AEA"/>
    <w:rsid w:val="12D60970"/>
    <w:rsid w:val="12D76496"/>
    <w:rsid w:val="130E3A31"/>
    <w:rsid w:val="13144A01"/>
    <w:rsid w:val="132F62D2"/>
    <w:rsid w:val="13422ADA"/>
    <w:rsid w:val="134448A0"/>
    <w:rsid w:val="13475574"/>
    <w:rsid w:val="13491142"/>
    <w:rsid w:val="13685340"/>
    <w:rsid w:val="137C012D"/>
    <w:rsid w:val="13951726"/>
    <w:rsid w:val="13954387"/>
    <w:rsid w:val="13A645D2"/>
    <w:rsid w:val="13AB6AFA"/>
    <w:rsid w:val="140756E5"/>
    <w:rsid w:val="1410239F"/>
    <w:rsid w:val="14116BCD"/>
    <w:rsid w:val="142F15AD"/>
    <w:rsid w:val="143502C6"/>
    <w:rsid w:val="14396509"/>
    <w:rsid w:val="143E381F"/>
    <w:rsid w:val="14423DE3"/>
    <w:rsid w:val="1455495A"/>
    <w:rsid w:val="145C1E3F"/>
    <w:rsid w:val="146849FD"/>
    <w:rsid w:val="147C759E"/>
    <w:rsid w:val="1481490C"/>
    <w:rsid w:val="14902DA1"/>
    <w:rsid w:val="14DD2C3C"/>
    <w:rsid w:val="152F4368"/>
    <w:rsid w:val="154A75C3"/>
    <w:rsid w:val="15A06918"/>
    <w:rsid w:val="15B44710"/>
    <w:rsid w:val="15BB45B7"/>
    <w:rsid w:val="15D5502C"/>
    <w:rsid w:val="15F01D49"/>
    <w:rsid w:val="16087E1D"/>
    <w:rsid w:val="160E4E2D"/>
    <w:rsid w:val="16132D8A"/>
    <w:rsid w:val="161F618A"/>
    <w:rsid w:val="16225C7A"/>
    <w:rsid w:val="1629336A"/>
    <w:rsid w:val="16325AD1"/>
    <w:rsid w:val="164125A5"/>
    <w:rsid w:val="16483EE1"/>
    <w:rsid w:val="168431D0"/>
    <w:rsid w:val="168B1A72"/>
    <w:rsid w:val="16A21074"/>
    <w:rsid w:val="16A56D61"/>
    <w:rsid w:val="16BC7326"/>
    <w:rsid w:val="16D57191"/>
    <w:rsid w:val="171611EE"/>
    <w:rsid w:val="172779EC"/>
    <w:rsid w:val="172872C1"/>
    <w:rsid w:val="172C5B40"/>
    <w:rsid w:val="17701D14"/>
    <w:rsid w:val="17735226"/>
    <w:rsid w:val="17763EDC"/>
    <w:rsid w:val="179130B8"/>
    <w:rsid w:val="17953714"/>
    <w:rsid w:val="17B21A3F"/>
    <w:rsid w:val="17CA0378"/>
    <w:rsid w:val="17CF38A5"/>
    <w:rsid w:val="17DF5B57"/>
    <w:rsid w:val="17E04D5C"/>
    <w:rsid w:val="18423E15"/>
    <w:rsid w:val="1854746C"/>
    <w:rsid w:val="185A16FC"/>
    <w:rsid w:val="186103DB"/>
    <w:rsid w:val="18623348"/>
    <w:rsid w:val="189C095D"/>
    <w:rsid w:val="189F624C"/>
    <w:rsid w:val="18A736B2"/>
    <w:rsid w:val="18B343D8"/>
    <w:rsid w:val="18C912DC"/>
    <w:rsid w:val="18CD0120"/>
    <w:rsid w:val="18F03E0E"/>
    <w:rsid w:val="18F32344"/>
    <w:rsid w:val="18F41B50"/>
    <w:rsid w:val="19094ED0"/>
    <w:rsid w:val="190F0738"/>
    <w:rsid w:val="19632832"/>
    <w:rsid w:val="19856C4C"/>
    <w:rsid w:val="19930502"/>
    <w:rsid w:val="199434D8"/>
    <w:rsid w:val="19A44BE7"/>
    <w:rsid w:val="19AE61A3"/>
    <w:rsid w:val="19B62E54"/>
    <w:rsid w:val="19C472DF"/>
    <w:rsid w:val="19D11E91"/>
    <w:rsid w:val="19E33D6F"/>
    <w:rsid w:val="19EB2693"/>
    <w:rsid w:val="1A0055EA"/>
    <w:rsid w:val="1A136F80"/>
    <w:rsid w:val="1A187AC0"/>
    <w:rsid w:val="1A1C66C0"/>
    <w:rsid w:val="1A393593"/>
    <w:rsid w:val="1A42393B"/>
    <w:rsid w:val="1A7325FB"/>
    <w:rsid w:val="1A8A3DEE"/>
    <w:rsid w:val="1AAD45DE"/>
    <w:rsid w:val="1AD75285"/>
    <w:rsid w:val="1AF03B30"/>
    <w:rsid w:val="1AFB1F85"/>
    <w:rsid w:val="1B046F80"/>
    <w:rsid w:val="1B256AEA"/>
    <w:rsid w:val="1B291859"/>
    <w:rsid w:val="1B2B3823"/>
    <w:rsid w:val="1B3267B5"/>
    <w:rsid w:val="1B3B1CB8"/>
    <w:rsid w:val="1B3B244F"/>
    <w:rsid w:val="1B3F2E2B"/>
    <w:rsid w:val="1B40161D"/>
    <w:rsid w:val="1B441859"/>
    <w:rsid w:val="1B4B525A"/>
    <w:rsid w:val="1B5E76F6"/>
    <w:rsid w:val="1B6606B1"/>
    <w:rsid w:val="1B6B3C20"/>
    <w:rsid w:val="1B7C407F"/>
    <w:rsid w:val="1B972935"/>
    <w:rsid w:val="1BA43D67"/>
    <w:rsid w:val="1BA8703D"/>
    <w:rsid w:val="1BBC1E36"/>
    <w:rsid w:val="1BCA6B98"/>
    <w:rsid w:val="1C0A5A8F"/>
    <w:rsid w:val="1C3404B6"/>
    <w:rsid w:val="1C3A6C9F"/>
    <w:rsid w:val="1C4050AC"/>
    <w:rsid w:val="1C5E7925"/>
    <w:rsid w:val="1C5F3784"/>
    <w:rsid w:val="1C737230"/>
    <w:rsid w:val="1C8E5E18"/>
    <w:rsid w:val="1C964A78"/>
    <w:rsid w:val="1CB4328F"/>
    <w:rsid w:val="1CC161ED"/>
    <w:rsid w:val="1CED13FC"/>
    <w:rsid w:val="1CFD070F"/>
    <w:rsid w:val="1D0460DA"/>
    <w:rsid w:val="1D137143"/>
    <w:rsid w:val="1D1A544D"/>
    <w:rsid w:val="1D296824"/>
    <w:rsid w:val="1D383FD6"/>
    <w:rsid w:val="1D4C59BE"/>
    <w:rsid w:val="1D5F6196"/>
    <w:rsid w:val="1D6132A5"/>
    <w:rsid w:val="1D6F044A"/>
    <w:rsid w:val="1D7A7AAC"/>
    <w:rsid w:val="1D7E12A1"/>
    <w:rsid w:val="1D843856"/>
    <w:rsid w:val="1D8965DF"/>
    <w:rsid w:val="1D8E56D5"/>
    <w:rsid w:val="1DA14F9C"/>
    <w:rsid w:val="1DB1371D"/>
    <w:rsid w:val="1DB37642"/>
    <w:rsid w:val="1DB47B00"/>
    <w:rsid w:val="1DFD14A7"/>
    <w:rsid w:val="1DFE521F"/>
    <w:rsid w:val="1E19339E"/>
    <w:rsid w:val="1E214A6A"/>
    <w:rsid w:val="1E2D3642"/>
    <w:rsid w:val="1E536D50"/>
    <w:rsid w:val="1E645A95"/>
    <w:rsid w:val="1E672DC4"/>
    <w:rsid w:val="1E710722"/>
    <w:rsid w:val="1E717D67"/>
    <w:rsid w:val="1E72416F"/>
    <w:rsid w:val="1E780B2E"/>
    <w:rsid w:val="1E7A43DA"/>
    <w:rsid w:val="1E8C45D9"/>
    <w:rsid w:val="1E93188B"/>
    <w:rsid w:val="1E9341F3"/>
    <w:rsid w:val="1E9718C5"/>
    <w:rsid w:val="1EBC3159"/>
    <w:rsid w:val="1EBE5C3A"/>
    <w:rsid w:val="1EC57AEB"/>
    <w:rsid w:val="1EDB2B69"/>
    <w:rsid w:val="1EDB621F"/>
    <w:rsid w:val="1F0B3750"/>
    <w:rsid w:val="1F242A63"/>
    <w:rsid w:val="1F3709E9"/>
    <w:rsid w:val="1F4D52A5"/>
    <w:rsid w:val="1F54774F"/>
    <w:rsid w:val="1F775289"/>
    <w:rsid w:val="1FD55B0C"/>
    <w:rsid w:val="1FD95790"/>
    <w:rsid w:val="1FE7539E"/>
    <w:rsid w:val="1FF64400"/>
    <w:rsid w:val="200F3E48"/>
    <w:rsid w:val="20207B94"/>
    <w:rsid w:val="20225588"/>
    <w:rsid w:val="203B4489"/>
    <w:rsid w:val="204038CD"/>
    <w:rsid w:val="20607ACB"/>
    <w:rsid w:val="20671BE0"/>
    <w:rsid w:val="206E043A"/>
    <w:rsid w:val="20841864"/>
    <w:rsid w:val="20855A40"/>
    <w:rsid w:val="20963CB8"/>
    <w:rsid w:val="20A81A1B"/>
    <w:rsid w:val="20B07FB6"/>
    <w:rsid w:val="20B646FB"/>
    <w:rsid w:val="20D70B82"/>
    <w:rsid w:val="20E20311"/>
    <w:rsid w:val="20E47E06"/>
    <w:rsid w:val="212170FD"/>
    <w:rsid w:val="213B74B1"/>
    <w:rsid w:val="21410299"/>
    <w:rsid w:val="214A5DEA"/>
    <w:rsid w:val="2156677D"/>
    <w:rsid w:val="215A2310"/>
    <w:rsid w:val="216D6944"/>
    <w:rsid w:val="21767A96"/>
    <w:rsid w:val="21935C7E"/>
    <w:rsid w:val="219B5455"/>
    <w:rsid w:val="21A1039B"/>
    <w:rsid w:val="21C16322"/>
    <w:rsid w:val="21C41373"/>
    <w:rsid w:val="21CD73E2"/>
    <w:rsid w:val="21DE318A"/>
    <w:rsid w:val="21DE514B"/>
    <w:rsid w:val="21EF5B80"/>
    <w:rsid w:val="21F11323"/>
    <w:rsid w:val="22526EB5"/>
    <w:rsid w:val="22536ECA"/>
    <w:rsid w:val="2254540E"/>
    <w:rsid w:val="22576990"/>
    <w:rsid w:val="22715FC0"/>
    <w:rsid w:val="22783FC3"/>
    <w:rsid w:val="227B24E1"/>
    <w:rsid w:val="227C6712"/>
    <w:rsid w:val="22A55C69"/>
    <w:rsid w:val="22C478DC"/>
    <w:rsid w:val="22EF552E"/>
    <w:rsid w:val="22F015DA"/>
    <w:rsid w:val="22F10BA7"/>
    <w:rsid w:val="22F47480"/>
    <w:rsid w:val="23072161"/>
    <w:rsid w:val="230E0197"/>
    <w:rsid w:val="231548C7"/>
    <w:rsid w:val="23220EF6"/>
    <w:rsid w:val="232A43C0"/>
    <w:rsid w:val="23312C59"/>
    <w:rsid w:val="23445482"/>
    <w:rsid w:val="23A06601"/>
    <w:rsid w:val="23B02B18"/>
    <w:rsid w:val="23C07A1D"/>
    <w:rsid w:val="23C92A80"/>
    <w:rsid w:val="23D83E1C"/>
    <w:rsid w:val="23DE1C48"/>
    <w:rsid w:val="23F6158E"/>
    <w:rsid w:val="23F724F4"/>
    <w:rsid w:val="240210CD"/>
    <w:rsid w:val="240D2DD2"/>
    <w:rsid w:val="24111A26"/>
    <w:rsid w:val="24113F48"/>
    <w:rsid w:val="242C02B3"/>
    <w:rsid w:val="2445757A"/>
    <w:rsid w:val="2454465C"/>
    <w:rsid w:val="245931AF"/>
    <w:rsid w:val="245D23C7"/>
    <w:rsid w:val="248602F4"/>
    <w:rsid w:val="249935AC"/>
    <w:rsid w:val="24A81A41"/>
    <w:rsid w:val="24B2781A"/>
    <w:rsid w:val="24B42EF2"/>
    <w:rsid w:val="24BF09F7"/>
    <w:rsid w:val="24C535A3"/>
    <w:rsid w:val="24E27EA4"/>
    <w:rsid w:val="24EE1B26"/>
    <w:rsid w:val="24FA3BEE"/>
    <w:rsid w:val="25197744"/>
    <w:rsid w:val="252572D8"/>
    <w:rsid w:val="252D53FE"/>
    <w:rsid w:val="25487772"/>
    <w:rsid w:val="257A4194"/>
    <w:rsid w:val="257F5031"/>
    <w:rsid w:val="258660AB"/>
    <w:rsid w:val="25A33899"/>
    <w:rsid w:val="25A42208"/>
    <w:rsid w:val="25B12B77"/>
    <w:rsid w:val="25B54415"/>
    <w:rsid w:val="25C459B0"/>
    <w:rsid w:val="25CE640F"/>
    <w:rsid w:val="25EC2D81"/>
    <w:rsid w:val="25F066B0"/>
    <w:rsid w:val="25FE285F"/>
    <w:rsid w:val="2604714B"/>
    <w:rsid w:val="264A7253"/>
    <w:rsid w:val="264D223C"/>
    <w:rsid w:val="26527C90"/>
    <w:rsid w:val="266F72B9"/>
    <w:rsid w:val="26A56238"/>
    <w:rsid w:val="26A73E96"/>
    <w:rsid w:val="26CC5EBA"/>
    <w:rsid w:val="26D134D1"/>
    <w:rsid w:val="26FB24E9"/>
    <w:rsid w:val="27074885"/>
    <w:rsid w:val="27147861"/>
    <w:rsid w:val="27223D2C"/>
    <w:rsid w:val="273870AC"/>
    <w:rsid w:val="277057A2"/>
    <w:rsid w:val="27AF0600"/>
    <w:rsid w:val="27C029D3"/>
    <w:rsid w:val="27C052F3"/>
    <w:rsid w:val="27D52B4D"/>
    <w:rsid w:val="282615FA"/>
    <w:rsid w:val="28296293"/>
    <w:rsid w:val="2835183D"/>
    <w:rsid w:val="284877C3"/>
    <w:rsid w:val="286330DD"/>
    <w:rsid w:val="287E263E"/>
    <w:rsid w:val="288212C1"/>
    <w:rsid w:val="28924EE2"/>
    <w:rsid w:val="28A41BFF"/>
    <w:rsid w:val="28CD5292"/>
    <w:rsid w:val="28D1536A"/>
    <w:rsid w:val="28E374B9"/>
    <w:rsid w:val="28E47158"/>
    <w:rsid w:val="28EC6872"/>
    <w:rsid w:val="28F5501D"/>
    <w:rsid w:val="29206EB8"/>
    <w:rsid w:val="29233D8C"/>
    <w:rsid w:val="29265194"/>
    <w:rsid w:val="292A336C"/>
    <w:rsid w:val="29595666"/>
    <w:rsid w:val="297665B1"/>
    <w:rsid w:val="29874881"/>
    <w:rsid w:val="298F31CF"/>
    <w:rsid w:val="299E77DA"/>
    <w:rsid w:val="29CC4423"/>
    <w:rsid w:val="29E057D9"/>
    <w:rsid w:val="29E325E0"/>
    <w:rsid w:val="2A043D7C"/>
    <w:rsid w:val="2A16744D"/>
    <w:rsid w:val="2A217B07"/>
    <w:rsid w:val="2A44220C"/>
    <w:rsid w:val="2A452503"/>
    <w:rsid w:val="2A475858"/>
    <w:rsid w:val="2A4A1403"/>
    <w:rsid w:val="2A5C37F4"/>
    <w:rsid w:val="2A5C57A7"/>
    <w:rsid w:val="2A6428AE"/>
    <w:rsid w:val="2A7D7BE7"/>
    <w:rsid w:val="2A8A65D7"/>
    <w:rsid w:val="2A8F0091"/>
    <w:rsid w:val="2A8F4FC0"/>
    <w:rsid w:val="2AAE4D1A"/>
    <w:rsid w:val="2AF53506"/>
    <w:rsid w:val="2B0F3335"/>
    <w:rsid w:val="2B3239BA"/>
    <w:rsid w:val="2B560448"/>
    <w:rsid w:val="2B936FA7"/>
    <w:rsid w:val="2BA936A8"/>
    <w:rsid w:val="2BAB1934"/>
    <w:rsid w:val="2BCE3130"/>
    <w:rsid w:val="2BF471A4"/>
    <w:rsid w:val="2C0C77C5"/>
    <w:rsid w:val="2C1A3224"/>
    <w:rsid w:val="2C1D0F66"/>
    <w:rsid w:val="2C315A5A"/>
    <w:rsid w:val="2C46226B"/>
    <w:rsid w:val="2C471B3F"/>
    <w:rsid w:val="2C4B1C25"/>
    <w:rsid w:val="2C537EA7"/>
    <w:rsid w:val="2C550700"/>
    <w:rsid w:val="2C633F3F"/>
    <w:rsid w:val="2C65458F"/>
    <w:rsid w:val="2C6B5B85"/>
    <w:rsid w:val="2C820DC9"/>
    <w:rsid w:val="2C974875"/>
    <w:rsid w:val="2CB74F17"/>
    <w:rsid w:val="2CBA5E47"/>
    <w:rsid w:val="2CFE2375"/>
    <w:rsid w:val="2D0218A2"/>
    <w:rsid w:val="2D212190"/>
    <w:rsid w:val="2D2753CB"/>
    <w:rsid w:val="2D2A56E9"/>
    <w:rsid w:val="2D3834EB"/>
    <w:rsid w:val="2D654973"/>
    <w:rsid w:val="2D831A36"/>
    <w:rsid w:val="2D9E56F5"/>
    <w:rsid w:val="2DAE4976"/>
    <w:rsid w:val="2DB11966"/>
    <w:rsid w:val="2DB94CBF"/>
    <w:rsid w:val="2DC07DFB"/>
    <w:rsid w:val="2DC914A6"/>
    <w:rsid w:val="2DE20F96"/>
    <w:rsid w:val="2DEA4E78"/>
    <w:rsid w:val="2E0E500A"/>
    <w:rsid w:val="2E262354"/>
    <w:rsid w:val="2E306B72"/>
    <w:rsid w:val="2E5C3FC8"/>
    <w:rsid w:val="2E5D564A"/>
    <w:rsid w:val="2E667F96"/>
    <w:rsid w:val="2E7162DB"/>
    <w:rsid w:val="2E8226AB"/>
    <w:rsid w:val="2E863CB5"/>
    <w:rsid w:val="2EB25C57"/>
    <w:rsid w:val="2EBA2A9C"/>
    <w:rsid w:val="2ECA7F8C"/>
    <w:rsid w:val="2EE73BE0"/>
    <w:rsid w:val="2EF35FAE"/>
    <w:rsid w:val="2EFC30B5"/>
    <w:rsid w:val="2F0438FD"/>
    <w:rsid w:val="2F3D574F"/>
    <w:rsid w:val="2F77098D"/>
    <w:rsid w:val="2F8F2BCC"/>
    <w:rsid w:val="2F935779"/>
    <w:rsid w:val="2F951B8C"/>
    <w:rsid w:val="2F9E0181"/>
    <w:rsid w:val="2FA61A0D"/>
    <w:rsid w:val="2FB971F8"/>
    <w:rsid w:val="2FCE66EF"/>
    <w:rsid w:val="2FD065E6"/>
    <w:rsid w:val="2FD96870"/>
    <w:rsid w:val="2FDD7D68"/>
    <w:rsid w:val="2FE14059"/>
    <w:rsid w:val="302428C3"/>
    <w:rsid w:val="30372325"/>
    <w:rsid w:val="30580BC9"/>
    <w:rsid w:val="30647164"/>
    <w:rsid w:val="30727505"/>
    <w:rsid w:val="30843362"/>
    <w:rsid w:val="30C12042"/>
    <w:rsid w:val="30C157F1"/>
    <w:rsid w:val="30D35E84"/>
    <w:rsid w:val="30DB573C"/>
    <w:rsid w:val="3118171C"/>
    <w:rsid w:val="311E2ED7"/>
    <w:rsid w:val="313D33E3"/>
    <w:rsid w:val="315619EE"/>
    <w:rsid w:val="315C449C"/>
    <w:rsid w:val="31615451"/>
    <w:rsid w:val="316B566C"/>
    <w:rsid w:val="3186310A"/>
    <w:rsid w:val="318A1641"/>
    <w:rsid w:val="319B3534"/>
    <w:rsid w:val="319C47BF"/>
    <w:rsid w:val="319E48F7"/>
    <w:rsid w:val="31B82709"/>
    <w:rsid w:val="31C1262A"/>
    <w:rsid w:val="31D05482"/>
    <w:rsid w:val="31D67BED"/>
    <w:rsid w:val="31F44517"/>
    <w:rsid w:val="32140715"/>
    <w:rsid w:val="321921D0"/>
    <w:rsid w:val="3231596F"/>
    <w:rsid w:val="32317CE2"/>
    <w:rsid w:val="323E4159"/>
    <w:rsid w:val="32400B34"/>
    <w:rsid w:val="324F4E37"/>
    <w:rsid w:val="324F5BF1"/>
    <w:rsid w:val="32507AB1"/>
    <w:rsid w:val="326630DC"/>
    <w:rsid w:val="327A2C6E"/>
    <w:rsid w:val="329B0E37"/>
    <w:rsid w:val="329E6876"/>
    <w:rsid w:val="32D85BE7"/>
    <w:rsid w:val="32FB554B"/>
    <w:rsid w:val="33060643"/>
    <w:rsid w:val="330A2D02"/>
    <w:rsid w:val="333015F2"/>
    <w:rsid w:val="33440C80"/>
    <w:rsid w:val="334B6320"/>
    <w:rsid w:val="335858DF"/>
    <w:rsid w:val="336B7954"/>
    <w:rsid w:val="33917406"/>
    <w:rsid w:val="33997124"/>
    <w:rsid w:val="339C6E3C"/>
    <w:rsid w:val="33A61841"/>
    <w:rsid w:val="33B679E6"/>
    <w:rsid w:val="33D934D4"/>
    <w:rsid w:val="33D95773"/>
    <w:rsid w:val="33FE2F6A"/>
    <w:rsid w:val="340E07E5"/>
    <w:rsid w:val="34157E83"/>
    <w:rsid w:val="34235BF7"/>
    <w:rsid w:val="34270BD4"/>
    <w:rsid w:val="342A3D4C"/>
    <w:rsid w:val="34444B26"/>
    <w:rsid w:val="34461A37"/>
    <w:rsid w:val="345B262C"/>
    <w:rsid w:val="346516FC"/>
    <w:rsid w:val="34800EB3"/>
    <w:rsid w:val="34AB11F7"/>
    <w:rsid w:val="34AD213F"/>
    <w:rsid w:val="34BE56E2"/>
    <w:rsid w:val="34D83195"/>
    <w:rsid w:val="34FB5BBD"/>
    <w:rsid w:val="35152820"/>
    <w:rsid w:val="35170C48"/>
    <w:rsid w:val="351849C1"/>
    <w:rsid w:val="352E5F92"/>
    <w:rsid w:val="353B77E2"/>
    <w:rsid w:val="35714FD5"/>
    <w:rsid w:val="358B32FA"/>
    <w:rsid w:val="358C5FA8"/>
    <w:rsid w:val="359851AF"/>
    <w:rsid w:val="35C15DF1"/>
    <w:rsid w:val="36074A7F"/>
    <w:rsid w:val="36127662"/>
    <w:rsid w:val="363C58FB"/>
    <w:rsid w:val="3650189A"/>
    <w:rsid w:val="36686EDD"/>
    <w:rsid w:val="366C5FEE"/>
    <w:rsid w:val="36923549"/>
    <w:rsid w:val="36A34277"/>
    <w:rsid w:val="36A75FFC"/>
    <w:rsid w:val="36AF6C5F"/>
    <w:rsid w:val="36B3674F"/>
    <w:rsid w:val="36B75FBF"/>
    <w:rsid w:val="36BD0C45"/>
    <w:rsid w:val="36C669C5"/>
    <w:rsid w:val="36D6068F"/>
    <w:rsid w:val="36D74804"/>
    <w:rsid w:val="37046FAB"/>
    <w:rsid w:val="370940E1"/>
    <w:rsid w:val="370945C1"/>
    <w:rsid w:val="370B658B"/>
    <w:rsid w:val="371D3777"/>
    <w:rsid w:val="3720190B"/>
    <w:rsid w:val="376411FA"/>
    <w:rsid w:val="376E08C8"/>
    <w:rsid w:val="37BA2F5A"/>
    <w:rsid w:val="37E00298"/>
    <w:rsid w:val="382556DE"/>
    <w:rsid w:val="38433B03"/>
    <w:rsid w:val="38481119"/>
    <w:rsid w:val="38633360"/>
    <w:rsid w:val="38703B3C"/>
    <w:rsid w:val="387147B7"/>
    <w:rsid w:val="38787C50"/>
    <w:rsid w:val="389B393F"/>
    <w:rsid w:val="38AC1268"/>
    <w:rsid w:val="38B302F9"/>
    <w:rsid w:val="38B445F0"/>
    <w:rsid w:val="38BD7EA9"/>
    <w:rsid w:val="38C874CF"/>
    <w:rsid w:val="38CF5B01"/>
    <w:rsid w:val="38D74781"/>
    <w:rsid w:val="38D94970"/>
    <w:rsid w:val="38E01C24"/>
    <w:rsid w:val="38E71109"/>
    <w:rsid w:val="38EF3C8A"/>
    <w:rsid w:val="38F12CD3"/>
    <w:rsid w:val="38F94775"/>
    <w:rsid w:val="390D6F7F"/>
    <w:rsid w:val="392971ED"/>
    <w:rsid w:val="39325651"/>
    <w:rsid w:val="39670D4E"/>
    <w:rsid w:val="3990325F"/>
    <w:rsid w:val="399073A3"/>
    <w:rsid w:val="3A7E45A9"/>
    <w:rsid w:val="3A872856"/>
    <w:rsid w:val="3A8E0B3B"/>
    <w:rsid w:val="3A916DA7"/>
    <w:rsid w:val="3AA52853"/>
    <w:rsid w:val="3AC42054"/>
    <w:rsid w:val="3ADB49CC"/>
    <w:rsid w:val="3AE8373F"/>
    <w:rsid w:val="3AFB3277"/>
    <w:rsid w:val="3B037579"/>
    <w:rsid w:val="3B274A2D"/>
    <w:rsid w:val="3B365BA1"/>
    <w:rsid w:val="3B3763D1"/>
    <w:rsid w:val="3B3E1B8C"/>
    <w:rsid w:val="3B567FF1"/>
    <w:rsid w:val="3B9D79CE"/>
    <w:rsid w:val="3BB00B62"/>
    <w:rsid w:val="3BB21837"/>
    <w:rsid w:val="3BD335CE"/>
    <w:rsid w:val="3BEB19DF"/>
    <w:rsid w:val="3BF517C9"/>
    <w:rsid w:val="3BFC279A"/>
    <w:rsid w:val="3BFD046C"/>
    <w:rsid w:val="3C067321"/>
    <w:rsid w:val="3C177780"/>
    <w:rsid w:val="3C261771"/>
    <w:rsid w:val="3C2F6E1E"/>
    <w:rsid w:val="3C4F64BA"/>
    <w:rsid w:val="3C6D73A0"/>
    <w:rsid w:val="3C865454"/>
    <w:rsid w:val="3C8F7316"/>
    <w:rsid w:val="3CAC61B9"/>
    <w:rsid w:val="3CB90837"/>
    <w:rsid w:val="3CBC20D5"/>
    <w:rsid w:val="3CDA245A"/>
    <w:rsid w:val="3CEC742F"/>
    <w:rsid w:val="3D046676"/>
    <w:rsid w:val="3D053A7C"/>
    <w:rsid w:val="3D0E3D6B"/>
    <w:rsid w:val="3D17241B"/>
    <w:rsid w:val="3D1E06B7"/>
    <w:rsid w:val="3D594F2A"/>
    <w:rsid w:val="3D821D21"/>
    <w:rsid w:val="3D84044A"/>
    <w:rsid w:val="3DC079A3"/>
    <w:rsid w:val="3E126451"/>
    <w:rsid w:val="3E1A3557"/>
    <w:rsid w:val="3E1C107E"/>
    <w:rsid w:val="3E412642"/>
    <w:rsid w:val="3E4525A5"/>
    <w:rsid w:val="3E4800C5"/>
    <w:rsid w:val="3E52684D"/>
    <w:rsid w:val="3E66054B"/>
    <w:rsid w:val="3E7A02B3"/>
    <w:rsid w:val="3EA22C9C"/>
    <w:rsid w:val="3EA8599B"/>
    <w:rsid w:val="3EB6606B"/>
    <w:rsid w:val="3ED03C16"/>
    <w:rsid w:val="3EDA0523"/>
    <w:rsid w:val="3F087854"/>
    <w:rsid w:val="3F1760B6"/>
    <w:rsid w:val="3F1E4982"/>
    <w:rsid w:val="3F2226C4"/>
    <w:rsid w:val="3F3458A1"/>
    <w:rsid w:val="3F473ED8"/>
    <w:rsid w:val="3F483AE6"/>
    <w:rsid w:val="3F4F4175"/>
    <w:rsid w:val="3F782056"/>
    <w:rsid w:val="3F7852B0"/>
    <w:rsid w:val="3F9C05CF"/>
    <w:rsid w:val="3FD37E62"/>
    <w:rsid w:val="3FE756BB"/>
    <w:rsid w:val="3FFD6C8D"/>
    <w:rsid w:val="40112738"/>
    <w:rsid w:val="401B7113"/>
    <w:rsid w:val="401C6553"/>
    <w:rsid w:val="40275AB8"/>
    <w:rsid w:val="40340B0D"/>
    <w:rsid w:val="40415B7F"/>
    <w:rsid w:val="40791CCB"/>
    <w:rsid w:val="407A6407"/>
    <w:rsid w:val="40814ACF"/>
    <w:rsid w:val="40866C82"/>
    <w:rsid w:val="409143B5"/>
    <w:rsid w:val="40A12A21"/>
    <w:rsid w:val="40A210B7"/>
    <w:rsid w:val="40C117DE"/>
    <w:rsid w:val="40C34442"/>
    <w:rsid w:val="40D10A4C"/>
    <w:rsid w:val="40D32D93"/>
    <w:rsid w:val="40F167F2"/>
    <w:rsid w:val="40FC0CF2"/>
    <w:rsid w:val="41151DB4"/>
    <w:rsid w:val="41195D48"/>
    <w:rsid w:val="41353B24"/>
    <w:rsid w:val="41474664"/>
    <w:rsid w:val="414C62F9"/>
    <w:rsid w:val="41656898"/>
    <w:rsid w:val="41AB7CDB"/>
    <w:rsid w:val="41AE46E3"/>
    <w:rsid w:val="41B96BE3"/>
    <w:rsid w:val="41C2159C"/>
    <w:rsid w:val="41CC6917"/>
    <w:rsid w:val="41D6610E"/>
    <w:rsid w:val="41F127BA"/>
    <w:rsid w:val="41F62F1B"/>
    <w:rsid w:val="41F67064"/>
    <w:rsid w:val="4200449D"/>
    <w:rsid w:val="420F4A55"/>
    <w:rsid w:val="421E6607"/>
    <w:rsid w:val="423A3BCC"/>
    <w:rsid w:val="424E57D2"/>
    <w:rsid w:val="42507548"/>
    <w:rsid w:val="4269219B"/>
    <w:rsid w:val="42784CF1"/>
    <w:rsid w:val="42905B96"/>
    <w:rsid w:val="42B26C49"/>
    <w:rsid w:val="42D00689"/>
    <w:rsid w:val="42E067E4"/>
    <w:rsid w:val="42ED4D97"/>
    <w:rsid w:val="42FF4ACA"/>
    <w:rsid w:val="430128AF"/>
    <w:rsid w:val="430E649F"/>
    <w:rsid w:val="43110D36"/>
    <w:rsid w:val="431E796B"/>
    <w:rsid w:val="43284021"/>
    <w:rsid w:val="43340C18"/>
    <w:rsid w:val="433A6FE6"/>
    <w:rsid w:val="43480868"/>
    <w:rsid w:val="4350713C"/>
    <w:rsid w:val="435766B4"/>
    <w:rsid w:val="436653E0"/>
    <w:rsid w:val="437F59AC"/>
    <w:rsid w:val="43C4431A"/>
    <w:rsid w:val="43D13B58"/>
    <w:rsid w:val="440B5E1C"/>
    <w:rsid w:val="440C3942"/>
    <w:rsid w:val="440F56F8"/>
    <w:rsid w:val="44135D17"/>
    <w:rsid w:val="44342E12"/>
    <w:rsid w:val="444924A1"/>
    <w:rsid w:val="44496945"/>
    <w:rsid w:val="444B446B"/>
    <w:rsid w:val="44613C8E"/>
    <w:rsid w:val="44AE3233"/>
    <w:rsid w:val="44B3406C"/>
    <w:rsid w:val="44B951CC"/>
    <w:rsid w:val="44C167B8"/>
    <w:rsid w:val="44CD14E0"/>
    <w:rsid w:val="44D23531"/>
    <w:rsid w:val="44EB17AA"/>
    <w:rsid w:val="44F20B0B"/>
    <w:rsid w:val="44F87A23"/>
    <w:rsid w:val="45102FBE"/>
    <w:rsid w:val="452120C1"/>
    <w:rsid w:val="452E5F4C"/>
    <w:rsid w:val="453B5FB7"/>
    <w:rsid w:val="4546468E"/>
    <w:rsid w:val="45580B94"/>
    <w:rsid w:val="45612018"/>
    <w:rsid w:val="45741EDD"/>
    <w:rsid w:val="458946E9"/>
    <w:rsid w:val="45A47C0E"/>
    <w:rsid w:val="45A53B2C"/>
    <w:rsid w:val="45AA51C1"/>
    <w:rsid w:val="45B778DE"/>
    <w:rsid w:val="45ED50AE"/>
    <w:rsid w:val="45F4468E"/>
    <w:rsid w:val="46026DAB"/>
    <w:rsid w:val="4609638B"/>
    <w:rsid w:val="461940F5"/>
    <w:rsid w:val="46277E37"/>
    <w:rsid w:val="462C3E28"/>
    <w:rsid w:val="463843DC"/>
    <w:rsid w:val="46577FD6"/>
    <w:rsid w:val="465C25E8"/>
    <w:rsid w:val="465F5FAB"/>
    <w:rsid w:val="466043D6"/>
    <w:rsid w:val="4662784A"/>
    <w:rsid w:val="4665733A"/>
    <w:rsid w:val="466639FB"/>
    <w:rsid w:val="467401E2"/>
    <w:rsid w:val="4691012F"/>
    <w:rsid w:val="46965745"/>
    <w:rsid w:val="46B207D1"/>
    <w:rsid w:val="46D955A7"/>
    <w:rsid w:val="46E464B1"/>
    <w:rsid w:val="46F26E20"/>
    <w:rsid w:val="47133957"/>
    <w:rsid w:val="47152B0E"/>
    <w:rsid w:val="474863C0"/>
    <w:rsid w:val="47486A40"/>
    <w:rsid w:val="474E3412"/>
    <w:rsid w:val="475573AE"/>
    <w:rsid w:val="47680E90"/>
    <w:rsid w:val="478A0E65"/>
    <w:rsid w:val="47904D6B"/>
    <w:rsid w:val="47970A81"/>
    <w:rsid w:val="47A07E0C"/>
    <w:rsid w:val="47C0708E"/>
    <w:rsid w:val="47D772EC"/>
    <w:rsid w:val="47E40AF5"/>
    <w:rsid w:val="47EE4D13"/>
    <w:rsid w:val="47F40975"/>
    <w:rsid w:val="47F96C0A"/>
    <w:rsid w:val="48027536"/>
    <w:rsid w:val="480511AF"/>
    <w:rsid w:val="48343468"/>
    <w:rsid w:val="485D65E9"/>
    <w:rsid w:val="4870272E"/>
    <w:rsid w:val="48A6252B"/>
    <w:rsid w:val="48AA7310"/>
    <w:rsid w:val="48AD7515"/>
    <w:rsid w:val="48B3143C"/>
    <w:rsid w:val="48B35F6C"/>
    <w:rsid w:val="48B60321"/>
    <w:rsid w:val="48E629B4"/>
    <w:rsid w:val="48EF45ED"/>
    <w:rsid w:val="49264A0F"/>
    <w:rsid w:val="494B2817"/>
    <w:rsid w:val="494E0559"/>
    <w:rsid w:val="494E5001"/>
    <w:rsid w:val="497B5755"/>
    <w:rsid w:val="49AA2B85"/>
    <w:rsid w:val="49AA39E1"/>
    <w:rsid w:val="49D55921"/>
    <w:rsid w:val="49DC7715"/>
    <w:rsid w:val="49F66C27"/>
    <w:rsid w:val="4A023139"/>
    <w:rsid w:val="4A1D229B"/>
    <w:rsid w:val="4A25750C"/>
    <w:rsid w:val="4A4E166D"/>
    <w:rsid w:val="4A6D4A0F"/>
    <w:rsid w:val="4A7B576F"/>
    <w:rsid w:val="4A943EB3"/>
    <w:rsid w:val="4AC10C96"/>
    <w:rsid w:val="4AE16ECA"/>
    <w:rsid w:val="4AE65A17"/>
    <w:rsid w:val="4AF561A9"/>
    <w:rsid w:val="4B1378FB"/>
    <w:rsid w:val="4B1E6683"/>
    <w:rsid w:val="4B294DDA"/>
    <w:rsid w:val="4B3654C8"/>
    <w:rsid w:val="4B3A447A"/>
    <w:rsid w:val="4B6D125C"/>
    <w:rsid w:val="4B8366F2"/>
    <w:rsid w:val="4BAE27DB"/>
    <w:rsid w:val="4BB02E05"/>
    <w:rsid w:val="4BD539D3"/>
    <w:rsid w:val="4BE44913"/>
    <w:rsid w:val="4BEE05F9"/>
    <w:rsid w:val="4C09031F"/>
    <w:rsid w:val="4C1720CC"/>
    <w:rsid w:val="4C345239"/>
    <w:rsid w:val="4C347DED"/>
    <w:rsid w:val="4C370C3F"/>
    <w:rsid w:val="4C4A0649"/>
    <w:rsid w:val="4C51283A"/>
    <w:rsid w:val="4C527899"/>
    <w:rsid w:val="4C606620"/>
    <w:rsid w:val="4C645408"/>
    <w:rsid w:val="4C7E5ECA"/>
    <w:rsid w:val="4C876AA5"/>
    <w:rsid w:val="4C9E6834"/>
    <w:rsid w:val="4CA1338F"/>
    <w:rsid w:val="4CC25E71"/>
    <w:rsid w:val="4CC52CF1"/>
    <w:rsid w:val="4CD3324F"/>
    <w:rsid w:val="4CD960CD"/>
    <w:rsid w:val="4CDD5E7C"/>
    <w:rsid w:val="4CE72B73"/>
    <w:rsid w:val="4CFA7FAE"/>
    <w:rsid w:val="4CFC6F47"/>
    <w:rsid w:val="4D0E00FB"/>
    <w:rsid w:val="4D100DC2"/>
    <w:rsid w:val="4D176606"/>
    <w:rsid w:val="4D1D271C"/>
    <w:rsid w:val="4D1D44CA"/>
    <w:rsid w:val="4D237E1F"/>
    <w:rsid w:val="4D371807"/>
    <w:rsid w:val="4D5D094D"/>
    <w:rsid w:val="4D761657"/>
    <w:rsid w:val="4D897DB2"/>
    <w:rsid w:val="4D8A23BD"/>
    <w:rsid w:val="4D9D7ADC"/>
    <w:rsid w:val="4DB8448E"/>
    <w:rsid w:val="4DC31516"/>
    <w:rsid w:val="4DCB44B3"/>
    <w:rsid w:val="4DD40832"/>
    <w:rsid w:val="4DD408CC"/>
    <w:rsid w:val="4DEC4FB0"/>
    <w:rsid w:val="4E075D8A"/>
    <w:rsid w:val="4E4F6905"/>
    <w:rsid w:val="4E564138"/>
    <w:rsid w:val="4E616671"/>
    <w:rsid w:val="4E697BF2"/>
    <w:rsid w:val="4E6D2E13"/>
    <w:rsid w:val="4E7C2D1C"/>
    <w:rsid w:val="4E7D7917"/>
    <w:rsid w:val="4E8D4E59"/>
    <w:rsid w:val="4E8F31A6"/>
    <w:rsid w:val="4EB1136E"/>
    <w:rsid w:val="4EBC67ED"/>
    <w:rsid w:val="4EC00FAD"/>
    <w:rsid w:val="4EC310A1"/>
    <w:rsid w:val="4ECB5EDA"/>
    <w:rsid w:val="4ED002EE"/>
    <w:rsid w:val="4EE023A9"/>
    <w:rsid w:val="4EEB73D6"/>
    <w:rsid w:val="4F530DF5"/>
    <w:rsid w:val="4F736213"/>
    <w:rsid w:val="4F864C21"/>
    <w:rsid w:val="4F9843DC"/>
    <w:rsid w:val="4F9C3DCC"/>
    <w:rsid w:val="4FA818F0"/>
    <w:rsid w:val="4FB54E8E"/>
    <w:rsid w:val="4FB67BB9"/>
    <w:rsid w:val="4FC62A8C"/>
    <w:rsid w:val="4FE20F0D"/>
    <w:rsid w:val="4FE51552"/>
    <w:rsid w:val="500E76FB"/>
    <w:rsid w:val="50242014"/>
    <w:rsid w:val="50416722"/>
    <w:rsid w:val="50483F54"/>
    <w:rsid w:val="504C4769"/>
    <w:rsid w:val="50504C4B"/>
    <w:rsid w:val="50527438"/>
    <w:rsid w:val="505B3C87"/>
    <w:rsid w:val="506634E2"/>
    <w:rsid w:val="5079349F"/>
    <w:rsid w:val="507E6F9A"/>
    <w:rsid w:val="508C0416"/>
    <w:rsid w:val="50982C04"/>
    <w:rsid w:val="509C6E7C"/>
    <w:rsid w:val="50AD3DB7"/>
    <w:rsid w:val="50B2180A"/>
    <w:rsid w:val="50BE3465"/>
    <w:rsid w:val="50EC0D83"/>
    <w:rsid w:val="50ED0658"/>
    <w:rsid w:val="512B7338"/>
    <w:rsid w:val="51453FF0"/>
    <w:rsid w:val="5162104E"/>
    <w:rsid w:val="51646B6C"/>
    <w:rsid w:val="517174DB"/>
    <w:rsid w:val="51993BE7"/>
    <w:rsid w:val="519D5BDA"/>
    <w:rsid w:val="51A2221E"/>
    <w:rsid w:val="51A67EEC"/>
    <w:rsid w:val="52036385"/>
    <w:rsid w:val="52045C59"/>
    <w:rsid w:val="521B645F"/>
    <w:rsid w:val="522B58DB"/>
    <w:rsid w:val="52347255"/>
    <w:rsid w:val="524F15CA"/>
    <w:rsid w:val="52943481"/>
    <w:rsid w:val="52A95164"/>
    <w:rsid w:val="52A95399"/>
    <w:rsid w:val="52B23907"/>
    <w:rsid w:val="52B70F1D"/>
    <w:rsid w:val="52B94C95"/>
    <w:rsid w:val="52BC6EBE"/>
    <w:rsid w:val="52CD6993"/>
    <w:rsid w:val="52D27B05"/>
    <w:rsid w:val="52FE0AFA"/>
    <w:rsid w:val="530C74BB"/>
    <w:rsid w:val="531243A6"/>
    <w:rsid w:val="53581677"/>
    <w:rsid w:val="538B7AB7"/>
    <w:rsid w:val="5396336E"/>
    <w:rsid w:val="539F1B42"/>
    <w:rsid w:val="53A039CC"/>
    <w:rsid w:val="53A1505A"/>
    <w:rsid w:val="53AA3EF4"/>
    <w:rsid w:val="53AE0572"/>
    <w:rsid w:val="53C84ACD"/>
    <w:rsid w:val="53C932DB"/>
    <w:rsid w:val="53CB5A7A"/>
    <w:rsid w:val="53DD4803"/>
    <w:rsid w:val="53DE5230"/>
    <w:rsid w:val="53E1254D"/>
    <w:rsid w:val="53E2136E"/>
    <w:rsid w:val="54063E08"/>
    <w:rsid w:val="540B1521"/>
    <w:rsid w:val="54181E8F"/>
    <w:rsid w:val="543437E8"/>
    <w:rsid w:val="543A0058"/>
    <w:rsid w:val="5444538C"/>
    <w:rsid w:val="544C09FC"/>
    <w:rsid w:val="54596730"/>
    <w:rsid w:val="545A4256"/>
    <w:rsid w:val="54616D7E"/>
    <w:rsid w:val="54787D96"/>
    <w:rsid w:val="54AA0D3A"/>
    <w:rsid w:val="54CA13DC"/>
    <w:rsid w:val="54CA318A"/>
    <w:rsid w:val="54DA5642"/>
    <w:rsid w:val="54F73313"/>
    <w:rsid w:val="54F80955"/>
    <w:rsid w:val="551202C3"/>
    <w:rsid w:val="551C150B"/>
    <w:rsid w:val="55216B22"/>
    <w:rsid w:val="55376345"/>
    <w:rsid w:val="554C1DF1"/>
    <w:rsid w:val="555170A7"/>
    <w:rsid w:val="55711857"/>
    <w:rsid w:val="557818E9"/>
    <w:rsid w:val="5587536D"/>
    <w:rsid w:val="55881E40"/>
    <w:rsid w:val="559B174B"/>
    <w:rsid w:val="55BD4A9D"/>
    <w:rsid w:val="55BF6A67"/>
    <w:rsid w:val="55BF747C"/>
    <w:rsid w:val="55C47171"/>
    <w:rsid w:val="55CE0CF4"/>
    <w:rsid w:val="55E20B76"/>
    <w:rsid w:val="55FE65AD"/>
    <w:rsid w:val="56133344"/>
    <w:rsid w:val="561A3C9D"/>
    <w:rsid w:val="561F16FE"/>
    <w:rsid w:val="562740B9"/>
    <w:rsid w:val="56384123"/>
    <w:rsid w:val="56414B0E"/>
    <w:rsid w:val="5681017A"/>
    <w:rsid w:val="569F0646"/>
    <w:rsid w:val="569F23F4"/>
    <w:rsid w:val="56B22A9C"/>
    <w:rsid w:val="56BB095D"/>
    <w:rsid w:val="56D104AB"/>
    <w:rsid w:val="56E03BFA"/>
    <w:rsid w:val="570861EB"/>
    <w:rsid w:val="570B1838"/>
    <w:rsid w:val="57236FED"/>
    <w:rsid w:val="575B456D"/>
    <w:rsid w:val="576E387E"/>
    <w:rsid w:val="57B12F69"/>
    <w:rsid w:val="57B72A76"/>
    <w:rsid w:val="57B95737"/>
    <w:rsid w:val="57C3426C"/>
    <w:rsid w:val="57CE1F93"/>
    <w:rsid w:val="57E65176"/>
    <w:rsid w:val="58202F88"/>
    <w:rsid w:val="583F2C37"/>
    <w:rsid w:val="58586CFE"/>
    <w:rsid w:val="585B059D"/>
    <w:rsid w:val="58615BB3"/>
    <w:rsid w:val="58737694"/>
    <w:rsid w:val="587C29ED"/>
    <w:rsid w:val="587E296C"/>
    <w:rsid w:val="588743D1"/>
    <w:rsid w:val="5887701A"/>
    <w:rsid w:val="58AC328B"/>
    <w:rsid w:val="58DA7713"/>
    <w:rsid w:val="58DE7204"/>
    <w:rsid w:val="58FE7875"/>
    <w:rsid w:val="59002F2A"/>
    <w:rsid w:val="59021AA2"/>
    <w:rsid w:val="591946E0"/>
    <w:rsid w:val="593B3244"/>
    <w:rsid w:val="59446C96"/>
    <w:rsid w:val="594E0C14"/>
    <w:rsid w:val="597D170A"/>
    <w:rsid w:val="597F2FE0"/>
    <w:rsid w:val="598A50B6"/>
    <w:rsid w:val="598E270A"/>
    <w:rsid w:val="599E63EA"/>
    <w:rsid w:val="59B30690"/>
    <w:rsid w:val="59B9557B"/>
    <w:rsid w:val="59C0439F"/>
    <w:rsid w:val="59C87F83"/>
    <w:rsid w:val="59D707DD"/>
    <w:rsid w:val="59EC0F8F"/>
    <w:rsid w:val="5A0A227A"/>
    <w:rsid w:val="5A0B6D6A"/>
    <w:rsid w:val="5A3572F7"/>
    <w:rsid w:val="5A403EEE"/>
    <w:rsid w:val="5A615BCE"/>
    <w:rsid w:val="5A9B1124"/>
    <w:rsid w:val="5A9B2ED2"/>
    <w:rsid w:val="5AB55F11"/>
    <w:rsid w:val="5ABE2233"/>
    <w:rsid w:val="5AC12D4C"/>
    <w:rsid w:val="5AC41239"/>
    <w:rsid w:val="5AC6120D"/>
    <w:rsid w:val="5AE34FA5"/>
    <w:rsid w:val="5B24177B"/>
    <w:rsid w:val="5B2910A2"/>
    <w:rsid w:val="5B2F5017"/>
    <w:rsid w:val="5B5C6334"/>
    <w:rsid w:val="5B760605"/>
    <w:rsid w:val="5B7C3225"/>
    <w:rsid w:val="5B9E71EA"/>
    <w:rsid w:val="5BCF1086"/>
    <w:rsid w:val="5BDF5D95"/>
    <w:rsid w:val="5BE07737"/>
    <w:rsid w:val="5BF67C46"/>
    <w:rsid w:val="5BFE7528"/>
    <w:rsid w:val="5C0A0310"/>
    <w:rsid w:val="5C0E6052"/>
    <w:rsid w:val="5C297F2A"/>
    <w:rsid w:val="5C761E49"/>
    <w:rsid w:val="5C8B76A2"/>
    <w:rsid w:val="5CAF2C65"/>
    <w:rsid w:val="5CD62F36"/>
    <w:rsid w:val="5CF841EB"/>
    <w:rsid w:val="5D015710"/>
    <w:rsid w:val="5D0D6309"/>
    <w:rsid w:val="5D466D27"/>
    <w:rsid w:val="5D5809B5"/>
    <w:rsid w:val="5D5E6B65"/>
    <w:rsid w:val="5D812854"/>
    <w:rsid w:val="5DA6792B"/>
    <w:rsid w:val="5DC6470A"/>
    <w:rsid w:val="5DC866D4"/>
    <w:rsid w:val="5DCB7B6C"/>
    <w:rsid w:val="5DDB1F64"/>
    <w:rsid w:val="5DFE0CB1"/>
    <w:rsid w:val="5E0C4813"/>
    <w:rsid w:val="5E211941"/>
    <w:rsid w:val="5E22791D"/>
    <w:rsid w:val="5E2467F1"/>
    <w:rsid w:val="5E4F48FF"/>
    <w:rsid w:val="5E79177D"/>
    <w:rsid w:val="5EBE687C"/>
    <w:rsid w:val="5EC9009E"/>
    <w:rsid w:val="5EE25574"/>
    <w:rsid w:val="5F05503E"/>
    <w:rsid w:val="5F1378BF"/>
    <w:rsid w:val="5F1A2B43"/>
    <w:rsid w:val="5F236821"/>
    <w:rsid w:val="5F454CAB"/>
    <w:rsid w:val="5F5F6BC4"/>
    <w:rsid w:val="5F631BA4"/>
    <w:rsid w:val="5F6B79B1"/>
    <w:rsid w:val="5F9A7BFD"/>
    <w:rsid w:val="5FB837BB"/>
    <w:rsid w:val="5FBE576C"/>
    <w:rsid w:val="5FE01AB3"/>
    <w:rsid w:val="5FF01C5D"/>
    <w:rsid w:val="5FF05552"/>
    <w:rsid w:val="5FF90DC7"/>
    <w:rsid w:val="60210759"/>
    <w:rsid w:val="6024395C"/>
    <w:rsid w:val="60483AFC"/>
    <w:rsid w:val="60485F29"/>
    <w:rsid w:val="604D2EC1"/>
    <w:rsid w:val="606E61B2"/>
    <w:rsid w:val="606F2632"/>
    <w:rsid w:val="60732927"/>
    <w:rsid w:val="60765F74"/>
    <w:rsid w:val="608B5A34"/>
    <w:rsid w:val="60936B26"/>
    <w:rsid w:val="6099669F"/>
    <w:rsid w:val="609E798F"/>
    <w:rsid w:val="60AE5D4F"/>
    <w:rsid w:val="60BA0556"/>
    <w:rsid w:val="60C541B5"/>
    <w:rsid w:val="60CC405A"/>
    <w:rsid w:val="60EC092C"/>
    <w:rsid w:val="610971EF"/>
    <w:rsid w:val="610E5F0C"/>
    <w:rsid w:val="61162F82"/>
    <w:rsid w:val="612C6F7A"/>
    <w:rsid w:val="61481EA8"/>
    <w:rsid w:val="614E5143"/>
    <w:rsid w:val="61595648"/>
    <w:rsid w:val="616D2AAB"/>
    <w:rsid w:val="61AD584E"/>
    <w:rsid w:val="61B74A96"/>
    <w:rsid w:val="61D513C0"/>
    <w:rsid w:val="61E215D8"/>
    <w:rsid w:val="61F50299"/>
    <w:rsid w:val="61FD40D2"/>
    <w:rsid w:val="62165C60"/>
    <w:rsid w:val="62176173"/>
    <w:rsid w:val="621974FF"/>
    <w:rsid w:val="621B3775"/>
    <w:rsid w:val="621C5517"/>
    <w:rsid w:val="622163B3"/>
    <w:rsid w:val="622877A8"/>
    <w:rsid w:val="622A5DEE"/>
    <w:rsid w:val="622E43B8"/>
    <w:rsid w:val="623525E0"/>
    <w:rsid w:val="62364782"/>
    <w:rsid w:val="623936FD"/>
    <w:rsid w:val="627666FF"/>
    <w:rsid w:val="62776161"/>
    <w:rsid w:val="629372B1"/>
    <w:rsid w:val="62976675"/>
    <w:rsid w:val="62A96C94"/>
    <w:rsid w:val="62C5378A"/>
    <w:rsid w:val="63310E36"/>
    <w:rsid w:val="635A7DCF"/>
    <w:rsid w:val="63660521"/>
    <w:rsid w:val="636B1FDC"/>
    <w:rsid w:val="637D7BF8"/>
    <w:rsid w:val="637E4E1B"/>
    <w:rsid w:val="6390559E"/>
    <w:rsid w:val="6394356A"/>
    <w:rsid w:val="639F3A33"/>
    <w:rsid w:val="63A252D2"/>
    <w:rsid w:val="63C61B2C"/>
    <w:rsid w:val="63D40BE9"/>
    <w:rsid w:val="63DD751D"/>
    <w:rsid w:val="63E776F7"/>
    <w:rsid w:val="63F37E31"/>
    <w:rsid w:val="63FD5A3D"/>
    <w:rsid w:val="64102431"/>
    <w:rsid w:val="641763BA"/>
    <w:rsid w:val="641D1014"/>
    <w:rsid w:val="64460353"/>
    <w:rsid w:val="64701E66"/>
    <w:rsid w:val="648942C5"/>
    <w:rsid w:val="64A21A2D"/>
    <w:rsid w:val="64A5243A"/>
    <w:rsid w:val="64B11C70"/>
    <w:rsid w:val="64B17EC2"/>
    <w:rsid w:val="64C5008F"/>
    <w:rsid w:val="64C51278"/>
    <w:rsid w:val="64C80CBB"/>
    <w:rsid w:val="64C9520C"/>
    <w:rsid w:val="64CA2D32"/>
    <w:rsid w:val="64F2319F"/>
    <w:rsid w:val="64F531DE"/>
    <w:rsid w:val="65085009"/>
    <w:rsid w:val="65373578"/>
    <w:rsid w:val="65401246"/>
    <w:rsid w:val="65630900"/>
    <w:rsid w:val="656942F9"/>
    <w:rsid w:val="657F1D6E"/>
    <w:rsid w:val="659118EA"/>
    <w:rsid w:val="65955A16"/>
    <w:rsid w:val="6598698C"/>
    <w:rsid w:val="65F04A1A"/>
    <w:rsid w:val="66304E17"/>
    <w:rsid w:val="663558F5"/>
    <w:rsid w:val="66707909"/>
    <w:rsid w:val="66763342"/>
    <w:rsid w:val="668A0C14"/>
    <w:rsid w:val="66AA03D9"/>
    <w:rsid w:val="66E005EB"/>
    <w:rsid w:val="66E14363"/>
    <w:rsid w:val="66EC51E2"/>
    <w:rsid w:val="670B6774"/>
    <w:rsid w:val="6710446C"/>
    <w:rsid w:val="671F124A"/>
    <w:rsid w:val="673152EA"/>
    <w:rsid w:val="67332E10"/>
    <w:rsid w:val="6753700F"/>
    <w:rsid w:val="675B4115"/>
    <w:rsid w:val="677A33C6"/>
    <w:rsid w:val="67A32D96"/>
    <w:rsid w:val="67AB6E4B"/>
    <w:rsid w:val="67BF3EDF"/>
    <w:rsid w:val="67E63ED9"/>
    <w:rsid w:val="67FD72F7"/>
    <w:rsid w:val="68037866"/>
    <w:rsid w:val="6809302F"/>
    <w:rsid w:val="68143F18"/>
    <w:rsid w:val="68152516"/>
    <w:rsid w:val="681F6961"/>
    <w:rsid w:val="68224E4F"/>
    <w:rsid w:val="68345A15"/>
    <w:rsid w:val="68444162"/>
    <w:rsid w:val="68610A2F"/>
    <w:rsid w:val="686E6B75"/>
    <w:rsid w:val="687D687A"/>
    <w:rsid w:val="68805514"/>
    <w:rsid w:val="6884650A"/>
    <w:rsid w:val="688E20AC"/>
    <w:rsid w:val="68993147"/>
    <w:rsid w:val="68D84CE5"/>
    <w:rsid w:val="69316E2F"/>
    <w:rsid w:val="6938051E"/>
    <w:rsid w:val="69390486"/>
    <w:rsid w:val="694803E4"/>
    <w:rsid w:val="694E2071"/>
    <w:rsid w:val="69766163"/>
    <w:rsid w:val="697A3B33"/>
    <w:rsid w:val="697B45FB"/>
    <w:rsid w:val="697D48A2"/>
    <w:rsid w:val="698F0590"/>
    <w:rsid w:val="699A7177"/>
    <w:rsid w:val="69A21E16"/>
    <w:rsid w:val="69AB1384"/>
    <w:rsid w:val="69B32389"/>
    <w:rsid w:val="69B61AD7"/>
    <w:rsid w:val="69B77272"/>
    <w:rsid w:val="69BC3A21"/>
    <w:rsid w:val="69D44760"/>
    <w:rsid w:val="69EB5C31"/>
    <w:rsid w:val="69FF522C"/>
    <w:rsid w:val="6A0140F8"/>
    <w:rsid w:val="6A0D5B9B"/>
    <w:rsid w:val="6A275DD4"/>
    <w:rsid w:val="6A276BDB"/>
    <w:rsid w:val="6A2C1D99"/>
    <w:rsid w:val="6A301889"/>
    <w:rsid w:val="6A4470E3"/>
    <w:rsid w:val="6A520EC7"/>
    <w:rsid w:val="6A56197D"/>
    <w:rsid w:val="6A5F216E"/>
    <w:rsid w:val="6A674352"/>
    <w:rsid w:val="6A6E4160"/>
    <w:rsid w:val="6A6E5F0E"/>
    <w:rsid w:val="6A8353C1"/>
    <w:rsid w:val="6A841BD5"/>
    <w:rsid w:val="6A842A4E"/>
    <w:rsid w:val="6A866F29"/>
    <w:rsid w:val="6A8A2E93"/>
    <w:rsid w:val="6AA42F83"/>
    <w:rsid w:val="6AAB5146"/>
    <w:rsid w:val="6AC326FD"/>
    <w:rsid w:val="6AC87F12"/>
    <w:rsid w:val="6ACF510E"/>
    <w:rsid w:val="6AEE6C44"/>
    <w:rsid w:val="6AF87E20"/>
    <w:rsid w:val="6AFA59F3"/>
    <w:rsid w:val="6AFF2708"/>
    <w:rsid w:val="6B322639"/>
    <w:rsid w:val="6B362ECF"/>
    <w:rsid w:val="6B40098D"/>
    <w:rsid w:val="6B547B53"/>
    <w:rsid w:val="6B5C2A4B"/>
    <w:rsid w:val="6B6C78D9"/>
    <w:rsid w:val="6B735ED1"/>
    <w:rsid w:val="6B822A38"/>
    <w:rsid w:val="6B985938"/>
    <w:rsid w:val="6BBB1DB5"/>
    <w:rsid w:val="6BC56373"/>
    <w:rsid w:val="6BC8789F"/>
    <w:rsid w:val="6BD10E4A"/>
    <w:rsid w:val="6BE7241B"/>
    <w:rsid w:val="6BFD48AB"/>
    <w:rsid w:val="6C30791F"/>
    <w:rsid w:val="6C540255"/>
    <w:rsid w:val="6C575B38"/>
    <w:rsid w:val="6C636C38"/>
    <w:rsid w:val="6C653DE8"/>
    <w:rsid w:val="6C6C049B"/>
    <w:rsid w:val="6C726AFA"/>
    <w:rsid w:val="6C787517"/>
    <w:rsid w:val="6CB73433"/>
    <w:rsid w:val="6CDF1345"/>
    <w:rsid w:val="6CE451E7"/>
    <w:rsid w:val="6CE573D6"/>
    <w:rsid w:val="6CF46B9E"/>
    <w:rsid w:val="6D037D21"/>
    <w:rsid w:val="6D2025D4"/>
    <w:rsid w:val="6D2531FB"/>
    <w:rsid w:val="6D761CA9"/>
    <w:rsid w:val="6DB34098"/>
    <w:rsid w:val="6DB545B6"/>
    <w:rsid w:val="6DDB0DE7"/>
    <w:rsid w:val="6DE02FB4"/>
    <w:rsid w:val="6DE728C1"/>
    <w:rsid w:val="6DEC4E71"/>
    <w:rsid w:val="6DFB0400"/>
    <w:rsid w:val="6E041063"/>
    <w:rsid w:val="6E0F17B6"/>
    <w:rsid w:val="6E1B6DB2"/>
    <w:rsid w:val="6E2039C3"/>
    <w:rsid w:val="6E361463"/>
    <w:rsid w:val="6E511DCE"/>
    <w:rsid w:val="6E514CED"/>
    <w:rsid w:val="6EA03C9B"/>
    <w:rsid w:val="6EB563D5"/>
    <w:rsid w:val="6ECC74D2"/>
    <w:rsid w:val="6ED11FA3"/>
    <w:rsid w:val="6ED92677"/>
    <w:rsid w:val="6EDB0232"/>
    <w:rsid w:val="6EFA06B8"/>
    <w:rsid w:val="6F1522E3"/>
    <w:rsid w:val="6F225983"/>
    <w:rsid w:val="6F327E52"/>
    <w:rsid w:val="6F3C3363"/>
    <w:rsid w:val="6F3E535A"/>
    <w:rsid w:val="6F4E0949"/>
    <w:rsid w:val="6F541517"/>
    <w:rsid w:val="6F6674DB"/>
    <w:rsid w:val="6F7F2F54"/>
    <w:rsid w:val="6F8658DB"/>
    <w:rsid w:val="6F8D2902"/>
    <w:rsid w:val="6FA80B0C"/>
    <w:rsid w:val="6FAA79E8"/>
    <w:rsid w:val="6FB46AB9"/>
    <w:rsid w:val="6FBF0BDC"/>
    <w:rsid w:val="6FD20CED"/>
    <w:rsid w:val="6FEB6463"/>
    <w:rsid w:val="6FED3D79"/>
    <w:rsid w:val="6FEF207E"/>
    <w:rsid w:val="6FF869A5"/>
    <w:rsid w:val="6FFC5590"/>
    <w:rsid w:val="700A0406"/>
    <w:rsid w:val="705F2370"/>
    <w:rsid w:val="706510B7"/>
    <w:rsid w:val="70666005"/>
    <w:rsid w:val="706D1DD0"/>
    <w:rsid w:val="707256A2"/>
    <w:rsid w:val="707B1384"/>
    <w:rsid w:val="70856B87"/>
    <w:rsid w:val="709B37D5"/>
    <w:rsid w:val="70A64653"/>
    <w:rsid w:val="70BE16ED"/>
    <w:rsid w:val="70BE1B0E"/>
    <w:rsid w:val="70C97DB9"/>
    <w:rsid w:val="70D527EE"/>
    <w:rsid w:val="70DA238F"/>
    <w:rsid w:val="70F829D5"/>
    <w:rsid w:val="70F91A99"/>
    <w:rsid w:val="710122F7"/>
    <w:rsid w:val="71014DF6"/>
    <w:rsid w:val="711565DA"/>
    <w:rsid w:val="71280686"/>
    <w:rsid w:val="713D1ADB"/>
    <w:rsid w:val="71416E1B"/>
    <w:rsid w:val="714E4ED0"/>
    <w:rsid w:val="715B5300"/>
    <w:rsid w:val="7163037E"/>
    <w:rsid w:val="71632544"/>
    <w:rsid w:val="71A0764E"/>
    <w:rsid w:val="71A259F0"/>
    <w:rsid w:val="71A60683"/>
    <w:rsid w:val="71AC3EEB"/>
    <w:rsid w:val="71D27F8A"/>
    <w:rsid w:val="71DD70FC"/>
    <w:rsid w:val="71F26047"/>
    <w:rsid w:val="722717C4"/>
    <w:rsid w:val="7249798C"/>
    <w:rsid w:val="724D6224"/>
    <w:rsid w:val="72553024"/>
    <w:rsid w:val="72587BCF"/>
    <w:rsid w:val="726748F5"/>
    <w:rsid w:val="72783187"/>
    <w:rsid w:val="72A97E2B"/>
    <w:rsid w:val="72E66F89"/>
    <w:rsid w:val="72E871A5"/>
    <w:rsid w:val="7304755E"/>
    <w:rsid w:val="73122968"/>
    <w:rsid w:val="731F5D5E"/>
    <w:rsid w:val="73335F46"/>
    <w:rsid w:val="7343262D"/>
    <w:rsid w:val="734E06E8"/>
    <w:rsid w:val="734F0FD2"/>
    <w:rsid w:val="73633F81"/>
    <w:rsid w:val="73A03E9E"/>
    <w:rsid w:val="73A36C1B"/>
    <w:rsid w:val="73C51AD5"/>
    <w:rsid w:val="73C76D53"/>
    <w:rsid w:val="73CF2113"/>
    <w:rsid w:val="73D859B4"/>
    <w:rsid w:val="73D979E8"/>
    <w:rsid w:val="741E793C"/>
    <w:rsid w:val="741F64F7"/>
    <w:rsid w:val="743F3084"/>
    <w:rsid w:val="7451017C"/>
    <w:rsid w:val="745E3944"/>
    <w:rsid w:val="74793E2D"/>
    <w:rsid w:val="748A603A"/>
    <w:rsid w:val="748A6A75"/>
    <w:rsid w:val="74920044"/>
    <w:rsid w:val="74962C31"/>
    <w:rsid w:val="749D7B1B"/>
    <w:rsid w:val="74BD640F"/>
    <w:rsid w:val="74BF6341"/>
    <w:rsid w:val="74CA7DE7"/>
    <w:rsid w:val="74CC6652"/>
    <w:rsid w:val="751A5610"/>
    <w:rsid w:val="753D7FC4"/>
    <w:rsid w:val="7544268D"/>
    <w:rsid w:val="75450A73"/>
    <w:rsid w:val="754A398B"/>
    <w:rsid w:val="75526B58"/>
    <w:rsid w:val="75595003"/>
    <w:rsid w:val="75752846"/>
    <w:rsid w:val="75832D5B"/>
    <w:rsid w:val="75891A17"/>
    <w:rsid w:val="75923248"/>
    <w:rsid w:val="75952EE8"/>
    <w:rsid w:val="75CF2FA5"/>
    <w:rsid w:val="75DC0B17"/>
    <w:rsid w:val="75DF5F11"/>
    <w:rsid w:val="75E652F5"/>
    <w:rsid w:val="75EA7E94"/>
    <w:rsid w:val="75EC246C"/>
    <w:rsid w:val="760A3A78"/>
    <w:rsid w:val="761C35E7"/>
    <w:rsid w:val="761D76CA"/>
    <w:rsid w:val="762B3F15"/>
    <w:rsid w:val="7635099D"/>
    <w:rsid w:val="7662101C"/>
    <w:rsid w:val="7663637D"/>
    <w:rsid w:val="766C1E9B"/>
    <w:rsid w:val="767701A5"/>
    <w:rsid w:val="767C19B2"/>
    <w:rsid w:val="767D5E56"/>
    <w:rsid w:val="7693396D"/>
    <w:rsid w:val="769B04B9"/>
    <w:rsid w:val="76AF2A83"/>
    <w:rsid w:val="76E73DB8"/>
    <w:rsid w:val="77106CCA"/>
    <w:rsid w:val="77534E09"/>
    <w:rsid w:val="77762421"/>
    <w:rsid w:val="7780404A"/>
    <w:rsid w:val="779506FC"/>
    <w:rsid w:val="779F3BAA"/>
    <w:rsid w:val="77AA1844"/>
    <w:rsid w:val="77AB123B"/>
    <w:rsid w:val="77B56B1F"/>
    <w:rsid w:val="77B75398"/>
    <w:rsid w:val="77E836D5"/>
    <w:rsid w:val="77EA3146"/>
    <w:rsid w:val="780F09F4"/>
    <w:rsid w:val="782A04CC"/>
    <w:rsid w:val="782F143B"/>
    <w:rsid w:val="78393BDC"/>
    <w:rsid w:val="78417189"/>
    <w:rsid w:val="784D1858"/>
    <w:rsid w:val="78594C49"/>
    <w:rsid w:val="785B2BE5"/>
    <w:rsid w:val="78663F8F"/>
    <w:rsid w:val="78915BE9"/>
    <w:rsid w:val="78A90480"/>
    <w:rsid w:val="792261D9"/>
    <w:rsid w:val="79257911"/>
    <w:rsid w:val="792D7857"/>
    <w:rsid w:val="79315096"/>
    <w:rsid w:val="796E25C4"/>
    <w:rsid w:val="79711576"/>
    <w:rsid w:val="798412AA"/>
    <w:rsid w:val="798626E2"/>
    <w:rsid w:val="799373B4"/>
    <w:rsid w:val="79A27982"/>
    <w:rsid w:val="79A41123"/>
    <w:rsid w:val="79B55907"/>
    <w:rsid w:val="79CF180D"/>
    <w:rsid w:val="79DD7973"/>
    <w:rsid w:val="79FD2ABD"/>
    <w:rsid w:val="79FF07DE"/>
    <w:rsid w:val="7A150154"/>
    <w:rsid w:val="7A1C7734"/>
    <w:rsid w:val="7A364017"/>
    <w:rsid w:val="7A432F13"/>
    <w:rsid w:val="7A4D1FE3"/>
    <w:rsid w:val="7A7C2E9A"/>
    <w:rsid w:val="7A801259"/>
    <w:rsid w:val="7A8265E1"/>
    <w:rsid w:val="7A8825DA"/>
    <w:rsid w:val="7ACF0C4A"/>
    <w:rsid w:val="7ADA4124"/>
    <w:rsid w:val="7AE53FCA"/>
    <w:rsid w:val="7B193C74"/>
    <w:rsid w:val="7B252618"/>
    <w:rsid w:val="7B377B77"/>
    <w:rsid w:val="7B3E36DA"/>
    <w:rsid w:val="7B5E2EDF"/>
    <w:rsid w:val="7B686D42"/>
    <w:rsid w:val="7B7B492E"/>
    <w:rsid w:val="7B841746"/>
    <w:rsid w:val="7B932CB7"/>
    <w:rsid w:val="7B9531DE"/>
    <w:rsid w:val="7BD70DB4"/>
    <w:rsid w:val="7BD81D81"/>
    <w:rsid w:val="7BDF0A19"/>
    <w:rsid w:val="7BF2699E"/>
    <w:rsid w:val="7C0A3615"/>
    <w:rsid w:val="7C105077"/>
    <w:rsid w:val="7C6C5AC7"/>
    <w:rsid w:val="7CB042D7"/>
    <w:rsid w:val="7CBB5F99"/>
    <w:rsid w:val="7CC0521D"/>
    <w:rsid w:val="7CC6544B"/>
    <w:rsid w:val="7CD460A4"/>
    <w:rsid w:val="7CE03480"/>
    <w:rsid w:val="7CF77FE5"/>
    <w:rsid w:val="7CF84488"/>
    <w:rsid w:val="7D0239FF"/>
    <w:rsid w:val="7D0351A7"/>
    <w:rsid w:val="7D0719AF"/>
    <w:rsid w:val="7D192034"/>
    <w:rsid w:val="7D1F130D"/>
    <w:rsid w:val="7D470174"/>
    <w:rsid w:val="7D545437"/>
    <w:rsid w:val="7D5E40CD"/>
    <w:rsid w:val="7D930474"/>
    <w:rsid w:val="7DBD44A5"/>
    <w:rsid w:val="7DCD56F2"/>
    <w:rsid w:val="7DD341A6"/>
    <w:rsid w:val="7DD50F04"/>
    <w:rsid w:val="7DFF3643"/>
    <w:rsid w:val="7E01111B"/>
    <w:rsid w:val="7E0232BA"/>
    <w:rsid w:val="7E2E5C88"/>
    <w:rsid w:val="7E3A63DB"/>
    <w:rsid w:val="7E3D5ECB"/>
    <w:rsid w:val="7E4D5557"/>
    <w:rsid w:val="7E4E1E86"/>
    <w:rsid w:val="7E573431"/>
    <w:rsid w:val="7E5D7D49"/>
    <w:rsid w:val="7E620312"/>
    <w:rsid w:val="7E6416AA"/>
    <w:rsid w:val="7E6D67B0"/>
    <w:rsid w:val="7E7F64E4"/>
    <w:rsid w:val="7EA000A2"/>
    <w:rsid w:val="7EA67ADC"/>
    <w:rsid w:val="7EC565EC"/>
    <w:rsid w:val="7EE822DB"/>
    <w:rsid w:val="7EEB787B"/>
    <w:rsid w:val="7EF40C80"/>
    <w:rsid w:val="7EFD4744"/>
    <w:rsid w:val="7F001CE7"/>
    <w:rsid w:val="7F03664B"/>
    <w:rsid w:val="7F065208"/>
    <w:rsid w:val="7F303D31"/>
    <w:rsid w:val="7F343663"/>
    <w:rsid w:val="7F505F1E"/>
    <w:rsid w:val="7F614A89"/>
    <w:rsid w:val="7F6D27E0"/>
    <w:rsid w:val="7F6D7827"/>
    <w:rsid w:val="7F762A2D"/>
    <w:rsid w:val="7F963EFE"/>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1"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semiHidden/>
    <w:unhideWhenUsed/>
    <w:qFormat/>
    <w:uiPriority w:val="0"/>
    <w:pPr>
      <w:keepNext/>
      <w:keepLines/>
      <w:numPr>
        <w:ilvl w:val="1"/>
        <w:numId w:val="1"/>
      </w:numPr>
      <w:spacing w:before="50" w:beforeLines="50" w:after="50" w:afterLines="50"/>
      <w:ind w:left="575" w:hanging="575" w:firstLineChars="0"/>
      <w:outlineLvl w:val="1"/>
    </w:pPr>
    <w:rPr>
      <w:rFonts w:ascii="Times New Roman" w:hAnsi="Times New Roman" w:eastAsia="宋体"/>
      <w:b/>
      <w:bCs/>
      <w:sz w:val="30"/>
      <w:szCs w:val="32"/>
    </w:rPr>
  </w:style>
  <w:style w:type="paragraph" w:styleId="4">
    <w:name w:val="heading 3"/>
    <w:basedOn w:val="1"/>
    <w:next w:val="1"/>
    <w:qFormat/>
    <w:uiPriority w:val="1"/>
    <w:pPr>
      <w:spacing w:before="161"/>
      <w:ind w:left="708"/>
      <w:outlineLvl w:val="2"/>
    </w:pPr>
    <w:rPr>
      <w:rFonts w:ascii="宋体" w:hAnsi="宋体" w:eastAsia="宋体" w:cs="宋体"/>
      <w:b/>
      <w:bCs/>
      <w:sz w:val="24"/>
      <w:szCs w:val="24"/>
      <w:lang w:val="zh-CN" w:eastAsia="zh-CN" w:bidi="zh-CN"/>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8">
    <w:name w:val="Default Paragraph Font"/>
    <w:semiHidden/>
    <w:qFormat/>
    <w:uiPriority w:val="0"/>
  </w:style>
  <w:style w:type="table" w:default="1" w:styleId="4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8">
    <w:name w:val="Note Heading"/>
    <w:basedOn w:val="1"/>
    <w:next w:val="1"/>
    <w:qFormat/>
    <w:uiPriority w:val="0"/>
    <w:pPr>
      <w:jc w:val="center"/>
    </w:pPr>
  </w:style>
  <w:style w:type="paragraph" w:styleId="9">
    <w:name w:val="E-mail Signature"/>
    <w:basedOn w:val="1"/>
    <w:next w:val="10"/>
    <w:unhideWhenUsed/>
    <w:qFormat/>
    <w:uiPriority w:val="99"/>
    <w:pPr>
      <w:spacing w:line="460" w:lineRule="exact"/>
      <w:ind w:firstLine="200"/>
    </w:pPr>
  </w:style>
  <w:style w:type="paragraph" w:customStyle="1" w:styleId="10">
    <w:name w:val="文章"/>
    <w:next w:val="11"/>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1">
    <w:name w:val="List"/>
    <w:basedOn w:val="1"/>
    <w:next w:val="12"/>
    <w:qFormat/>
    <w:uiPriority w:val="0"/>
    <w:pPr>
      <w:adjustRightInd w:val="0"/>
      <w:spacing w:line="360" w:lineRule="auto"/>
      <w:ind w:left="420" w:hanging="420"/>
      <w:textAlignment w:val="baseline"/>
    </w:pPr>
    <w:rPr>
      <w:rFonts w:ascii="宋体"/>
      <w:kern w:val="0"/>
      <w:sz w:val="24"/>
      <w:szCs w:val="20"/>
    </w:rPr>
  </w:style>
  <w:style w:type="paragraph" w:styleId="12">
    <w:name w:val="List Bullet 2"/>
    <w:basedOn w:val="1"/>
    <w:next w:val="13"/>
    <w:qFormat/>
    <w:uiPriority w:val="0"/>
    <w:pPr>
      <w:numPr>
        <w:ilvl w:val="0"/>
        <w:numId w:val="2"/>
      </w:numPr>
    </w:pPr>
  </w:style>
  <w:style w:type="paragraph" w:customStyle="1" w:styleId="13">
    <w:name w:val="xl70"/>
    <w:basedOn w:val="1"/>
    <w:next w:val="14"/>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left"/>
    </w:pPr>
    <w:rPr>
      <w:rFonts w:ascii="宋体" w:hAnsi="宋体" w:cs="宋体"/>
      <w:snapToGrid/>
      <w:sz w:val="20"/>
      <w:szCs w:val="20"/>
    </w:rPr>
  </w:style>
  <w:style w:type="paragraph" w:customStyle="1" w:styleId="14">
    <w:name w:val="正文缩进1"/>
    <w:basedOn w:val="1"/>
    <w:next w:val="15"/>
    <w:qFormat/>
    <w:uiPriority w:val="0"/>
    <w:pPr>
      <w:adjustRightInd/>
      <w:snapToGrid/>
      <w:spacing w:before="156" w:beforeLines="50" w:after="156" w:afterLines="50"/>
      <w:ind w:firstLine="1048" w:firstLineChars="435"/>
      <w:jc w:val="center"/>
    </w:pPr>
    <w:rPr>
      <w:rFonts w:ascii="宋体" w:hAnsi="宋体"/>
      <w:b/>
      <w:bCs/>
      <w:color w:val="000000"/>
      <w:kern w:val="24"/>
      <w:sz w:val="24"/>
    </w:rPr>
  </w:style>
  <w:style w:type="paragraph" w:customStyle="1" w:styleId="15">
    <w:name w:val="td1"/>
    <w:basedOn w:val="1"/>
    <w:next w:val="1"/>
    <w:qFormat/>
    <w:uiPriority w:val="0"/>
    <w:pPr>
      <w:widowControl/>
      <w:spacing w:before="280" w:after="280" w:line="300" w:lineRule="atLeast"/>
      <w:ind w:firstLine="200"/>
    </w:pPr>
    <w:rPr>
      <w:color w:val="000000"/>
      <w:sz w:val="18"/>
    </w:rPr>
  </w:style>
  <w:style w:type="paragraph" w:styleId="16">
    <w:name w:val="Normal Indent"/>
    <w:basedOn w:val="1"/>
    <w:qFormat/>
    <w:uiPriority w:val="0"/>
    <w:pPr>
      <w:keepNext w:val="0"/>
      <w:keepLines w:val="0"/>
      <w:widowControl w:val="0"/>
      <w:suppressLineNumbers w:val="0"/>
      <w:spacing w:before="0" w:beforeAutospacing="0" w:after="0" w:afterAutospacing="0" w:line="480" w:lineRule="exact"/>
      <w:ind w:left="0" w:right="0" w:firstLine="556" w:firstLineChars="0"/>
      <w:jc w:val="left"/>
    </w:pPr>
    <w:rPr>
      <w:rFonts w:hint="default" w:ascii="仿宋_GB2312" w:hAnsi="Calibri" w:eastAsia="仿宋_GB2312" w:cs="仿宋_GB2312"/>
      <w:kern w:val="0"/>
      <w:sz w:val="28"/>
      <w:szCs w:val="28"/>
      <w:lang w:val="en-US" w:eastAsia="zh-CN" w:bidi="ar"/>
    </w:rPr>
  </w:style>
  <w:style w:type="paragraph" w:styleId="17">
    <w:name w:val="caption"/>
    <w:basedOn w:val="1"/>
    <w:next w:val="1"/>
    <w:qFormat/>
    <w:uiPriority w:val="0"/>
    <w:rPr>
      <w:rFonts w:ascii="Arial" w:hAnsi="Arial" w:eastAsia="黑体" w:cs="Arial"/>
      <w:sz w:val="20"/>
    </w:rPr>
  </w:style>
  <w:style w:type="paragraph" w:styleId="18">
    <w:name w:val="annotation text"/>
    <w:basedOn w:val="1"/>
    <w:link w:val="72"/>
    <w:semiHidden/>
    <w:qFormat/>
    <w:uiPriority w:val="0"/>
    <w:pPr>
      <w:jc w:val="left"/>
    </w:pPr>
    <w:rPr>
      <w:kern w:val="0"/>
      <w:sz w:val="24"/>
      <w:szCs w:val="20"/>
    </w:rPr>
  </w:style>
  <w:style w:type="paragraph" w:styleId="19">
    <w:name w:val="Body Text"/>
    <w:basedOn w:val="1"/>
    <w:link w:val="73"/>
    <w:qFormat/>
    <w:uiPriority w:val="0"/>
    <w:pPr>
      <w:widowControl/>
      <w:snapToGrid w:val="0"/>
      <w:spacing w:before="60" w:after="160" w:line="259" w:lineRule="auto"/>
      <w:ind w:right="113"/>
    </w:pPr>
    <w:rPr>
      <w:kern w:val="0"/>
      <w:sz w:val="18"/>
      <w:szCs w:val="20"/>
    </w:rPr>
  </w:style>
  <w:style w:type="paragraph" w:styleId="20">
    <w:name w:val="Body Text Indent"/>
    <w:basedOn w:val="1"/>
    <w:next w:val="21"/>
    <w:link w:val="71"/>
    <w:qFormat/>
    <w:uiPriority w:val="0"/>
    <w:pPr>
      <w:spacing w:after="120"/>
      <w:ind w:left="420" w:leftChars="200"/>
    </w:pPr>
    <w:rPr>
      <w:kern w:val="0"/>
      <w:sz w:val="24"/>
      <w:szCs w:val="20"/>
    </w:rPr>
  </w:style>
  <w:style w:type="paragraph" w:styleId="21">
    <w:name w:val="Body Text Indent 2"/>
    <w:basedOn w:val="1"/>
    <w:next w:val="22"/>
    <w:qFormat/>
    <w:uiPriority w:val="0"/>
    <w:pPr>
      <w:spacing w:line="360" w:lineRule="auto"/>
      <w:ind w:firstLine="480" w:firstLineChars="200"/>
    </w:pPr>
    <w:rPr>
      <w:rFonts w:ascii="宋体" w:hAnsi="宋体"/>
      <w:kern w:val="0"/>
      <w:sz w:val="24"/>
    </w:rPr>
  </w:style>
  <w:style w:type="paragraph" w:styleId="22">
    <w:name w:val="Body Text First Indent 2"/>
    <w:basedOn w:val="20"/>
    <w:next w:val="1"/>
    <w:qFormat/>
    <w:uiPriority w:val="0"/>
    <w:pPr>
      <w:ind w:firstLine="420" w:firstLineChars="200"/>
    </w:pPr>
  </w:style>
  <w:style w:type="paragraph" w:styleId="23">
    <w:name w:val="Block Text"/>
    <w:basedOn w:val="1"/>
    <w:qFormat/>
    <w:uiPriority w:val="0"/>
    <w:pPr>
      <w:spacing w:after="120" w:afterLines="0" w:line="240" w:lineRule="auto"/>
      <w:ind w:left="1440" w:leftChars="700" w:right="1440" w:rightChars="700" w:firstLine="0" w:firstLineChars="0"/>
    </w:pPr>
    <w:rPr>
      <w:sz w:val="21"/>
      <w:szCs w:val="24"/>
    </w:rPr>
  </w:style>
  <w:style w:type="paragraph" w:styleId="24">
    <w:name w:val="Plain Text"/>
    <w:basedOn w:val="1"/>
    <w:qFormat/>
    <w:uiPriority w:val="0"/>
    <w:rPr>
      <w:rFonts w:ascii="宋体" w:hAnsi="Courier New"/>
    </w:rPr>
  </w:style>
  <w:style w:type="paragraph" w:styleId="25">
    <w:name w:val="toc 8"/>
    <w:basedOn w:val="1"/>
    <w:next w:val="1"/>
    <w:qFormat/>
    <w:uiPriority w:val="0"/>
    <w:pPr>
      <w:widowControl w:val="0"/>
      <w:ind w:left="1470"/>
    </w:pPr>
    <w:rPr>
      <w:rFonts w:ascii="Calibri" w:hAnsi="Calibri" w:eastAsiaTheme="minorEastAsia" w:cstheme="minorBidi"/>
      <w:kern w:val="2"/>
      <w:sz w:val="18"/>
      <w:szCs w:val="18"/>
      <w:lang w:val="en-US" w:eastAsia="zh-CN" w:bidi="ar-SA"/>
    </w:rPr>
  </w:style>
  <w:style w:type="paragraph" w:styleId="26">
    <w:name w:val="Date"/>
    <w:basedOn w:val="1"/>
    <w:next w:val="1"/>
    <w:link w:val="74"/>
    <w:qFormat/>
    <w:uiPriority w:val="0"/>
    <w:pPr>
      <w:ind w:left="100" w:leftChars="2500"/>
    </w:pPr>
    <w:rPr>
      <w:kern w:val="0"/>
      <w:sz w:val="24"/>
      <w:szCs w:val="20"/>
    </w:rPr>
  </w:style>
  <w:style w:type="paragraph" w:styleId="27">
    <w:name w:val="Balloon Text"/>
    <w:basedOn w:val="1"/>
    <w:link w:val="75"/>
    <w:semiHidden/>
    <w:qFormat/>
    <w:uiPriority w:val="0"/>
    <w:rPr>
      <w:kern w:val="0"/>
      <w:sz w:val="18"/>
      <w:szCs w:val="20"/>
    </w:rPr>
  </w:style>
  <w:style w:type="paragraph" w:styleId="28">
    <w:name w:val="footer"/>
    <w:basedOn w:val="1"/>
    <w:link w:val="76"/>
    <w:qFormat/>
    <w:uiPriority w:val="99"/>
    <w:pPr>
      <w:tabs>
        <w:tab w:val="center" w:pos="4153"/>
        <w:tab w:val="right" w:pos="8306"/>
      </w:tabs>
      <w:snapToGrid w:val="0"/>
      <w:jc w:val="left"/>
    </w:pPr>
    <w:rPr>
      <w:kern w:val="0"/>
      <w:sz w:val="18"/>
      <w:szCs w:val="20"/>
    </w:rPr>
  </w:style>
  <w:style w:type="paragraph" w:styleId="29">
    <w:name w:val="header"/>
    <w:basedOn w:val="1"/>
    <w:next w:val="28"/>
    <w:link w:val="62"/>
    <w:qFormat/>
    <w:uiPriority w:val="0"/>
    <w:pPr>
      <w:pBdr>
        <w:bottom w:val="single" w:color="auto" w:sz="6" w:space="1"/>
      </w:pBdr>
      <w:tabs>
        <w:tab w:val="center" w:pos="4153"/>
        <w:tab w:val="right" w:pos="8306"/>
      </w:tabs>
      <w:snapToGrid w:val="0"/>
      <w:jc w:val="center"/>
    </w:pPr>
    <w:rPr>
      <w:kern w:val="0"/>
      <w:sz w:val="18"/>
      <w:szCs w:val="20"/>
    </w:rPr>
  </w:style>
  <w:style w:type="paragraph" w:styleId="30">
    <w:name w:val="toc 1"/>
    <w:basedOn w:val="1"/>
    <w:next w:val="1"/>
    <w:qFormat/>
    <w:uiPriority w:val="39"/>
    <w:pPr>
      <w:tabs>
        <w:tab w:val="right" w:leader="dot" w:pos="8834"/>
      </w:tabs>
      <w:spacing w:line="500" w:lineRule="exact"/>
    </w:pPr>
  </w:style>
  <w:style w:type="paragraph" w:styleId="31">
    <w:name w:val="index heading"/>
    <w:basedOn w:val="1"/>
    <w:next w:val="32"/>
    <w:qFormat/>
    <w:uiPriority w:val="0"/>
  </w:style>
  <w:style w:type="paragraph" w:styleId="32">
    <w:name w:val="index 1"/>
    <w:basedOn w:val="1"/>
    <w:next w:val="1"/>
    <w:qFormat/>
    <w:uiPriority w:val="0"/>
    <w:pPr>
      <w:spacing w:line="320" w:lineRule="exact"/>
      <w:jc w:val="center"/>
    </w:pPr>
    <w:rPr>
      <w:color w:val="000000"/>
      <w:szCs w:val="21"/>
    </w:rPr>
  </w:style>
  <w:style w:type="paragraph" w:styleId="33">
    <w:name w:val="List 5"/>
    <w:basedOn w:val="1"/>
    <w:next w:val="34"/>
    <w:qFormat/>
    <w:uiPriority w:val="0"/>
    <w:pPr>
      <w:widowControl/>
      <w:autoSpaceDE/>
      <w:autoSpaceDN/>
      <w:spacing w:before="0" w:after="0" w:line="440" w:lineRule="exact"/>
      <w:ind w:left="100" w:hanging="200"/>
    </w:pPr>
    <w:rPr>
      <w:rFonts w:ascii="宋体" w:eastAsia="宋体"/>
      <w:sz w:val="24"/>
    </w:rPr>
  </w:style>
  <w:style w:type="paragraph" w:customStyle="1" w:styleId="34">
    <w:name w:val="大华农正文"/>
    <w:basedOn w:val="1"/>
    <w:next w:val="35"/>
    <w:qFormat/>
    <w:uiPriority w:val="0"/>
    <w:pPr>
      <w:widowControl w:val="0"/>
      <w:autoSpaceDE/>
      <w:autoSpaceDN/>
      <w:spacing w:before="0" w:after="0" w:line="360" w:lineRule="auto"/>
      <w:ind w:left="0" w:firstLine="200"/>
    </w:pPr>
    <w:rPr>
      <w:rFonts w:ascii="Times New Roman" w:eastAsia="宋体"/>
      <w:sz w:val="24"/>
    </w:rPr>
  </w:style>
  <w:style w:type="paragraph" w:customStyle="1" w:styleId="35">
    <w:name w:val="Char Char Char Char Char Char1 Char Char Char1 Char Char Char Char Char Char Char"/>
    <w:basedOn w:val="1"/>
    <w:next w:val="36"/>
    <w:qFormat/>
    <w:uiPriority w:val="0"/>
    <w:pPr>
      <w:autoSpaceDE/>
      <w:autoSpaceDN/>
      <w:spacing w:line="360" w:lineRule="auto"/>
      <w:ind w:firstLine="200"/>
    </w:pPr>
    <w:rPr>
      <w:rFonts w:ascii="宋体"/>
    </w:rPr>
  </w:style>
  <w:style w:type="paragraph" w:customStyle="1" w:styleId="36">
    <w:name w:val="标准"/>
    <w:basedOn w:val="1"/>
    <w:next w:val="37"/>
    <w:qFormat/>
    <w:uiPriority w:val="0"/>
    <w:pPr>
      <w:widowControl/>
      <w:autoSpaceDE/>
      <w:autoSpaceDN/>
      <w:spacing w:before="0" w:after="0" w:line="480" w:lineRule="exact"/>
      <w:ind w:left="0" w:firstLine="0"/>
    </w:pPr>
    <w:rPr>
      <w:rFonts w:ascii="宋体" w:eastAsia="宋体"/>
      <w:sz w:val="28"/>
    </w:rPr>
  </w:style>
  <w:style w:type="paragraph" w:customStyle="1" w:styleId="37">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38">
    <w:name w:val="Body Text Indent 3"/>
    <w:basedOn w:val="1"/>
    <w:qFormat/>
    <w:uiPriority w:val="0"/>
    <w:pPr>
      <w:spacing w:line="360" w:lineRule="auto"/>
      <w:ind w:firstLine="435"/>
    </w:pPr>
  </w:style>
  <w:style w:type="paragraph" w:styleId="39">
    <w:name w:val="table of figures"/>
    <w:basedOn w:val="1"/>
    <w:next w:val="1"/>
    <w:semiHidden/>
    <w:qFormat/>
    <w:uiPriority w:val="0"/>
    <w:pPr>
      <w:ind w:leftChars="200" w:hanging="200" w:hangingChars="200"/>
    </w:pPr>
  </w:style>
  <w:style w:type="paragraph" w:styleId="40">
    <w:name w:val="toc 2"/>
    <w:basedOn w:val="1"/>
    <w:next w:val="9"/>
    <w:unhideWhenUsed/>
    <w:qFormat/>
    <w:uiPriority w:val="39"/>
    <w:pPr>
      <w:ind w:left="240"/>
    </w:pPr>
    <w:rPr>
      <w:rFonts w:ascii="Calibri" w:hAnsi="Calibri"/>
      <w:smallCaps/>
      <w:sz w:val="20"/>
      <w:szCs w:val="20"/>
    </w:rPr>
  </w:style>
  <w:style w:type="paragraph" w:styleId="41">
    <w:name w:val="Body Text 2"/>
    <w:basedOn w:val="1"/>
    <w:qFormat/>
    <w:uiPriority w:val="0"/>
    <w:pPr>
      <w:spacing w:after="120" w:afterLines="0" w:line="480" w:lineRule="auto"/>
    </w:pPr>
    <w:rPr>
      <w:rFonts w:eastAsia="仿宋_GB2312"/>
    </w:rPr>
  </w:style>
  <w:style w:type="paragraph" w:styleId="42">
    <w:name w:val="Normal (Web)"/>
    <w:basedOn w:val="1"/>
    <w:next w:val="25"/>
    <w:link w:val="77"/>
    <w:qFormat/>
    <w:uiPriority w:val="0"/>
    <w:pPr>
      <w:widowControl/>
      <w:spacing w:before="100" w:beforeAutospacing="1" w:after="100" w:afterAutospacing="1"/>
      <w:jc w:val="left"/>
    </w:pPr>
    <w:rPr>
      <w:rFonts w:ascii="宋体" w:hAnsi="宋体"/>
      <w:kern w:val="0"/>
      <w:sz w:val="24"/>
      <w:szCs w:val="20"/>
    </w:rPr>
  </w:style>
  <w:style w:type="paragraph" w:styleId="43">
    <w:name w:val="Title"/>
    <w:basedOn w:val="1"/>
    <w:next w:val="1"/>
    <w:qFormat/>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44">
    <w:name w:val="annotation subject"/>
    <w:basedOn w:val="18"/>
    <w:next w:val="18"/>
    <w:link w:val="78"/>
    <w:semiHidden/>
    <w:qFormat/>
    <w:uiPriority w:val="0"/>
    <w:rPr>
      <w:b/>
      <w:sz w:val="24"/>
      <w:szCs w:val="20"/>
    </w:rPr>
  </w:style>
  <w:style w:type="paragraph" w:styleId="45">
    <w:name w:val="Body Text First Indent"/>
    <w:basedOn w:val="1"/>
    <w:qFormat/>
    <w:uiPriority w:val="0"/>
    <w:pPr>
      <w:ind w:firstLine="420" w:firstLineChars="100"/>
    </w:pPr>
    <w:rPr>
      <w:rFonts w:ascii="Calibri" w:hAnsi="Calibri" w:eastAsia="宋体" w:cs="Times New Roman"/>
    </w:rPr>
  </w:style>
  <w:style w:type="table" w:styleId="47">
    <w:name w:val="Table Grid"/>
    <w:basedOn w:val="4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0"/>
    <w:rPr>
      <w:b/>
    </w:rPr>
  </w:style>
  <w:style w:type="character" w:styleId="50">
    <w:name w:val="page number"/>
    <w:basedOn w:val="48"/>
    <w:qFormat/>
    <w:uiPriority w:val="0"/>
  </w:style>
  <w:style w:type="character" w:styleId="51">
    <w:name w:val="Emphasis"/>
    <w:basedOn w:val="48"/>
    <w:qFormat/>
    <w:uiPriority w:val="0"/>
    <w:rPr>
      <w:i/>
    </w:rPr>
  </w:style>
  <w:style w:type="character" w:styleId="52">
    <w:name w:val="Hyperlink"/>
    <w:qFormat/>
    <w:uiPriority w:val="99"/>
    <w:rPr>
      <w:color w:val="434242"/>
      <w:u w:val="none"/>
    </w:rPr>
  </w:style>
  <w:style w:type="character" w:styleId="53">
    <w:name w:val="annotation reference"/>
    <w:semiHidden/>
    <w:qFormat/>
    <w:uiPriority w:val="0"/>
    <w:rPr>
      <w:sz w:val="21"/>
    </w:rPr>
  </w:style>
  <w:style w:type="paragraph" w:customStyle="1" w:styleId="54">
    <w:name w:val="样式 正文文本缩进 + 行距: 1.5 倍行距"/>
    <w:qFormat/>
    <w:uiPriority w:val="0"/>
    <w:pPr>
      <w:widowControl w:val="0"/>
      <w:spacing w:after="120"/>
      <w:ind w:left="90" w:leftChars="32" w:firstLine="560" w:firstLineChars="200"/>
      <w:jc w:val="both"/>
    </w:pPr>
    <w:rPr>
      <w:rFonts w:ascii="Times New Roman" w:hAnsi="Times New Roman" w:eastAsia="宋体" w:cs="宋体"/>
      <w:kern w:val="2"/>
      <w:sz w:val="21"/>
      <w:szCs w:val="24"/>
      <w:lang w:val="en-US" w:eastAsia="zh-CN" w:bidi="ar-SA"/>
    </w:rPr>
  </w:style>
  <w:style w:type="paragraph" w:customStyle="1" w:styleId="55">
    <w:name w:val="报告正文"/>
    <w:basedOn w:val="1"/>
    <w:qFormat/>
    <w:uiPriority w:val="99"/>
    <w:pPr>
      <w:spacing w:line="360" w:lineRule="auto"/>
      <w:ind w:firstLine="200" w:firstLineChars="200"/>
    </w:pPr>
    <w:rPr>
      <w:color w:val="000000"/>
      <w:kern w:val="0"/>
      <w:sz w:val="24"/>
      <w:szCs w:val="20"/>
    </w:rPr>
  </w:style>
  <w:style w:type="paragraph" w:customStyle="1" w:styleId="56">
    <w:name w:val="Default"/>
    <w:basedOn w:val="57"/>
    <w:next w:val="58"/>
    <w:qFormat/>
    <w:uiPriority w:val="0"/>
    <w:pPr>
      <w:widowControl w:val="0"/>
      <w:autoSpaceDE w:val="0"/>
      <w:autoSpaceDN w:val="0"/>
      <w:adjustRightInd w:val="0"/>
    </w:pPr>
    <w:rPr>
      <w:color w:val="000000"/>
      <w:sz w:val="24"/>
      <w:szCs w:val="24"/>
      <w:lang w:val="en-US" w:eastAsia="zh-CN" w:bidi="ar-SA"/>
    </w:rPr>
  </w:style>
  <w:style w:type="paragraph" w:customStyle="1" w:styleId="57">
    <w:name w:val="纯文本1"/>
    <w:basedOn w:val="1"/>
    <w:qFormat/>
    <w:uiPriority w:val="0"/>
    <w:pPr>
      <w:adjustRightInd w:val="0"/>
    </w:pPr>
    <w:rPr>
      <w:rFonts w:ascii="宋体" w:hAnsi="Courier New"/>
      <w:szCs w:val="20"/>
    </w:rPr>
  </w:style>
  <w:style w:type="paragraph" w:customStyle="1" w:styleId="58">
    <w:name w:val="样式35"/>
    <w:basedOn w:val="59"/>
    <w:next w:val="60"/>
    <w:qFormat/>
    <w:uiPriority w:val="0"/>
    <w:pPr>
      <w:widowControl w:val="0"/>
      <w:tabs>
        <w:tab w:val="left" w:pos="572"/>
        <w:tab w:val="left" w:pos="1982"/>
      </w:tabs>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9">
    <w:name w:val="样式 正文编号（1） + Char"/>
    <w:basedOn w:val="1"/>
    <w:semiHidden/>
    <w:qFormat/>
    <w:uiPriority w:val="0"/>
    <w:pPr>
      <w:widowControl/>
      <w:tabs>
        <w:tab w:val="left" w:pos="572"/>
        <w:tab w:val="left" w:pos="1982"/>
      </w:tabs>
      <w:spacing w:line="520" w:lineRule="exact"/>
      <w:ind w:left="808" w:firstLine="454" w:firstLineChars="200"/>
      <w:textAlignment w:val="baseline"/>
    </w:pPr>
    <w:rPr>
      <w:rFonts w:ascii="Times New Roman" w:hAnsi="Times New Roman" w:cs="Times New Roman"/>
      <w:color w:val="000000"/>
      <w:kern w:val="0"/>
      <w:sz w:val="28"/>
      <w:szCs w:val="20"/>
      <w:u w:color="000000"/>
    </w:rPr>
  </w:style>
  <w:style w:type="paragraph" w:customStyle="1" w:styleId="60">
    <w:name w:val="font6"/>
    <w:next w:val="40"/>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61">
    <w:name w:val="表格内容（冰）"/>
    <w:basedOn w:val="1"/>
    <w:qFormat/>
    <w:uiPriority w:val="0"/>
    <w:pPr>
      <w:adjustRightInd w:val="0"/>
      <w:snapToGrid w:val="0"/>
      <w:jc w:val="center"/>
    </w:pPr>
    <w:rPr>
      <w:rFonts w:ascii="Times New Roman" w:hAnsi="Times New Roman"/>
      <w:szCs w:val="21"/>
    </w:rPr>
  </w:style>
  <w:style w:type="character" w:customStyle="1" w:styleId="62">
    <w:name w:val="页眉 Char"/>
    <w:link w:val="29"/>
    <w:qFormat/>
    <w:uiPriority w:val="0"/>
    <w:rPr>
      <w:sz w:val="18"/>
    </w:rPr>
  </w:style>
  <w:style w:type="paragraph" w:customStyle="1" w:styleId="63">
    <w:name w:val="文本"/>
    <w:basedOn w:val="1"/>
    <w:next w:val="1"/>
    <w:qFormat/>
    <w:uiPriority w:val="0"/>
    <w:pPr>
      <w:autoSpaceDE w:val="0"/>
      <w:autoSpaceDN w:val="0"/>
      <w:ind w:firstLine="480"/>
    </w:pPr>
    <w:rPr>
      <w:lang w:val="zh-CN"/>
    </w:rPr>
  </w:style>
  <w:style w:type="paragraph" w:customStyle="1" w:styleId="64">
    <w:name w:val="样式1"/>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Times New Roman"/>
      <w:kern w:val="2"/>
      <w:sz w:val="24"/>
      <w:szCs w:val="20"/>
      <w:lang w:val="en-US" w:eastAsia="zh-CN" w:bidi="ar"/>
    </w:rPr>
  </w:style>
  <w:style w:type="paragraph" w:customStyle="1" w:styleId="65">
    <w:name w:val="样式 标题 2 + 宋体"/>
    <w:basedOn w:val="66"/>
    <w:qFormat/>
    <w:uiPriority w:val="0"/>
    <w:pPr>
      <w:spacing w:line="240" w:lineRule="auto"/>
    </w:pPr>
    <w:rPr>
      <w:rFonts w:ascii="宋体" w:hAnsi="宋体" w:eastAsia="宋体"/>
      <w:sz w:val="30"/>
    </w:rPr>
  </w:style>
  <w:style w:type="paragraph" w:customStyle="1" w:styleId="66">
    <w:name w:val="！正文"/>
    <w:basedOn w:val="1"/>
    <w:qFormat/>
    <w:uiPriority w:val="0"/>
    <w:pPr>
      <w:ind w:firstLine="480"/>
    </w:pPr>
    <w:rPr>
      <w:rFonts w:ascii="華康細圓體" w:hAnsi="華康細圓體" w:cs="Times New Roman"/>
      <w:szCs w:val="20"/>
    </w:rPr>
  </w:style>
  <w:style w:type="paragraph" w:customStyle="1" w:styleId="67">
    <w:name w:val="Default1"/>
    <w:basedOn w:val="68"/>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8">
    <w:name w:val="表格文字01"/>
    <w:basedOn w:val="1"/>
    <w:qFormat/>
    <w:uiPriority w:val="0"/>
    <w:pPr>
      <w:wordWrap w:val="0"/>
      <w:overflowPunct w:val="0"/>
      <w:topLinePunct/>
      <w:jc w:val="center"/>
    </w:pPr>
    <w:rPr>
      <w:rFonts w:ascii="Arial" w:hAnsi="Arial"/>
      <w:snapToGrid w:val="0"/>
      <w:color w:val="000000"/>
      <w:szCs w:val="20"/>
    </w:rPr>
  </w:style>
  <w:style w:type="paragraph" w:customStyle="1" w:styleId="69">
    <w:name w:val="正文样式1"/>
    <w:basedOn w:val="1"/>
    <w:next w:val="1"/>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70">
    <w:name w:val="正本正文"/>
    <w:basedOn w:val="1"/>
    <w:qFormat/>
    <w:uiPriority w:val="0"/>
    <w:pPr>
      <w:spacing w:line="360" w:lineRule="auto"/>
      <w:ind w:firstLine="720" w:firstLineChars="200"/>
    </w:pPr>
    <w:rPr>
      <w:rFonts w:ascii="Times New Roman" w:hAnsi="Times New Roman" w:eastAsia="宋体"/>
      <w:sz w:val="24"/>
    </w:rPr>
  </w:style>
  <w:style w:type="character" w:customStyle="1" w:styleId="71">
    <w:name w:val="正文文本缩进 Char"/>
    <w:link w:val="20"/>
    <w:semiHidden/>
    <w:qFormat/>
    <w:uiPriority w:val="0"/>
    <w:rPr>
      <w:rFonts w:ascii="Times New Roman" w:hAnsi="Times New Roman" w:eastAsia="宋体"/>
      <w:sz w:val="24"/>
    </w:rPr>
  </w:style>
  <w:style w:type="character" w:customStyle="1" w:styleId="72">
    <w:name w:val="批注文字 Char"/>
    <w:link w:val="18"/>
    <w:qFormat/>
    <w:uiPriority w:val="0"/>
    <w:rPr>
      <w:rFonts w:ascii="Times New Roman" w:hAnsi="Times New Roman" w:eastAsia="宋体"/>
      <w:sz w:val="24"/>
    </w:rPr>
  </w:style>
  <w:style w:type="character" w:customStyle="1" w:styleId="73">
    <w:name w:val="正文文本 Char"/>
    <w:link w:val="19"/>
    <w:qFormat/>
    <w:uiPriority w:val="0"/>
    <w:rPr>
      <w:sz w:val="18"/>
    </w:rPr>
  </w:style>
  <w:style w:type="character" w:customStyle="1" w:styleId="74">
    <w:name w:val="日期 Char"/>
    <w:link w:val="26"/>
    <w:qFormat/>
    <w:uiPriority w:val="0"/>
    <w:rPr>
      <w:rFonts w:ascii="Times New Roman" w:hAnsi="Times New Roman" w:eastAsia="宋体"/>
      <w:sz w:val="24"/>
    </w:rPr>
  </w:style>
  <w:style w:type="character" w:customStyle="1" w:styleId="75">
    <w:name w:val="批注框文本 Char"/>
    <w:link w:val="27"/>
    <w:semiHidden/>
    <w:qFormat/>
    <w:uiPriority w:val="0"/>
    <w:rPr>
      <w:rFonts w:ascii="Times New Roman" w:hAnsi="Times New Roman" w:eastAsia="宋体"/>
      <w:sz w:val="18"/>
    </w:rPr>
  </w:style>
  <w:style w:type="character" w:customStyle="1" w:styleId="76">
    <w:name w:val="页脚 Char"/>
    <w:link w:val="28"/>
    <w:qFormat/>
    <w:uiPriority w:val="99"/>
    <w:rPr>
      <w:sz w:val="18"/>
    </w:rPr>
  </w:style>
  <w:style w:type="character" w:customStyle="1" w:styleId="77">
    <w:name w:val="普通(网站) Char"/>
    <w:link w:val="42"/>
    <w:qFormat/>
    <w:uiPriority w:val="0"/>
    <w:rPr>
      <w:rFonts w:ascii="宋体" w:hAnsi="宋体" w:eastAsia="宋体"/>
      <w:sz w:val="24"/>
    </w:rPr>
  </w:style>
  <w:style w:type="character" w:customStyle="1" w:styleId="78">
    <w:name w:val="批注主题 Char"/>
    <w:link w:val="44"/>
    <w:semiHidden/>
    <w:qFormat/>
    <w:uiPriority w:val="0"/>
    <w:rPr>
      <w:rFonts w:ascii="Times New Roman" w:hAnsi="Times New Roman" w:eastAsia="宋体"/>
      <w:b/>
      <w:kern w:val="2"/>
      <w:sz w:val="24"/>
    </w:rPr>
  </w:style>
  <w:style w:type="character" w:customStyle="1" w:styleId="79">
    <w:name w:val="日期 字符"/>
    <w:semiHidden/>
    <w:qFormat/>
    <w:uiPriority w:val="0"/>
    <w:rPr>
      <w:rFonts w:ascii="Times New Roman" w:hAnsi="Times New Roman" w:eastAsia="宋体"/>
      <w:sz w:val="24"/>
    </w:rPr>
  </w:style>
  <w:style w:type="character" w:customStyle="1" w:styleId="80">
    <w:name w:val="font41"/>
    <w:basedOn w:val="48"/>
    <w:qFormat/>
    <w:uiPriority w:val="0"/>
    <w:rPr>
      <w:rFonts w:hint="eastAsia" w:ascii="宋体" w:hAnsi="宋体" w:eastAsia="宋体" w:cs="宋体"/>
      <w:color w:val="000000"/>
      <w:sz w:val="21"/>
      <w:szCs w:val="21"/>
      <w:u w:val="none"/>
    </w:rPr>
  </w:style>
  <w:style w:type="character" w:customStyle="1" w:styleId="81">
    <w:name w:val="表格 Char"/>
    <w:link w:val="82"/>
    <w:qFormat/>
    <w:uiPriority w:val="0"/>
    <w:rPr>
      <w:rFonts w:ascii="宋体"/>
      <w:sz w:val="21"/>
    </w:rPr>
  </w:style>
  <w:style w:type="paragraph" w:customStyle="1" w:styleId="82">
    <w:name w:val="表格"/>
    <w:basedOn w:val="16"/>
    <w:next w:val="1"/>
    <w:link w:val="81"/>
    <w:qFormat/>
    <w:uiPriority w:val="0"/>
    <w:pPr>
      <w:adjustRightInd w:val="0"/>
      <w:snapToGrid w:val="0"/>
      <w:spacing w:beforeLines="10" w:afterLines="10" w:line="259" w:lineRule="auto"/>
      <w:jc w:val="center"/>
    </w:pPr>
    <w:rPr>
      <w:rFonts w:ascii="宋体"/>
      <w:kern w:val="0"/>
      <w:szCs w:val="20"/>
    </w:rPr>
  </w:style>
  <w:style w:type="character" w:customStyle="1" w:styleId="83">
    <w:name w:val="NormalCharacter"/>
    <w:semiHidden/>
    <w:qFormat/>
    <w:uiPriority w:val="0"/>
  </w:style>
  <w:style w:type="character" w:customStyle="1" w:styleId="84">
    <w:name w:val="页脚 字符"/>
    <w:basedOn w:val="48"/>
    <w:qFormat/>
    <w:uiPriority w:val="99"/>
  </w:style>
  <w:style w:type="character" w:customStyle="1" w:styleId="85">
    <w:name w:val="表格标题_"/>
    <w:link w:val="86"/>
    <w:qFormat/>
    <w:uiPriority w:val="0"/>
    <w:rPr>
      <w:rFonts w:ascii="Times New Roman" w:hAnsi="Times New Roman"/>
      <w:b/>
      <w:kern w:val="2"/>
      <w:sz w:val="24"/>
      <w:szCs w:val="24"/>
      <w:lang w:val="en-US" w:eastAsia="zh-CN" w:bidi="ar-SA"/>
    </w:rPr>
  </w:style>
  <w:style w:type="paragraph" w:customStyle="1" w:styleId="86">
    <w:name w:val="表格标题"/>
    <w:basedOn w:val="17"/>
    <w:link w:val="85"/>
    <w:qFormat/>
    <w:uiPriority w:val="99"/>
    <w:pPr>
      <w:spacing w:before="156" w:beforeLines="50"/>
      <w:jc w:val="center"/>
    </w:pPr>
    <w:rPr>
      <w:rFonts w:ascii="Times New Roman" w:hAnsi="Times New Roman"/>
      <w:b/>
      <w:kern w:val="2"/>
      <w:sz w:val="24"/>
      <w:szCs w:val="24"/>
      <w:lang w:val="en-US" w:eastAsia="zh-CN" w:bidi="ar-SA"/>
    </w:rPr>
  </w:style>
  <w:style w:type="paragraph" w:customStyle="1" w:styleId="87">
    <w:name w:val="表格内容"/>
    <w:basedOn w:val="1"/>
    <w:qFormat/>
    <w:uiPriority w:val="0"/>
    <w:pPr>
      <w:widowControl/>
      <w:spacing w:line="240" w:lineRule="auto"/>
      <w:ind w:firstLine="0" w:firstLineChars="0"/>
      <w:jc w:val="center"/>
    </w:pPr>
    <w:rPr>
      <w:bCs/>
      <w:kern w:val="0"/>
      <w:sz w:val="21"/>
      <w:szCs w:val="28"/>
    </w:rPr>
  </w:style>
  <w:style w:type="character" w:customStyle="1" w:styleId="88">
    <w:name w:val="样式 (符号) 宋体 小四"/>
    <w:qFormat/>
    <w:uiPriority w:val="0"/>
    <w:rPr>
      <w:rFonts w:ascii="Times New Roman" w:hAnsi="Times New Roman"/>
      <w:sz w:val="24"/>
    </w:rPr>
  </w:style>
  <w:style w:type="character" w:customStyle="1" w:styleId="89">
    <w:name w:val="正文文本 字符1"/>
    <w:semiHidden/>
    <w:qFormat/>
    <w:uiPriority w:val="0"/>
    <w:rPr>
      <w:rFonts w:ascii="Times New Roman" w:hAnsi="Times New Roman" w:eastAsia="宋体"/>
      <w:sz w:val="24"/>
    </w:rPr>
  </w:style>
  <w:style w:type="character" w:customStyle="1" w:styleId="90">
    <w:name w:val="批注文字 字符1"/>
    <w:semiHidden/>
    <w:qFormat/>
    <w:uiPriority w:val="0"/>
    <w:rPr>
      <w:rFonts w:ascii="Times New Roman" w:hAnsi="Times New Roman" w:eastAsia="宋体"/>
      <w:sz w:val="24"/>
    </w:rPr>
  </w:style>
  <w:style w:type="paragraph" w:customStyle="1" w:styleId="91">
    <w:name w:val="正文 首行缩进:  2 字符"/>
    <w:basedOn w:val="1"/>
    <w:qFormat/>
    <w:uiPriority w:val="0"/>
    <w:pPr>
      <w:ind w:firstLine="1040" w:firstLineChars="200"/>
    </w:pPr>
    <w:rPr>
      <w:rFonts w:cs="宋体"/>
      <w:szCs w:val="20"/>
    </w:rPr>
  </w:style>
  <w:style w:type="paragraph" w:customStyle="1" w:styleId="9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3">
    <w:name w:val="报告书"/>
    <w:basedOn w:val="1"/>
    <w:qFormat/>
    <w:uiPriority w:val="0"/>
    <w:pPr>
      <w:adjustRightInd w:val="0"/>
      <w:snapToGrid w:val="0"/>
      <w:spacing w:line="440" w:lineRule="atLeast"/>
      <w:ind w:firstLine="482"/>
      <w:textAlignment w:val="baseline"/>
    </w:pPr>
    <w:rPr>
      <w:rFonts w:ascii="宋体"/>
      <w:kern w:val="24"/>
      <w:sz w:val="24"/>
    </w:rPr>
  </w:style>
  <w:style w:type="paragraph" w:customStyle="1" w:styleId="94">
    <w:name w:val="文章正文样式"/>
    <w:basedOn w:val="1"/>
    <w:qFormat/>
    <w:uiPriority w:val="0"/>
    <w:pPr>
      <w:spacing w:line="520" w:lineRule="exact"/>
      <w:ind w:firstLine="480" w:firstLineChars="200"/>
      <w:jc w:val="left"/>
    </w:pPr>
    <w:rPr>
      <w:rFonts w:ascii="宋体" w:hAnsi="宋体"/>
      <w:sz w:val="24"/>
    </w:rPr>
  </w:style>
  <w:style w:type="paragraph" w:customStyle="1" w:styleId="95">
    <w:name w:val="正文文字 6"/>
    <w:basedOn w:val="96"/>
    <w:next w:val="1"/>
    <w:qFormat/>
    <w:uiPriority w:val="0"/>
    <w:pPr>
      <w:widowControl w:val="0"/>
      <w:ind w:left="240"/>
      <w:jc w:val="both"/>
    </w:pPr>
    <w:rPr>
      <w:rFonts w:ascii="宋体" w:hAnsi="Times New Roman" w:cs="Times New Roman"/>
      <w:bCs/>
      <w:sz w:val="32"/>
      <w:szCs w:val="32"/>
    </w:rPr>
  </w:style>
  <w:style w:type="paragraph" w:customStyle="1" w:styleId="96">
    <w:name w:val="TT标题"/>
    <w:basedOn w:val="1"/>
    <w:qFormat/>
    <w:uiPriority w:val="0"/>
    <w:pPr>
      <w:jc w:val="center"/>
    </w:pPr>
    <w:rPr>
      <w:rFonts w:cs="宋体"/>
      <w:b/>
      <w:szCs w:val="20"/>
    </w:rPr>
  </w:style>
  <w:style w:type="paragraph" w:customStyle="1" w:styleId="97">
    <w:name w:val="正文(首行缩进)"/>
    <w:basedOn w:val="1"/>
    <w:qFormat/>
    <w:uiPriority w:val="0"/>
    <w:pPr>
      <w:adjustRightInd w:val="0"/>
      <w:snapToGrid w:val="0"/>
      <w:spacing w:line="360" w:lineRule="auto"/>
      <w:ind w:firstLine="200" w:firstLineChars="200"/>
    </w:pPr>
    <w:rPr>
      <w:snapToGrid w:val="0"/>
      <w:kern w:val="0"/>
      <w:sz w:val="24"/>
      <w:szCs w:val="24"/>
    </w:rPr>
  </w:style>
  <w:style w:type="paragraph" w:customStyle="1" w:styleId="98">
    <w:name w:val="表格中文字"/>
    <w:basedOn w:val="1"/>
    <w:qFormat/>
    <w:uiPriority w:val="0"/>
    <w:pPr>
      <w:widowControl/>
      <w:adjustRightInd w:val="0"/>
      <w:snapToGrid w:val="0"/>
      <w:spacing w:line="360" w:lineRule="atLeast"/>
      <w:jc w:val="center"/>
      <w:textAlignment w:val="baseline"/>
    </w:pPr>
    <w:rPr>
      <w:rFonts w:ascii="Times New Roman" w:hAnsi="Times New Roman" w:eastAsia="宋体" w:cs="Calibri"/>
      <w:kern w:val="18"/>
      <w:szCs w:val="24"/>
    </w:rPr>
  </w:style>
  <w:style w:type="paragraph" w:customStyle="1" w:styleId="99">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100">
    <w:name w:val="第二号标题"/>
    <w:basedOn w:val="1"/>
    <w:qFormat/>
    <w:uiPriority w:val="0"/>
    <w:pPr>
      <w:spacing w:beforeLines="50" w:afterLines="50" w:line="520" w:lineRule="exact"/>
      <w:ind w:firstLine="510"/>
      <w:jc w:val="left"/>
      <w:outlineLvl w:val="1"/>
    </w:pPr>
    <w:rPr>
      <w:rFonts w:ascii="宋体" w:hAnsi="宋体"/>
      <w:b/>
      <w:bCs/>
      <w:szCs w:val="24"/>
    </w:rPr>
  </w:style>
  <w:style w:type="paragraph" w:customStyle="1" w:styleId="101">
    <w:name w:val="表头"/>
    <w:basedOn w:val="1"/>
    <w:next w:val="1"/>
    <w:qFormat/>
    <w:uiPriority w:val="0"/>
    <w:pPr>
      <w:adjustRightInd w:val="0"/>
      <w:spacing w:before="312" w:beforeLines="100" w:beforeAutospacing="0" w:line="500" w:lineRule="exact"/>
      <w:jc w:val="center"/>
    </w:pPr>
    <w:rPr>
      <w:rFonts w:eastAsia="黑体"/>
    </w:rPr>
  </w:style>
  <w:style w:type="paragraph" w:customStyle="1" w:styleId="102">
    <w:name w:val="中文报告书样式"/>
    <w:basedOn w:val="1"/>
    <w:qFormat/>
    <w:uiPriority w:val="0"/>
    <w:pPr>
      <w:adjustRightInd w:val="0"/>
      <w:spacing w:line="420" w:lineRule="atLeast"/>
      <w:textAlignment w:val="baseline"/>
    </w:pPr>
    <w:rPr>
      <w:kern w:val="24"/>
      <w:sz w:val="24"/>
    </w:rPr>
  </w:style>
  <w:style w:type="paragraph" w:customStyle="1" w:styleId="103">
    <w:name w:val="a封面－项目名称"/>
    <w:basedOn w:val="1"/>
    <w:next w:val="1"/>
    <w:qFormat/>
    <w:uiPriority w:val="0"/>
    <w:pPr>
      <w:spacing w:before="120" w:beforeLines="50" w:after="120" w:afterLines="50" w:line="360" w:lineRule="auto"/>
      <w:jc w:val="center"/>
    </w:pPr>
    <w:rPr>
      <w:rFonts w:eastAsia="黑体"/>
      <w:b/>
      <w:sz w:val="48"/>
    </w:rPr>
  </w:style>
  <w:style w:type="paragraph" w:customStyle="1" w:styleId="104">
    <w:name w:val="Body text|1"/>
    <w:basedOn w:val="1"/>
    <w:qFormat/>
    <w:uiPriority w:val="0"/>
    <w:pPr>
      <w:widowControl w:val="0"/>
      <w:shd w:val="clear" w:color="auto" w:fill="auto"/>
      <w:spacing w:line="420" w:lineRule="auto"/>
      <w:ind w:firstLine="400"/>
    </w:pPr>
    <w:rPr>
      <w:rFonts w:ascii="宋体" w:hAnsi="宋体" w:eastAsia="宋体" w:cs="宋体"/>
      <w:u w:val="none"/>
      <w:shd w:val="clear" w:color="auto" w:fill="auto"/>
      <w:lang w:val="zh-TW" w:eastAsia="zh-TW" w:bidi="zh-TW"/>
    </w:rPr>
  </w:style>
  <w:style w:type="paragraph" w:customStyle="1" w:styleId="105">
    <w:name w:val="正文标准样式"/>
    <w:basedOn w:val="1"/>
    <w:qFormat/>
    <w:uiPriority w:val="0"/>
    <w:pPr>
      <w:adjustRightInd w:val="0"/>
      <w:spacing w:line="300" w:lineRule="auto"/>
      <w:ind w:firstLine="482"/>
    </w:pPr>
    <w:rPr>
      <w:kern w:val="0"/>
      <w:sz w:val="24"/>
    </w:rPr>
  </w:style>
  <w:style w:type="paragraph" w:customStyle="1" w:styleId="106">
    <w:name w:val="_Style 2"/>
    <w:basedOn w:val="1"/>
    <w:qFormat/>
    <w:uiPriority w:val="34"/>
    <w:pPr>
      <w:ind w:firstLine="420" w:firstLineChars="200"/>
    </w:pPr>
  </w:style>
  <w:style w:type="paragraph" w:customStyle="1" w:styleId="107">
    <w:name w:val="引用1"/>
    <w:basedOn w:val="1"/>
    <w:next w:val="1"/>
    <w:qFormat/>
    <w:uiPriority w:val="0"/>
    <w:pPr>
      <w:spacing w:line="360" w:lineRule="exact"/>
      <w:jc w:val="center"/>
    </w:pPr>
    <w:rPr>
      <w:iCs/>
      <w:color w:val="000000"/>
      <w:spacing w:val="-2"/>
      <w:kern w:val="0"/>
      <w:sz w:val="21"/>
      <w:szCs w:val="21"/>
    </w:rPr>
  </w:style>
  <w:style w:type="paragraph" w:customStyle="1" w:styleId="108">
    <w:name w:val="正文二级"/>
    <w:basedOn w:val="1"/>
    <w:qFormat/>
    <w:uiPriority w:val="0"/>
    <w:pPr>
      <w:ind w:firstLine="0" w:firstLineChars="0"/>
    </w:pPr>
    <w:rPr>
      <w:rFonts w:eastAsia="宋体"/>
      <w:b/>
      <w:kern w:val="2"/>
      <w:sz w:val="28"/>
    </w:rPr>
  </w:style>
  <w:style w:type="paragraph" w:customStyle="1" w:styleId="10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10">
    <w:name w:val="Char Char Char Char"/>
    <w:basedOn w:val="1"/>
    <w:next w:val="111"/>
    <w:qFormat/>
    <w:uiPriority w:val="0"/>
    <w:pPr>
      <w:spacing w:line="360" w:lineRule="auto"/>
      <w:ind w:firstLine="200" w:firstLineChars="200"/>
    </w:pPr>
    <w:rPr>
      <w:sz w:val="28"/>
      <w:szCs w:val="20"/>
    </w:rPr>
  </w:style>
  <w:style w:type="paragraph" w:customStyle="1" w:styleId="111">
    <w:name w:val="正文 New New New New New New New New New New New New New New New New New New New New New New New New New"/>
    <w:next w:val="112"/>
    <w:qFormat/>
    <w:uiPriority w:val="0"/>
    <w:pPr>
      <w:widowControl w:val="0"/>
      <w:jc w:val="both"/>
    </w:pPr>
    <w:rPr>
      <w:rFonts w:ascii="Times New Roman" w:hAnsi="Times New Roman" w:eastAsia="宋体" w:cs="Times New Roman"/>
      <w:sz w:val="21"/>
      <w:lang w:val="en-US" w:eastAsia="zh-CN" w:bidi="ar-SA"/>
    </w:rPr>
  </w:style>
  <w:style w:type="paragraph" w:customStyle="1" w:styleId="112">
    <w:name w:val="xl48"/>
    <w:basedOn w:val="1"/>
    <w:next w:val="113"/>
    <w:qFormat/>
    <w:uiPriority w:val="0"/>
    <w:pPr>
      <w:widowControl/>
      <w:autoSpaceDE/>
      <w:autoSpaceDN/>
      <w:spacing w:before="280" w:after="280" w:line="360" w:lineRule="auto"/>
      <w:ind w:left="0" w:firstLine="0"/>
    </w:pPr>
    <w:rPr>
      <w:rFonts w:ascii="宋体" w:eastAsia="宋体"/>
      <w:sz w:val="24"/>
    </w:rPr>
  </w:style>
  <w:style w:type="paragraph" w:customStyle="1" w:styleId="113">
    <w:name w:val="我的标题2"/>
    <w:basedOn w:val="1"/>
    <w:next w:val="33"/>
    <w:qFormat/>
    <w:uiPriority w:val="0"/>
    <w:pPr>
      <w:widowControl w:val="0"/>
      <w:autoSpaceDE/>
      <w:autoSpaceDN/>
      <w:spacing w:before="0" w:after="0" w:line="300" w:lineRule="exact"/>
      <w:ind w:left="0" w:firstLine="23"/>
    </w:pPr>
    <w:rPr>
      <w:rFonts w:ascii="Times New Roman" w:eastAsia="宋体"/>
      <w:sz w:val="18"/>
    </w:rPr>
  </w:style>
  <w:style w:type="paragraph" w:customStyle="1" w:styleId="114">
    <w:name w:val="图标题"/>
    <w:basedOn w:val="115"/>
    <w:next w:val="115"/>
    <w:qFormat/>
    <w:uiPriority w:val="0"/>
    <w:pPr>
      <w:tabs>
        <w:tab w:val="left" w:pos="0"/>
      </w:tabs>
      <w:spacing w:line="240" w:lineRule="auto"/>
      <w:ind w:firstLine="0" w:firstLineChars="0"/>
      <w:jc w:val="center"/>
    </w:pPr>
    <w:rPr>
      <w:b/>
      <w:sz w:val="21"/>
    </w:rPr>
  </w:style>
  <w:style w:type="paragraph" w:customStyle="1" w:styleId="115">
    <w:name w:val="报告书正文"/>
    <w:basedOn w:val="1"/>
    <w:qFormat/>
    <w:uiPriority w:val="0"/>
    <w:pPr>
      <w:widowControl/>
      <w:tabs>
        <w:tab w:val="left" w:pos="0"/>
      </w:tabs>
      <w:spacing w:line="360" w:lineRule="auto"/>
      <w:ind w:firstLine="200" w:firstLineChars="200"/>
    </w:pPr>
    <w:rPr>
      <w:snapToGrid w:val="0"/>
      <w:kern w:val="0"/>
      <w:szCs w:val="24"/>
    </w:rPr>
  </w:style>
  <w:style w:type="paragraph" w:customStyle="1" w:styleId="116">
    <w:name w:val="表格正文"/>
    <w:basedOn w:val="1"/>
    <w:next w:val="1"/>
    <w:qFormat/>
    <w:uiPriority w:val="0"/>
    <w:pPr>
      <w:jc w:val="center"/>
    </w:pPr>
    <w:rPr>
      <w:rFonts w:ascii="仿宋_GB2312" w:eastAsia="仿宋_GB2312"/>
      <w:szCs w:val="24"/>
    </w:rPr>
  </w:style>
  <w:style w:type="paragraph" w:customStyle="1" w:styleId="117">
    <w:name w:val="报告"/>
    <w:basedOn w:val="1"/>
    <w:qFormat/>
    <w:uiPriority w:val="0"/>
    <w:pPr>
      <w:overflowPunct w:val="0"/>
      <w:autoSpaceDE w:val="0"/>
      <w:autoSpaceDN w:val="0"/>
      <w:adjustRightInd w:val="0"/>
      <w:spacing w:beforeLines="30" w:afterLines="30" w:line="400" w:lineRule="atLeast"/>
      <w:ind w:firstLine="200" w:firstLineChars="200"/>
      <w:textAlignment w:val="baseline"/>
    </w:pPr>
    <w:rPr>
      <w:rFonts w:ascii="隶书" w:hAnsi="隶书" w:eastAsia="ˎ̥"/>
      <w:kern w:val="0"/>
      <w:sz w:val="24"/>
      <w:szCs w:val="20"/>
    </w:rPr>
  </w:style>
  <w:style w:type="paragraph" w:customStyle="1" w:styleId="118">
    <w:name w:val="表格-标题"/>
    <w:next w:val="1"/>
    <w:qFormat/>
    <w:uiPriority w:val="0"/>
    <w:pPr>
      <w:spacing w:line="360" w:lineRule="auto"/>
      <w:jc w:val="center"/>
    </w:pPr>
    <w:rPr>
      <w:rFonts w:ascii="Times New Roman" w:hAnsi="Times New Roman" w:eastAsia="Times New Roman" w:cs="Times New Roman"/>
      <w:b/>
      <w:kern w:val="0"/>
      <w:sz w:val="24"/>
      <w:szCs w:val="22"/>
      <w:lang w:val="en-US" w:eastAsia="zh-CN" w:bidi="ar-SA"/>
    </w:rPr>
  </w:style>
  <w:style w:type="paragraph" w:customStyle="1" w:styleId="119">
    <w:name w:val="表格文字"/>
    <w:basedOn w:val="45"/>
    <w:next w:val="1"/>
    <w:qFormat/>
    <w:uiPriority w:val="0"/>
    <w:pPr>
      <w:spacing w:line="360" w:lineRule="exact"/>
      <w:jc w:val="center"/>
    </w:pPr>
  </w:style>
  <w:style w:type="paragraph" w:customStyle="1" w:styleId="120">
    <w:name w:val="我的正文"/>
    <w:basedOn w:val="1"/>
    <w:qFormat/>
    <w:uiPriority w:val="0"/>
    <w:pPr>
      <w:ind w:firstLine="538" w:firstLineChars="192"/>
    </w:pPr>
    <w:rPr>
      <w:sz w:val="28"/>
      <w:szCs w:val="24"/>
    </w:rPr>
  </w:style>
  <w:style w:type="paragraph" w:customStyle="1" w:styleId="121">
    <w:name w:val="1正文"/>
    <w:basedOn w:val="1"/>
    <w:qFormat/>
    <w:uiPriority w:val="0"/>
    <w:pPr>
      <w:spacing w:line="360" w:lineRule="auto"/>
      <w:ind w:firstLine="200" w:firstLineChars="200"/>
    </w:pPr>
    <w:rPr>
      <w:sz w:val="24"/>
    </w:rPr>
  </w:style>
  <w:style w:type="paragraph" w:customStyle="1" w:styleId="122">
    <w:name w:val="环评（段2）"/>
    <w:basedOn w:val="1"/>
    <w:qFormat/>
    <w:uiPriority w:val="0"/>
    <w:pPr>
      <w:tabs>
        <w:tab w:val="left" w:pos="-2625"/>
      </w:tabs>
      <w:autoSpaceDE w:val="0"/>
      <w:autoSpaceDN w:val="0"/>
      <w:adjustRightInd w:val="0"/>
      <w:spacing w:before="120" w:line="300" w:lineRule="auto"/>
      <w:ind w:left="851"/>
      <w:textAlignment w:val="baseline"/>
    </w:pPr>
    <w:rPr>
      <w:rFonts w:ascii="宋体"/>
      <w:kern w:val="0"/>
      <w:sz w:val="24"/>
      <w:szCs w:val="20"/>
    </w:rPr>
  </w:style>
  <w:style w:type="paragraph" w:customStyle="1" w:styleId="123">
    <w:name w:val="PP的正文"/>
    <w:basedOn w:val="1"/>
    <w:qFormat/>
    <w:uiPriority w:val="0"/>
    <w:pPr>
      <w:spacing w:line="360" w:lineRule="auto"/>
      <w:ind w:firstLine="480" w:firstLineChars="200"/>
    </w:pPr>
    <w:rPr>
      <w:rFonts w:ascii="宋体" w:hAnsi="宋体" w:cs="宋体"/>
      <w:sz w:val="24"/>
    </w:rPr>
  </w:style>
  <w:style w:type="paragraph" w:customStyle="1" w:styleId="12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25">
    <w:name w:val="List Paragraph"/>
    <w:basedOn w:val="1"/>
    <w:qFormat/>
    <w:uiPriority w:val="99"/>
    <w:pPr>
      <w:ind w:firstLine="420" w:firstLineChars="200"/>
    </w:pPr>
  </w:style>
  <w:style w:type="paragraph" w:customStyle="1" w:styleId="126">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1"/>
    </w:rPr>
  </w:style>
  <w:style w:type="paragraph" w:customStyle="1" w:styleId="127">
    <w:name w:val="Table Paragraph"/>
    <w:basedOn w:val="1"/>
    <w:next w:val="110"/>
    <w:qFormat/>
    <w:uiPriority w:val="1"/>
    <w:pPr>
      <w:jc w:val="left"/>
    </w:pPr>
    <w:rPr>
      <w:rFonts w:ascii="Calibri" w:hAnsi="Calibri" w:eastAsia="宋体" w:cs="Times New Roman"/>
      <w:kern w:val="0"/>
      <w:sz w:val="22"/>
      <w:szCs w:val="22"/>
      <w:lang w:eastAsia="en-US"/>
    </w:rPr>
  </w:style>
  <w:style w:type="paragraph" w:customStyle="1" w:styleId="128">
    <w:name w:val="Z正文"/>
    <w:basedOn w:val="1"/>
    <w:qFormat/>
    <w:uiPriority w:val="0"/>
    <w:pPr>
      <w:keepNext/>
      <w:keepLines/>
      <w:adjustRightInd/>
      <w:snapToGrid/>
      <w:jc w:val="left"/>
    </w:pPr>
    <w:rPr>
      <w:rFonts w:ascii="黑体" w:hAnsi="Arial"/>
      <w:bCs/>
      <w:kern w:val="44"/>
      <w:szCs w:val="44"/>
    </w:rPr>
  </w:style>
  <w:style w:type="paragraph" w:customStyle="1" w:styleId="129">
    <w:name w:val="样式 宋体 居中 行距: 1.5 倍行距3"/>
    <w:basedOn w:val="1"/>
    <w:qFormat/>
    <w:uiPriority w:val="0"/>
    <w:pPr>
      <w:spacing w:line="360" w:lineRule="auto"/>
      <w:jc w:val="center"/>
    </w:pPr>
    <w:rPr>
      <w:rFonts w:ascii="Times New Roman" w:hAnsi="Times New Roman" w:eastAsia="宋体" w:cs="宋体"/>
      <w:szCs w:val="20"/>
    </w:rPr>
  </w:style>
  <w:style w:type="paragraph" w:customStyle="1" w:styleId="130">
    <w:name w:val="表格中文字（居中）"/>
    <w:basedOn w:val="1"/>
    <w:qFormat/>
    <w:uiPriority w:val="0"/>
    <w:pPr>
      <w:spacing w:line="340" w:lineRule="exact"/>
      <w:ind w:right="-134" w:rightChars="-64"/>
      <w:jc w:val="center"/>
    </w:pPr>
    <w:rPr>
      <w:color w:val="000000"/>
      <w:kern w:val="44"/>
      <w:szCs w:val="21"/>
    </w:rPr>
  </w:style>
  <w:style w:type="paragraph" w:styleId="131">
    <w:name w:val="No Spacing"/>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图表名00"/>
    <w:basedOn w:val="1"/>
    <w:next w:val="39"/>
    <w:qFormat/>
    <w:uiPriority w:val="0"/>
    <w:pPr>
      <w:jc w:val="center"/>
    </w:pPr>
    <w:rPr>
      <w:rFonts w:ascii="仿宋" w:hAnsi="仿宋" w:eastAsia="仿宋_GB2312"/>
      <w:b/>
      <w:iCs/>
      <w:sz w:val="30"/>
      <w:szCs w:val="30"/>
    </w:rPr>
  </w:style>
  <w:style w:type="paragraph" w:customStyle="1" w:styleId="133">
    <w:name w:val="0正文"/>
    <w:basedOn w:val="1"/>
    <w:qFormat/>
    <w:uiPriority w:val="0"/>
    <w:pPr>
      <w:spacing w:line="360" w:lineRule="auto"/>
      <w:ind w:firstLine="482"/>
    </w:pPr>
    <w:rPr>
      <w:rFonts w:ascii="Calibri" w:hAnsi="Calibri"/>
      <w:kern w:val="0"/>
      <w:sz w:val="24"/>
      <w:szCs w:val="20"/>
      <w:lang w:bidi="en-US"/>
    </w:rPr>
  </w:style>
  <w:style w:type="character" w:customStyle="1" w:styleId="134">
    <w:name w:val="font11"/>
    <w:basedOn w:val="48"/>
    <w:qFormat/>
    <w:uiPriority w:val="0"/>
    <w:rPr>
      <w:rFonts w:hint="eastAsia" w:ascii="宋体" w:hAnsi="宋体" w:eastAsia="宋体" w:cs="宋体"/>
      <w:color w:val="000000"/>
      <w:sz w:val="21"/>
      <w:szCs w:val="21"/>
      <w:u w:val="none"/>
    </w:rPr>
  </w:style>
  <w:style w:type="paragraph" w:customStyle="1" w:styleId="135">
    <w:name w:val="表格首行"/>
    <w:basedOn w:val="136"/>
    <w:qFormat/>
    <w:uiPriority w:val="0"/>
    <w:pPr>
      <w:adjustRightInd w:val="0"/>
      <w:snapToGrid w:val="0"/>
      <w:spacing w:line="240" w:lineRule="auto"/>
      <w:jc w:val="center"/>
    </w:pPr>
    <w:rPr>
      <w:rFonts w:ascii="Times New Roman" w:hAnsi="Times New Roman" w:eastAsia="宋体"/>
      <w:b/>
      <w:sz w:val="21"/>
    </w:rPr>
  </w:style>
  <w:style w:type="paragraph" w:customStyle="1" w:styleId="136">
    <w:name w:val="样式 样式 样式 首行缩进:  2 字符 + 首行缩进:  2 字符 + 首行缩进:  2 字符"/>
    <w:basedOn w:val="1"/>
    <w:qFormat/>
    <w:uiPriority w:val="99"/>
    <w:pPr>
      <w:spacing w:line="360" w:lineRule="auto"/>
    </w:pPr>
    <w:rPr>
      <w:rFonts w:ascii="Arial" w:hAnsi="Arial" w:eastAsia="新宋体" w:cs="宋体"/>
      <w:sz w:val="24"/>
      <w:szCs w:val="20"/>
    </w:rPr>
  </w:style>
  <w:style w:type="paragraph" w:customStyle="1" w:styleId="137">
    <w:name w:val="_正文格式"/>
    <w:basedOn w:val="1"/>
    <w:qFormat/>
    <w:uiPriority w:val="0"/>
    <w:pPr>
      <w:spacing w:line="560" w:lineRule="exact"/>
      <w:ind w:firstLine="200" w:firstLineChars="200"/>
    </w:pPr>
    <w:rPr>
      <w:rFonts w:eastAsia="仿宋_GB2312"/>
      <w:sz w:val="28"/>
    </w:rPr>
  </w:style>
  <w:style w:type="paragraph" w:customStyle="1" w:styleId="138">
    <w:name w:val="雷正文"/>
    <w:basedOn w:val="1"/>
    <w:qFormat/>
    <w:uiPriority w:val="99"/>
    <w:pPr>
      <w:spacing w:line="360" w:lineRule="auto"/>
      <w:ind w:firstLine="200" w:firstLineChars="200"/>
    </w:pPr>
    <w:rPr>
      <w:sz w:val="28"/>
      <w:szCs w:val="28"/>
    </w:rPr>
  </w:style>
  <w:style w:type="paragraph" w:customStyle="1" w:styleId="139">
    <w:name w:val="正文1"/>
    <w:basedOn w:val="1"/>
    <w:qFormat/>
    <w:uiPriority w:val="0"/>
    <w:pPr>
      <w:tabs>
        <w:tab w:val="left" w:pos="22680"/>
      </w:tabs>
      <w:spacing w:line="360" w:lineRule="auto"/>
      <w:ind w:firstLine="602" w:firstLineChars="200"/>
      <w:jc w:val="left"/>
    </w:pPr>
    <w:rPr>
      <w:rFonts w:ascii="宋体" w:hAnsi="宋体"/>
      <w:szCs w:val="20"/>
    </w:rPr>
  </w:style>
  <w:style w:type="table" w:customStyle="1" w:styleId="140">
    <w:name w:val="表格样式2"/>
    <w:basedOn w:val="46"/>
    <w:qFormat/>
    <w:uiPriority w:val="0"/>
    <w:pPr>
      <w:jc w:val="center"/>
    </w:pPr>
    <w:rPr>
      <w:sz w:val="21"/>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141">
    <w:name w:val="正文文"/>
    <w:basedOn w:val="1"/>
    <w:qFormat/>
    <w:uiPriority w:val="0"/>
    <w:pPr>
      <w:ind w:firstLine="1441"/>
      <w:jc w:val="left"/>
    </w:pPr>
  </w:style>
  <w:style w:type="paragraph" w:customStyle="1" w:styleId="142">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table" w:customStyle="1" w:styleId="143">
    <w:name w:val="Table Normal"/>
    <w:unhideWhenUsed/>
    <w:qFormat/>
    <w:uiPriority w:val="0"/>
    <w:tblPr>
      <w:tblCellMar>
        <w:top w:w="0" w:type="dxa"/>
        <w:left w:w="0" w:type="dxa"/>
        <w:bottom w:w="0" w:type="dxa"/>
        <w:right w:w="0" w:type="dxa"/>
      </w:tblCellMar>
    </w:tblPr>
  </w:style>
  <w:style w:type="paragraph" w:customStyle="1" w:styleId="144">
    <w:name w:val="Table Text"/>
    <w:basedOn w:val="1"/>
    <w:semiHidden/>
    <w:qFormat/>
    <w:uiPriority w:val="0"/>
    <w:rPr>
      <w:rFonts w:ascii="宋体" w:hAnsi="宋体" w:eastAsia="宋体" w:cs="宋体"/>
      <w:sz w:val="21"/>
      <w:szCs w:val="21"/>
      <w:lang w:val="en-US" w:eastAsia="en-US" w:bidi="ar-SA"/>
    </w:rPr>
  </w:style>
  <w:style w:type="paragraph" w:customStyle="1" w:styleId="145">
    <w:name w:val="无间隔1"/>
    <w:basedOn w:val="19"/>
    <w:next w:val="1"/>
    <w:qFormat/>
    <w:uiPriority w:val="1"/>
    <w:pPr>
      <w:spacing w:after="0" w:line="360" w:lineRule="exact"/>
      <w:ind w:firstLine="0" w:firstLineChars="0"/>
      <w:jc w:val="center"/>
    </w:pPr>
    <w:rPr>
      <w:rFonts w:eastAsia="黑体"/>
      <w:sz w:val="21"/>
    </w:rPr>
  </w:style>
  <w:style w:type="paragraph" w:customStyle="1" w:styleId="146">
    <w:name w:val="5表格"/>
    <w:basedOn w:val="1"/>
    <w:qFormat/>
    <w:uiPriority w:val="0"/>
    <w:pPr>
      <w:jc w:val="center"/>
    </w:pPr>
    <w:rPr>
      <w:rFonts w:eastAsia="仿宋"/>
      <w:kern w:val="24"/>
      <w:szCs w:val="21"/>
    </w:rPr>
  </w:style>
  <w:style w:type="paragraph" w:customStyle="1" w:styleId="147">
    <w:name w:val="05表格"/>
    <w:basedOn w:val="1"/>
    <w:qFormat/>
    <w:uiPriority w:val="0"/>
    <w:pPr>
      <w:spacing w:line="360" w:lineRule="exact"/>
      <w:ind w:left="-10" w:leftChars="-10" w:right="-10" w:rightChars="-10" w:firstLine="0" w:firstLineChars="0"/>
      <w:contextualSpacing/>
      <w:jc w:val="center"/>
      <w:textAlignment w:val="center"/>
    </w:pPr>
    <w:rPr>
      <w:rFonts w:ascii="Calibri" w:hAnsi="Calibri"/>
      <w:bCs/>
      <w:color w:val="000000"/>
      <w:sz w:val="21"/>
      <w:szCs w:val="21"/>
      <w:lang w:eastAsia="en-US"/>
    </w:rPr>
  </w:style>
  <w:style w:type="paragraph" w:customStyle="1" w:styleId="148">
    <w:name w:val="Char"/>
    <w:basedOn w:val="1"/>
    <w:next w:val="55"/>
    <w:qFormat/>
    <w:uiPriority w:val="0"/>
    <w:pPr>
      <w:widowControl w:val="0"/>
      <w:jc w:val="left"/>
    </w:pPr>
    <w:rPr>
      <w:rFonts w:ascii="宋体" w:hAnsi="宋体" w:cs="宋体"/>
      <w:kern w:val="0"/>
      <w:lang w:eastAsia="en-US"/>
    </w:rPr>
  </w:style>
  <w:style w:type="paragraph" w:customStyle="1" w:styleId="149">
    <w:name w:val="表格文字112"/>
    <w:basedOn w:val="1"/>
    <w:qFormat/>
    <w:uiPriority w:val="0"/>
    <w:pPr>
      <w:widowControl w:val="0"/>
      <w:wordWrap w:val="0"/>
      <w:autoSpaceDE w:val="0"/>
      <w:autoSpaceDN w:val="0"/>
      <w:spacing w:line="240" w:lineRule="auto"/>
      <w:ind w:firstLine="0" w:firstLineChars="0"/>
      <w:jc w:val="center"/>
    </w:pPr>
    <w:rPr>
      <w:rFonts w:ascii="等线" w:hAnsi="等线" w:eastAsia="等线"/>
      <w:kern w:val="0"/>
      <w:sz w:val="21"/>
      <w:szCs w:val="24"/>
    </w:rPr>
  </w:style>
  <w:style w:type="paragraph" w:customStyle="1" w:styleId="150">
    <w:name w:val="正正文"/>
    <w:basedOn w:val="1"/>
    <w:qFormat/>
    <w:uiPriority w:val="0"/>
    <w:pPr>
      <w:spacing w:line="360" w:lineRule="exact"/>
      <w:jc w:val="left"/>
    </w:pPr>
    <w:rPr>
      <w:kern w:val="0"/>
      <w:sz w:val="21"/>
      <w:szCs w:val="21"/>
    </w:rPr>
  </w:style>
  <w:style w:type="character" w:customStyle="1" w:styleId="151">
    <w:name w:val="fontstyle01"/>
    <w:qFormat/>
    <w:uiPriority w:val="0"/>
    <w:rPr>
      <w:rFonts w:hint="eastAsia" w:ascii="宋体" w:hAnsi="宋体" w:eastAsia="宋体"/>
      <w:color w:val="000000"/>
      <w:sz w:val="24"/>
      <w:szCs w:val="24"/>
    </w:rPr>
  </w:style>
  <w:style w:type="character" w:customStyle="1" w:styleId="152">
    <w:name w:val="fontstyle21"/>
    <w:qFormat/>
    <w:uiPriority w:val="0"/>
    <w:rPr>
      <w:rFonts w:hint="default" w:ascii="TimesNewRomanPSMT" w:hAnsi="TimesNewRomanPSMT"/>
      <w:color w:val="000000"/>
      <w:sz w:val="24"/>
      <w:szCs w:val="24"/>
    </w:rPr>
  </w:style>
  <w:style w:type="paragraph" w:customStyle="1" w:styleId="153">
    <w:name w:val="表格普通"/>
    <w:basedOn w:val="1"/>
    <w:qFormat/>
    <w:uiPriority w:val="0"/>
    <w:pPr>
      <w:jc w:val="center"/>
    </w:pPr>
    <w:rPr>
      <w:rFonts w:eastAsia="仿宋_GB2312"/>
      <w:szCs w:val="21"/>
    </w:rPr>
  </w:style>
  <w:style w:type="paragraph" w:customStyle="1" w:styleId="154">
    <w:name w:val="段落 Char1"/>
    <w:basedOn w:val="1"/>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155">
    <w:name w:val="X-N"/>
    <w:basedOn w:val="1"/>
    <w:qFormat/>
    <w:uiPriority w:val="0"/>
    <w:pPr>
      <w:adjustRightInd w:val="0"/>
      <w:jc w:val="center"/>
    </w:pPr>
    <w:rPr>
      <w:rFonts w:ascii="Times New Roman" w:hAnsi="Times New Roman"/>
      <w:szCs w:val="21"/>
    </w:rPr>
  </w:style>
  <w:style w:type="paragraph" w:customStyle="1" w:styleId="156">
    <w:name w:val="X-0"/>
    <w:basedOn w:val="1"/>
    <w:qFormat/>
    <w:uiPriority w:val="0"/>
    <w:pPr>
      <w:autoSpaceDE w:val="0"/>
      <w:autoSpaceDN w:val="0"/>
      <w:adjustRightInd w:val="0"/>
      <w:snapToGrid w:val="0"/>
      <w:spacing w:line="360" w:lineRule="auto"/>
      <w:ind w:firstLine="200" w:firstLineChars="200"/>
    </w:pPr>
    <w:rPr>
      <w:rFonts w:ascii="Times New Roman" w:hAnsi="Times New Roman" w:cs="宋体"/>
      <w:kern w:val="0"/>
      <w:sz w:val="24"/>
      <w:szCs w:val="21"/>
    </w:rPr>
  </w:style>
  <w:style w:type="paragraph" w:customStyle="1" w:styleId="157">
    <w:name w:val=" Char2"/>
    <w:basedOn w:val="1"/>
    <w:qFormat/>
    <w:uiPriority w:val="0"/>
    <w:rPr>
      <w:sz w:val="24"/>
      <w:szCs w:val="20"/>
    </w:rPr>
  </w:style>
  <w:style w:type="paragraph" w:customStyle="1" w:styleId="158">
    <w:name w:val="标准正文"/>
    <w:basedOn w:val="1"/>
    <w:qFormat/>
    <w:uiPriority w:val="0"/>
    <w:pPr>
      <w:spacing w:line="500" w:lineRule="exact"/>
      <w:ind w:firstLine="200" w:firstLineChars="200"/>
      <w:jc w:val="left"/>
    </w:pPr>
    <w:rPr>
      <w:sz w:val="24"/>
    </w:rPr>
  </w:style>
  <w:style w:type="paragraph" w:customStyle="1" w:styleId="159">
    <w:name w:val="表"/>
    <w:basedOn w:val="1"/>
    <w:next w:val="160"/>
    <w:qFormat/>
    <w:uiPriority w:val="0"/>
    <w:pPr>
      <w:keepNext/>
      <w:adjustRightInd w:val="0"/>
      <w:jc w:val="center"/>
      <w:textAlignment w:val="baseline"/>
    </w:pPr>
    <w:rPr>
      <w:kern w:val="0"/>
      <w:szCs w:val="20"/>
    </w:rPr>
  </w:style>
  <w:style w:type="paragraph" w:customStyle="1" w:styleId="160">
    <w:name w:val="正文2"/>
    <w:basedOn w:val="1"/>
    <w:qFormat/>
    <w:uiPriority w:val="0"/>
    <w:pPr>
      <w:autoSpaceDE w:val="0"/>
      <w:autoSpaceDN w:val="0"/>
      <w:spacing w:line="480" w:lineRule="exact"/>
      <w:ind w:firstLine="1446" w:firstLineChars="200"/>
      <w:jc w:val="left"/>
    </w:pPr>
    <w:rPr>
      <w:rFonts w:hint="eastAsia"/>
      <w:color w:val="000000"/>
      <w:kern w:val="0"/>
    </w:rPr>
  </w:style>
  <w:style w:type="paragraph" w:customStyle="1" w:styleId="161">
    <w:name w:val="正"/>
    <w:basedOn w:val="1"/>
    <w:qFormat/>
    <w:uiPriority w:val="0"/>
    <w:pPr>
      <w:spacing w:line="360" w:lineRule="auto"/>
      <w:ind w:firstLine="200" w:firstLineChars="200"/>
    </w:pPr>
    <w:rPr>
      <w:sz w:val="24"/>
    </w:rPr>
  </w:style>
  <w:style w:type="paragraph" w:customStyle="1" w:styleId="162">
    <w:name w:val="正文_18"/>
    <w:qFormat/>
    <w:uiPriority w:val="0"/>
    <w:pPr>
      <w:widowControl w:val="0"/>
      <w:jc w:val="both"/>
    </w:pPr>
    <w:rPr>
      <w:rFonts w:ascii="等线" w:hAnsi="等线" w:eastAsia="等线" w:cs="Times New Roman"/>
      <w:kern w:val="2"/>
      <w:sz w:val="21"/>
      <w:szCs w:val="22"/>
      <w:lang w:val="en-US" w:eastAsia="zh-CN" w:bidi="ar-SA"/>
    </w:rPr>
  </w:style>
  <w:style w:type="character" w:customStyle="1" w:styleId="163">
    <w:name w:val="font51"/>
    <w:basedOn w:val="48"/>
    <w:qFormat/>
    <w:uiPriority w:val="0"/>
    <w:rPr>
      <w:rFonts w:hint="default" w:ascii="Calibri" w:hAnsi="Calibri" w:cs="Calibri"/>
      <w:color w:val="000000"/>
      <w:sz w:val="24"/>
      <w:szCs w:val="24"/>
      <w:u w:val="none"/>
    </w:rPr>
  </w:style>
  <w:style w:type="character" w:customStyle="1" w:styleId="164">
    <w:name w:val="font61"/>
    <w:basedOn w:val="48"/>
    <w:qFormat/>
    <w:uiPriority w:val="0"/>
    <w:rPr>
      <w:rFonts w:hint="default" w:ascii="Calibri" w:hAnsi="Calibri" w:cs="Calibri"/>
      <w:color w:val="000000"/>
      <w:sz w:val="14"/>
      <w:szCs w:val="14"/>
      <w:u w:val="none"/>
    </w:rPr>
  </w:style>
  <w:style w:type="paragraph" w:customStyle="1" w:styleId="165">
    <w:name w:val="表格内"/>
    <w:basedOn w:val="1"/>
    <w:qFormat/>
    <w:uiPriority w:val="0"/>
    <w:pPr>
      <w:widowControl w:val="0"/>
      <w:spacing w:line="280" w:lineRule="exact"/>
      <w:ind w:firstLine="0" w:firstLineChars="0"/>
    </w:pPr>
    <w:rPr>
      <w:sz w:val="21"/>
    </w:rPr>
  </w:style>
  <w:style w:type="paragraph" w:customStyle="1" w:styleId="166">
    <w:name w:val="样式2"/>
    <w:basedOn w:val="45"/>
    <w:qFormat/>
    <w:uiPriority w:val="0"/>
    <w:pPr>
      <w:tabs>
        <w:tab w:val="left" w:pos="0"/>
      </w:tabs>
      <w:spacing w:line="240" w:lineRule="auto"/>
    </w:pPr>
    <w:rPr>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70</Pages>
  <Words>15809</Words>
  <Characters>17552</Characters>
  <Lines>1</Lines>
  <Paragraphs>1</Paragraphs>
  <TotalTime>207</TotalTime>
  <ScaleCrop>false</ScaleCrop>
  <LinksUpToDate>false</LinksUpToDate>
  <CharactersWithSpaces>17669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岁月如歌</cp:lastModifiedBy>
  <cp:lastPrinted>2020-12-29T02:43:00Z</cp:lastPrinted>
  <dcterms:modified xsi:type="dcterms:W3CDTF">2025-09-01T07:08:13Z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61BF84E6019F4B12B51FB71877BE8366_13</vt:lpwstr>
  </property>
  <property fmtid="{D5CDD505-2E9C-101B-9397-08002B2CF9AE}" pid="4" name="KSOTemplateDocerSaveRecord">
    <vt:lpwstr>eyJoZGlkIjoiN2I4YzVlMmUyMjc0YjZhY2E1YmJiMWRiMWI0YzAwNTIiLCJ1c2VySWQiOiIxMDM3NjMxMjY0In0=</vt:lpwstr>
  </property>
</Properties>
</file>